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0D989" w14:textId="38B5439B" w:rsidR="0057360C" w:rsidRPr="00513738" w:rsidRDefault="0057360C" w:rsidP="00F0507F">
      <w:pPr>
        <w:spacing w:after="0" w:line="240" w:lineRule="auto"/>
        <w:jc w:val="center"/>
        <w:rPr>
          <w:rFonts w:ascii="Times New Roman" w:hAnsi="Times New Roman" w:cs="Times New Roman"/>
          <w:b/>
          <w:bCs/>
          <w:sz w:val="24"/>
          <w:szCs w:val="24"/>
        </w:rPr>
      </w:pPr>
      <w:r w:rsidRPr="00513738">
        <w:rPr>
          <w:rFonts w:ascii="Times New Roman" w:hAnsi="Times New Roman" w:cs="Times New Roman"/>
          <w:b/>
          <w:bCs/>
          <w:sz w:val="24"/>
          <w:szCs w:val="24"/>
        </w:rPr>
        <w:t>Latvijas Bankas noteikumu projekta "</w:t>
      </w:r>
      <w:r w:rsidR="00A47913" w:rsidRPr="00513738">
        <w:rPr>
          <w:rFonts w:ascii="Times New Roman" w:hAnsi="Times New Roman" w:cs="Times New Roman"/>
          <w:b/>
          <w:bCs/>
          <w:sz w:val="24"/>
          <w:szCs w:val="24"/>
        </w:rPr>
        <w:t>Apdrošināšanas un pārapdrošināšanas sabiedrību un ārvalsts apdrošinātāju filiāļu</w:t>
      </w:r>
      <w:r w:rsidR="005A18DC" w:rsidRPr="00513738">
        <w:t xml:space="preserve"> </w:t>
      </w:r>
      <w:r w:rsidR="005A18DC" w:rsidRPr="00513738">
        <w:rPr>
          <w:rFonts w:ascii="Times New Roman" w:hAnsi="Times New Roman" w:cs="Times New Roman"/>
          <w:b/>
          <w:bCs/>
          <w:sz w:val="24"/>
          <w:szCs w:val="24"/>
        </w:rPr>
        <w:t>grāmatvedības,</w:t>
      </w:r>
      <w:r w:rsidR="008305DC" w:rsidRPr="00513738">
        <w:rPr>
          <w:rFonts w:ascii="Times New Roman" w:hAnsi="Times New Roman" w:cs="Times New Roman"/>
          <w:b/>
          <w:bCs/>
          <w:sz w:val="24"/>
          <w:szCs w:val="24"/>
        </w:rPr>
        <w:t xml:space="preserve"> gada pārskat</w:t>
      </w:r>
      <w:r w:rsidR="00A47913" w:rsidRPr="00513738">
        <w:rPr>
          <w:rFonts w:ascii="Times New Roman" w:hAnsi="Times New Roman" w:cs="Times New Roman"/>
          <w:b/>
          <w:bCs/>
          <w:sz w:val="24"/>
          <w:szCs w:val="24"/>
        </w:rPr>
        <w:t>a</w:t>
      </w:r>
      <w:r w:rsidR="008305DC" w:rsidRPr="00513738">
        <w:rPr>
          <w:rFonts w:ascii="Times New Roman" w:hAnsi="Times New Roman" w:cs="Times New Roman"/>
          <w:b/>
          <w:bCs/>
          <w:sz w:val="24"/>
          <w:szCs w:val="24"/>
        </w:rPr>
        <w:t xml:space="preserve"> un konsolidēt</w:t>
      </w:r>
      <w:r w:rsidR="00A47913" w:rsidRPr="00513738">
        <w:rPr>
          <w:rFonts w:ascii="Times New Roman" w:hAnsi="Times New Roman" w:cs="Times New Roman"/>
          <w:b/>
          <w:bCs/>
          <w:sz w:val="24"/>
          <w:szCs w:val="24"/>
        </w:rPr>
        <w:t>ā</w:t>
      </w:r>
      <w:r w:rsidR="008305DC" w:rsidRPr="00513738">
        <w:rPr>
          <w:rFonts w:ascii="Times New Roman" w:hAnsi="Times New Roman" w:cs="Times New Roman"/>
          <w:b/>
          <w:bCs/>
          <w:sz w:val="24"/>
          <w:szCs w:val="24"/>
        </w:rPr>
        <w:t xml:space="preserve"> gada pārskat</w:t>
      </w:r>
      <w:r w:rsidR="00A47913" w:rsidRPr="00513738">
        <w:rPr>
          <w:rFonts w:ascii="Times New Roman" w:hAnsi="Times New Roman" w:cs="Times New Roman"/>
          <w:b/>
          <w:bCs/>
          <w:sz w:val="24"/>
          <w:szCs w:val="24"/>
        </w:rPr>
        <w:t>a</w:t>
      </w:r>
      <w:r w:rsidR="008305DC" w:rsidRPr="00513738">
        <w:rPr>
          <w:rFonts w:ascii="Times New Roman" w:hAnsi="Times New Roman" w:cs="Times New Roman"/>
          <w:b/>
          <w:bCs/>
          <w:sz w:val="24"/>
          <w:szCs w:val="24"/>
        </w:rPr>
        <w:t xml:space="preserve"> </w:t>
      </w:r>
      <w:r w:rsidR="00351990">
        <w:rPr>
          <w:rFonts w:ascii="Times New Roman" w:hAnsi="Times New Roman" w:cs="Times New Roman"/>
          <w:b/>
          <w:bCs/>
          <w:sz w:val="24"/>
          <w:szCs w:val="24"/>
        </w:rPr>
        <w:t xml:space="preserve">sagatavošanas </w:t>
      </w:r>
      <w:r w:rsidR="008305DC" w:rsidRPr="00513738">
        <w:rPr>
          <w:rFonts w:ascii="Times New Roman" w:hAnsi="Times New Roman" w:cs="Times New Roman"/>
          <w:b/>
          <w:bCs/>
          <w:sz w:val="24"/>
          <w:szCs w:val="24"/>
        </w:rPr>
        <w:t>noteikumi</w:t>
      </w:r>
      <w:r w:rsidRPr="00513738">
        <w:rPr>
          <w:rFonts w:ascii="Times New Roman" w:hAnsi="Times New Roman" w:cs="Times New Roman"/>
          <w:b/>
          <w:bCs/>
          <w:sz w:val="24"/>
          <w:szCs w:val="24"/>
        </w:rPr>
        <w:t>" anotācija</w:t>
      </w:r>
    </w:p>
    <w:p w14:paraId="1253CC0B" w14:textId="77777777" w:rsidR="00190DDF" w:rsidRPr="00513738" w:rsidRDefault="00190DDF" w:rsidP="0057360C">
      <w:pPr>
        <w:spacing w:after="0" w:line="240" w:lineRule="auto"/>
        <w:jc w:val="center"/>
        <w:rPr>
          <w:rFonts w:ascii="Times New Roman" w:hAnsi="Times New Roman" w:cs="Times New Roman"/>
          <w:b/>
          <w:bCs/>
          <w:sz w:val="24"/>
          <w:szCs w:val="24"/>
        </w:rPr>
      </w:pPr>
    </w:p>
    <w:tbl>
      <w:tblPr>
        <w:tblStyle w:val="TableGrid"/>
        <w:tblW w:w="8359" w:type="dxa"/>
        <w:tblLook w:val="04A0" w:firstRow="1" w:lastRow="0" w:firstColumn="1" w:lastColumn="0" w:noHBand="0" w:noVBand="1"/>
      </w:tblPr>
      <w:tblGrid>
        <w:gridCol w:w="1980"/>
        <w:gridCol w:w="6379"/>
      </w:tblGrid>
      <w:tr w:rsidR="00E02C21" w:rsidRPr="00513738" w14:paraId="2AC98F6A" w14:textId="77777777" w:rsidTr="009B620B">
        <w:tc>
          <w:tcPr>
            <w:tcW w:w="1980" w:type="dxa"/>
          </w:tcPr>
          <w:p w14:paraId="68548ECA" w14:textId="5D13C2FE" w:rsidR="004D7D20" w:rsidRPr="00513738" w:rsidRDefault="004D7D20" w:rsidP="00CB2ED4">
            <w:pPr>
              <w:jc w:val="both"/>
              <w:rPr>
                <w:rFonts w:ascii="Times New Roman" w:hAnsi="Times New Roman" w:cs="Times New Roman"/>
                <w:b/>
                <w:bCs/>
                <w:sz w:val="24"/>
                <w:szCs w:val="24"/>
              </w:rPr>
            </w:pPr>
            <w:r w:rsidRPr="00513738">
              <w:rPr>
                <w:rFonts w:ascii="Times New Roman" w:hAnsi="Times New Roman" w:cs="Times New Roman"/>
                <w:b/>
                <w:bCs/>
                <w:sz w:val="24"/>
                <w:szCs w:val="24"/>
              </w:rPr>
              <w:t>Nosaukums</w:t>
            </w:r>
          </w:p>
        </w:tc>
        <w:tc>
          <w:tcPr>
            <w:tcW w:w="6379" w:type="dxa"/>
          </w:tcPr>
          <w:p w14:paraId="0EF6BD51" w14:textId="0376925E" w:rsidR="004D7D20" w:rsidRPr="00513738" w:rsidRDefault="00A47913" w:rsidP="00C22386">
            <w:pPr>
              <w:spacing w:after="120"/>
              <w:jc w:val="both"/>
              <w:rPr>
                <w:rFonts w:ascii="Times New Roman" w:hAnsi="Times New Roman" w:cs="Times New Roman"/>
                <w:sz w:val="24"/>
                <w:szCs w:val="24"/>
              </w:rPr>
            </w:pPr>
            <w:r w:rsidRPr="00513738">
              <w:rPr>
                <w:rFonts w:ascii="Times New Roman" w:hAnsi="Times New Roman" w:cs="Times New Roman"/>
                <w:sz w:val="24"/>
                <w:szCs w:val="24"/>
              </w:rPr>
              <w:t>Apdrošināšanas un pārapdrošināšanas sabiedrību un ārvalsts apdrošinātāju filiāļu</w:t>
            </w:r>
            <w:r w:rsidR="008305DC" w:rsidRPr="00513738">
              <w:rPr>
                <w:rFonts w:ascii="Times New Roman" w:hAnsi="Times New Roman" w:cs="Times New Roman"/>
                <w:sz w:val="24"/>
                <w:szCs w:val="24"/>
              </w:rPr>
              <w:t xml:space="preserve"> </w:t>
            </w:r>
            <w:r w:rsidR="005A18DC" w:rsidRPr="00513738">
              <w:rPr>
                <w:rFonts w:ascii="Times New Roman" w:hAnsi="Times New Roman" w:cs="Times New Roman"/>
                <w:sz w:val="24"/>
                <w:szCs w:val="24"/>
              </w:rPr>
              <w:t xml:space="preserve">grāmatvedības, </w:t>
            </w:r>
            <w:r w:rsidR="008305DC" w:rsidRPr="00513738">
              <w:rPr>
                <w:rFonts w:ascii="Times New Roman" w:hAnsi="Times New Roman" w:cs="Times New Roman"/>
                <w:sz w:val="24"/>
                <w:szCs w:val="24"/>
              </w:rPr>
              <w:t>gada pārskat</w:t>
            </w:r>
            <w:r w:rsidRPr="00513738">
              <w:rPr>
                <w:rFonts w:ascii="Times New Roman" w:hAnsi="Times New Roman" w:cs="Times New Roman"/>
                <w:sz w:val="24"/>
                <w:szCs w:val="24"/>
              </w:rPr>
              <w:t>a</w:t>
            </w:r>
            <w:r w:rsidR="008305DC" w:rsidRPr="00513738">
              <w:rPr>
                <w:rFonts w:ascii="Times New Roman" w:hAnsi="Times New Roman" w:cs="Times New Roman"/>
                <w:sz w:val="24"/>
                <w:szCs w:val="24"/>
              </w:rPr>
              <w:t xml:space="preserve"> un konsolidēt</w:t>
            </w:r>
            <w:r w:rsidRPr="00513738">
              <w:rPr>
                <w:rFonts w:ascii="Times New Roman" w:hAnsi="Times New Roman" w:cs="Times New Roman"/>
                <w:sz w:val="24"/>
                <w:szCs w:val="24"/>
              </w:rPr>
              <w:t>ā</w:t>
            </w:r>
            <w:r w:rsidR="008305DC" w:rsidRPr="00513738">
              <w:rPr>
                <w:rFonts w:ascii="Times New Roman" w:hAnsi="Times New Roman" w:cs="Times New Roman"/>
                <w:sz w:val="24"/>
                <w:szCs w:val="24"/>
              </w:rPr>
              <w:t xml:space="preserve"> gada pārskat</w:t>
            </w:r>
            <w:r w:rsidRPr="00513738">
              <w:rPr>
                <w:rFonts w:ascii="Times New Roman" w:hAnsi="Times New Roman" w:cs="Times New Roman"/>
                <w:sz w:val="24"/>
                <w:szCs w:val="24"/>
              </w:rPr>
              <w:t>a</w:t>
            </w:r>
            <w:r w:rsidR="008305DC" w:rsidRPr="00513738">
              <w:rPr>
                <w:rFonts w:ascii="Times New Roman" w:hAnsi="Times New Roman" w:cs="Times New Roman"/>
                <w:sz w:val="24"/>
                <w:szCs w:val="24"/>
              </w:rPr>
              <w:t xml:space="preserve"> </w:t>
            </w:r>
            <w:r w:rsidR="00351990">
              <w:rPr>
                <w:rFonts w:ascii="Times New Roman" w:hAnsi="Times New Roman" w:cs="Times New Roman"/>
                <w:sz w:val="24"/>
                <w:szCs w:val="24"/>
              </w:rPr>
              <w:t xml:space="preserve">sagatavošanas </w:t>
            </w:r>
            <w:r w:rsidR="008305DC" w:rsidRPr="00513738">
              <w:rPr>
                <w:rFonts w:ascii="Times New Roman" w:hAnsi="Times New Roman" w:cs="Times New Roman"/>
                <w:sz w:val="24"/>
                <w:szCs w:val="24"/>
              </w:rPr>
              <w:t>noteikumi</w:t>
            </w:r>
          </w:p>
        </w:tc>
      </w:tr>
      <w:tr w:rsidR="00A61684" w:rsidRPr="00513738" w14:paraId="02230D17" w14:textId="77777777" w:rsidTr="009B620B">
        <w:tc>
          <w:tcPr>
            <w:tcW w:w="1980" w:type="dxa"/>
          </w:tcPr>
          <w:p w14:paraId="118F97D3" w14:textId="47F841DE" w:rsidR="004D7D20" w:rsidRPr="00513738" w:rsidRDefault="004D7D20" w:rsidP="00CB2ED4">
            <w:pPr>
              <w:jc w:val="both"/>
              <w:rPr>
                <w:rFonts w:ascii="Times New Roman" w:hAnsi="Times New Roman" w:cs="Times New Roman"/>
                <w:b/>
                <w:bCs/>
                <w:sz w:val="24"/>
                <w:szCs w:val="24"/>
              </w:rPr>
            </w:pPr>
            <w:r w:rsidRPr="00513738">
              <w:rPr>
                <w:rFonts w:ascii="Times New Roman" w:hAnsi="Times New Roman" w:cs="Times New Roman"/>
                <w:b/>
                <w:bCs/>
                <w:sz w:val="24"/>
                <w:szCs w:val="24"/>
              </w:rPr>
              <w:t>Dokumenta veids</w:t>
            </w:r>
          </w:p>
        </w:tc>
        <w:tc>
          <w:tcPr>
            <w:tcW w:w="6379" w:type="dxa"/>
          </w:tcPr>
          <w:p w14:paraId="4CC0239D" w14:textId="710EA1F9" w:rsidR="004D7D20" w:rsidRPr="00513738" w:rsidRDefault="00952874" w:rsidP="00C22386">
            <w:pPr>
              <w:spacing w:after="120"/>
              <w:jc w:val="both"/>
              <w:rPr>
                <w:rFonts w:ascii="Times New Roman" w:hAnsi="Times New Roman" w:cs="Times New Roman"/>
                <w:sz w:val="24"/>
                <w:szCs w:val="24"/>
              </w:rPr>
            </w:pPr>
            <w:r w:rsidRPr="00513738">
              <w:rPr>
                <w:rFonts w:ascii="Times New Roman" w:hAnsi="Times New Roman" w:cs="Times New Roman"/>
                <w:sz w:val="24"/>
                <w:szCs w:val="24"/>
              </w:rPr>
              <w:t>Latvijas Bankas noteikumi</w:t>
            </w:r>
          </w:p>
        </w:tc>
      </w:tr>
      <w:tr w:rsidR="00A61684" w:rsidRPr="00513738" w14:paraId="1E36ACC8" w14:textId="77777777" w:rsidTr="009B620B">
        <w:tc>
          <w:tcPr>
            <w:tcW w:w="1980" w:type="dxa"/>
          </w:tcPr>
          <w:p w14:paraId="15B9D0AC" w14:textId="168434E5" w:rsidR="004D7D20" w:rsidRPr="00513738" w:rsidRDefault="004D7D20" w:rsidP="00CB2ED4">
            <w:pPr>
              <w:jc w:val="both"/>
              <w:rPr>
                <w:rFonts w:ascii="Times New Roman" w:hAnsi="Times New Roman" w:cs="Times New Roman"/>
                <w:b/>
                <w:bCs/>
                <w:sz w:val="24"/>
                <w:szCs w:val="24"/>
              </w:rPr>
            </w:pPr>
            <w:r w:rsidRPr="00513738">
              <w:rPr>
                <w:rFonts w:ascii="Times New Roman" w:hAnsi="Times New Roman" w:cs="Times New Roman"/>
                <w:b/>
                <w:bCs/>
                <w:sz w:val="24"/>
                <w:szCs w:val="24"/>
              </w:rPr>
              <w:t>Izdošanas pamatojums</w:t>
            </w:r>
          </w:p>
        </w:tc>
        <w:tc>
          <w:tcPr>
            <w:tcW w:w="6379" w:type="dxa"/>
          </w:tcPr>
          <w:p w14:paraId="14871B80" w14:textId="4589080C" w:rsidR="007E1BB5" w:rsidRPr="00513738" w:rsidRDefault="00A47913" w:rsidP="00C22386">
            <w:pPr>
              <w:spacing w:after="120"/>
              <w:jc w:val="both"/>
              <w:rPr>
                <w:rFonts w:ascii="Times New Roman" w:hAnsi="Times New Roman" w:cs="Times New Roman"/>
                <w:sz w:val="24"/>
                <w:szCs w:val="24"/>
              </w:rPr>
            </w:pPr>
            <w:r w:rsidRPr="00513738">
              <w:rPr>
                <w:rFonts w:ascii="Times New Roman" w:eastAsia="Times New Roman" w:hAnsi="Times New Roman" w:cs="Times New Roman"/>
                <w:sz w:val="24"/>
                <w:szCs w:val="24"/>
                <w:lang w:eastAsia="lv-LV"/>
              </w:rPr>
              <w:t>Apdrošināšanas un pārapdrošināšanas likuma 86. panta otrā un trešā daļa</w:t>
            </w:r>
          </w:p>
        </w:tc>
      </w:tr>
      <w:tr w:rsidR="00A61684" w:rsidRPr="00513738" w14:paraId="46DB522F" w14:textId="77777777" w:rsidTr="009B620B">
        <w:tc>
          <w:tcPr>
            <w:tcW w:w="1980" w:type="dxa"/>
          </w:tcPr>
          <w:p w14:paraId="2B8F0582" w14:textId="51CB8878" w:rsidR="008D0C81" w:rsidRPr="00513738" w:rsidRDefault="009E6A95" w:rsidP="00ED3376">
            <w:pPr>
              <w:jc w:val="both"/>
              <w:rPr>
                <w:rFonts w:ascii="Times New Roman" w:hAnsi="Times New Roman" w:cs="Times New Roman"/>
                <w:b/>
                <w:bCs/>
                <w:sz w:val="24"/>
                <w:szCs w:val="24"/>
              </w:rPr>
            </w:pPr>
            <w:r w:rsidRPr="00513738">
              <w:rPr>
                <w:rFonts w:ascii="Times New Roman" w:hAnsi="Times New Roman" w:cs="Times New Roman"/>
                <w:b/>
                <w:bCs/>
                <w:sz w:val="24"/>
                <w:szCs w:val="24"/>
              </w:rPr>
              <w:t>Mērķis un būtība</w:t>
            </w:r>
          </w:p>
        </w:tc>
        <w:tc>
          <w:tcPr>
            <w:tcW w:w="6379" w:type="dxa"/>
          </w:tcPr>
          <w:p w14:paraId="75C0AE81" w14:textId="642AD7B7" w:rsidR="0057360C" w:rsidRPr="00513738" w:rsidRDefault="0057360C" w:rsidP="00C22386">
            <w:pPr>
              <w:spacing w:after="120"/>
              <w:jc w:val="both"/>
              <w:rPr>
                <w:rFonts w:ascii="Times New Roman" w:hAnsi="Times New Roman" w:cs="Times New Roman"/>
                <w:sz w:val="24"/>
                <w:szCs w:val="24"/>
              </w:rPr>
            </w:pPr>
            <w:r w:rsidRPr="00513738">
              <w:rPr>
                <w:rFonts w:ascii="Times New Roman" w:hAnsi="Times New Roman" w:cs="Times New Roman"/>
                <w:sz w:val="24"/>
                <w:szCs w:val="24"/>
              </w:rPr>
              <w:t>Saskaņā ar Latvijas Bankas likuma pārejas noteikumu 3.</w:t>
            </w:r>
            <w:r w:rsidR="005717A7" w:rsidRPr="00513738">
              <w:rPr>
                <w:rFonts w:ascii="Times New Roman" w:hAnsi="Times New Roman" w:cs="Times New Roman"/>
                <w:sz w:val="24"/>
                <w:szCs w:val="24"/>
              </w:rPr>
              <w:t> </w:t>
            </w:r>
            <w:r w:rsidRPr="00513738">
              <w:rPr>
                <w:rFonts w:ascii="Times New Roman" w:hAnsi="Times New Roman" w:cs="Times New Roman"/>
                <w:sz w:val="24"/>
                <w:szCs w:val="24"/>
              </w:rPr>
              <w:t xml:space="preserve">punktu Latvijas Bankas un Finanšu un kapitāla tirgus komisijas līdz </w:t>
            </w:r>
            <w:r w:rsidR="007737AC">
              <w:rPr>
                <w:rFonts w:ascii="Times New Roman" w:hAnsi="Times New Roman" w:cs="Times New Roman"/>
                <w:sz w:val="24"/>
                <w:szCs w:val="24"/>
              </w:rPr>
              <w:t xml:space="preserve">minētā </w:t>
            </w:r>
            <w:r w:rsidRPr="00513738">
              <w:rPr>
                <w:rFonts w:ascii="Times New Roman" w:hAnsi="Times New Roman" w:cs="Times New Roman"/>
                <w:sz w:val="24"/>
                <w:szCs w:val="24"/>
              </w:rPr>
              <w:t>likuma spēkā stāšanās dienai izdotie ārējie normatīvie akti, vadlīnijas un ieteikumi piemērojami līdz dienai, kad stājas spēkā attiecīgie Latvijas Bankas ārējie normatīvie akti, vadlīnijas vai ieteikumi, bet ne ilgāk kā līdz 2024.</w:t>
            </w:r>
            <w:r w:rsidR="005717A7" w:rsidRPr="00513738">
              <w:rPr>
                <w:rFonts w:ascii="Times New Roman" w:hAnsi="Times New Roman" w:cs="Times New Roman"/>
                <w:sz w:val="24"/>
                <w:szCs w:val="24"/>
              </w:rPr>
              <w:t> </w:t>
            </w:r>
            <w:r w:rsidRPr="00513738">
              <w:rPr>
                <w:rFonts w:ascii="Times New Roman" w:hAnsi="Times New Roman" w:cs="Times New Roman"/>
                <w:sz w:val="24"/>
                <w:szCs w:val="24"/>
              </w:rPr>
              <w:t>gada 31.</w:t>
            </w:r>
            <w:r w:rsidR="005717A7" w:rsidRPr="00513738">
              <w:rPr>
                <w:rFonts w:ascii="Times New Roman" w:hAnsi="Times New Roman" w:cs="Times New Roman"/>
                <w:sz w:val="24"/>
                <w:szCs w:val="24"/>
              </w:rPr>
              <w:t> </w:t>
            </w:r>
            <w:r w:rsidRPr="00513738">
              <w:rPr>
                <w:rFonts w:ascii="Times New Roman" w:hAnsi="Times New Roman" w:cs="Times New Roman"/>
                <w:sz w:val="24"/>
                <w:szCs w:val="24"/>
              </w:rPr>
              <w:t>decembrim.</w:t>
            </w:r>
          </w:p>
          <w:p w14:paraId="7BF3831F" w14:textId="28AE6B3E" w:rsidR="0057360C" w:rsidRPr="00513738" w:rsidRDefault="0057360C" w:rsidP="00C22386">
            <w:pPr>
              <w:spacing w:after="120"/>
              <w:jc w:val="both"/>
              <w:rPr>
                <w:rFonts w:ascii="Times New Roman" w:hAnsi="Times New Roman" w:cs="Times New Roman"/>
                <w:sz w:val="24"/>
                <w:szCs w:val="24"/>
              </w:rPr>
            </w:pPr>
            <w:r w:rsidRPr="00513738">
              <w:rPr>
                <w:rFonts w:ascii="Times New Roman" w:hAnsi="Times New Roman" w:cs="Times New Roman"/>
                <w:sz w:val="24"/>
                <w:szCs w:val="24"/>
              </w:rPr>
              <w:t>Ņemot vērā minēto, Latvijas Banka ir izstrādājusi noteikumu projektu "</w:t>
            </w:r>
            <w:r w:rsidR="00A47913" w:rsidRPr="00513738">
              <w:rPr>
                <w:rFonts w:ascii="Times New Roman" w:hAnsi="Times New Roman" w:cs="Times New Roman"/>
                <w:sz w:val="24"/>
                <w:szCs w:val="24"/>
              </w:rPr>
              <w:t xml:space="preserve">Apdrošināšanas un pārapdrošināšanas sabiedrību un ārvalsts apdrošinātāju filiāļu </w:t>
            </w:r>
            <w:r w:rsidR="005A18DC" w:rsidRPr="00513738">
              <w:rPr>
                <w:rFonts w:ascii="Times New Roman" w:hAnsi="Times New Roman" w:cs="Times New Roman"/>
                <w:sz w:val="24"/>
                <w:szCs w:val="24"/>
              </w:rPr>
              <w:t xml:space="preserve">grāmatvedības, </w:t>
            </w:r>
            <w:r w:rsidR="00A47913" w:rsidRPr="00513738">
              <w:rPr>
                <w:rFonts w:ascii="Times New Roman" w:hAnsi="Times New Roman" w:cs="Times New Roman"/>
                <w:sz w:val="24"/>
                <w:szCs w:val="24"/>
              </w:rPr>
              <w:t xml:space="preserve">gada pārskata un konsolidētā gada pārskata </w:t>
            </w:r>
            <w:r w:rsidR="00351990">
              <w:rPr>
                <w:rFonts w:ascii="Times New Roman" w:hAnsi="Times New Roman" w:cs="Times New Roman"/>
                <w:sz w:val="24"/>
                <w:szCs w:val="24"/>
              </w:rPr>
              <w:t xml:space="preserve">sagatavošanas </w:t>
            </w:r>
            <w:r w:rsidR="00A47913" w:rsidRPr="00513738">
              <w:rPr>
                <w:rFonts w:ascii="Times New Roman" w:hAnsi="Times New Roman" w:cs="Times New Roman"/>
                <w:sz w:val="24"/>
                <w:szCs w:val="24"/>
              </w:rPr>
              <w:t>noteikumi</w:t>
            </w:r>
            <w:r w:rsidRPr="00513738">
              <w:rPr>
                <w:rFonts w:ascii="Times New Roman" w:hAnsi="Times New Roman" w:cs="Times New Roman"/>
                <w:sz w:val="24"/>
                <w:szCs w:val="24"/>
              </w:rPr>
              <w:t>" (turpmāk</w:t>
            </w:r>
            <w:r w:rsidR="00E007AB" w:rsidRPr="00513738">
              <w:rPr>
                <w:rFonts w:ascii="Times New Roman" w:hAnsi="Times New Roman" w:cs="Times New Roman"/>
                <w:sz w:val="24"/>
                <w:szCs w:val="24"/>
              </w:rPr>
              <w:t> </w:t>
            </w:r>
            <w:r w:rsidRPr="00513738">
              <w:rPr>
                <w:rFonts w:ascii="Times New Roman" w:hAnsi="Times New Roman" w:cs="Times New Roman"/>
                <w:sz w:val="24"/>
                <w:szCs w:val="24"/>
              </w:rPr>
              <w:t xml:space="preserve">– noteikumu projekts), kas aizstās </w:t>
            </w:r>
            <w:r w:rsidR="0099587C" w:rsidRPr="00513738">
              <w:rPr>
                <w:rFonts w:ascii="Times New Roman" w:hAnsi="Times New Roman" w:cs="Times New Roman"/>
                <w:sz w:val="24"/>
                <w:szCs w:val="24"/>
              </w:rPr>
              <w:t xml:space="preserve">pašlaik spēkā esošos </w:t>
            </w:r>
            <w:r w:rsidRPr="00513738">
              <w:rPr>
                <w:rFonts w:ascii="Times New Roman" w:hAnsi="Times New Roman" w:cs="Times New Roman"/>
                <w:sz w:val="24"/>
                <w:szCs w:val="24"/>
              </w:rPr>
              <w:t>Finanšu un kapitāla tirgus komisijas 2020.</w:t>
            </w:r>
            <w:r w:rsidR="00866AB0" w:rsidRPr="00513738">
              <w:rPr>
                <w:rFonts w:ascii="Times New Roman" w:hAnsi="Times New Roman" w:cs="Times New Roman"/>
                <w:sz w:val="24"/>
                <w:szCs w:val="24"/>
              </w:rPr>
              <w:t> </w:t>
            </w:r>
            <w:r w:rsidRPr="00513738">
              <w:rPr>
                <w:rFonts w:ascii="Times New Roman" w:hAnsi="Times New Roman" w:cs="Times New Roman"/>
                <w:sz w:val="24"/>
                <w:szCs w:val="24"/>
              </w:rPr>
              <w:t xml:space="preserve">gada </w:t>
            </w:r>
            <w:r w:rsidR="008305DC" w:rsidRPr="00513738">
              <w:rPr>
                <w:rFonts w:ascii="Times New Roman" w:hAnsi="Times New Roman" w:cs="Times New Roman"/>
                <w:sz w:val="24"/>
                <w:szCs w:val="24"/>
              </w:rPr>
              <w:t>4</w:t>
            </w:r>
            <w:r w:rsidRPr="00513738">
              <w:rPr>
                <w:rFonts w:ascii="Times New Roman" w:hAnsi="Times New Roman" w:cs="Times New Roman"/>
                <w:sz w:val="24"/>
                <w:szCs w:val="24"/>
              </w:rPr>
              <w:t>.</w:t>
            </w:r>
            <w:r w:rsidR="00866AB0" w:rsidRPr="00513738">
              <w:rPr>
                <w:rFonts w:ascii="Times New Roman" w:hAnsi="Times New Roman" w:cs="Times New Roman"/>
                <w:sz w:val="24"/>
                <w:szCs w:val="24"/>
              </w:rPr>
              <w:t> </w:t>
            </w:r>
            <w:r w:rsidR="00C710EB" w:rsidRPr="00513738">
              <w:rPr>
                <w:rFonts w:ascii="Times New Roman" w:hAnsi="Times New Roman" w:cs="Times New Roman"/>
                <w:sz w:val="24"/>
                <w:szCs w:val="24"/>
              </w:rPr>
              <w:t>augusta</w:t>
            </w:r>
            <w:r w:rsidRPr="00513738">
              <w:rPr>
                <w:rFonts w:ascii="Times New Roman" w:hAnsi="Times New Roman" w:cs="Times New Roman"/>
                <w:sz w:val="24"/>
                <w:szCs w:val="24"/>
              </w:rPr>
              <w:t xml:space="preserve"> normatīvos noteikumus Nr.</w:t>
            </w:r>
            <w:r w:rsidR="00866AB0" w:rsidRPr="00513738">
              <w:rPr>
                <w:rFonts w:ascii="Times New Roman" w:hAnsi="Times New Roman" w:cs="Times New Roman"/>
                <w:sz w:val="24"/>
                <w:szCs w:val="24"/>
              </w:rPr>
              <w:t> </w:t>
            </w:r>
            <w:r w:rsidR="00C710EB" w:rsidRPr="00513738">
              <w:rPr>
                <w:rFonts w:ascii="Times New Roman" w:hAnsi="Times New Roman" w:cs="Times New Roman"/>
                <w:sz w:val="24"/>
                <w:szCs w:val="24"/>
              </w:rPr>
              <w:t>1</w:t>
            </w:r>
            <w:r w:rsidR="008305DC" w:rsidRPr="00513738">
              <w:rPr>
                <w:rFonts w:ascii="Times New Roman" w:hAnsi="Times New Roman" w:cs="Times New Roman"/>
                <w:sz w:val="24"/>
                <w:szCs w:val="24"/>
              </w:rPr>
              <w:t>1</w:t>
            </w:r>
            <w:r w:rsidR="00A47913" w:rsidRPr="00513738">
              <w:rPr>
                <w:rFonts w:ascii="Times New Roman" w:hAnsi="Times New Roman" w:cs="Times New Roman"/>
                <w:sz w:val="24"/>
                <w:szCs w:val="24"/>
              </w:rPr>
              <w:t>4</w:t>
            </w:r>
            <w:r w:rsidRPr="00513738">
              <w:rPr>
                <w:rFonts w:ascii="Times New Roman" w:hAnsi="Times New Roman" w:cs="Times New Roman"/>
                <w:sz w:val="24"/>
                <w:szCs w:val="24"/>
              </w:rPr>
              <w:t xml:space="preserve"> "</w:t>
            </w:r>
            <w:r w:rsidR="00A47913" w:rsidRPr="000C4FCD">
              <w:rPr>
                <w:rFonts w:ascii="Times New Roman" w:eastAsia="Times New Roman" w:hAnsi="Times New Roman" w:cs="Times New Roman"/>
                <w:sz w:val="24"/>
                <w:lang w:eastAsia="lv-LV"/>
              </w:rPr>
              <w:t>Apdrošināšanas un pārapdrošināšanas sabiedrību un ārvalsts apdrošinātāju filiāļu gada pārskata un konsolidētā gada pārskata sagatavošanas normatīvie noteikumi</w:t>
            </w:r>
            <w:r w:rsidRPr="00513738">
              <w:rPr>
                <w:rFonts w:ascii="Times New Roman" w:hAnsi="Times New Roman" w:cs="Times New Roman"/>
                <w:sz w:val="24"/>
                <w:szCs w:val="24"/>
              </w:rPr>
              <w:t>" (turpmāk</w:t>
            </w:r>
            <w:r w:rsidR="00E007AB" w:rsidRPr="00513738">
              <w:rPr>
                <w:rFonts w:ascii="Times New Roman" w:hAnsi="Times New Roman" w:cs="Times New Roman"/>
                <w:sz w:val="24"/>
                <w:szCs w:val="24"/>
              </w:rPr>
              <w:t> </w:t>
            </w:r>
            <w:r w:rsidRPr="00513738">
              <w:rPr>
                <w:rFonts w:ascii="Times New Roman" w:hAnsi="Times New Roman" w:cs="Times New Roman"/>
                <w:sz w:val="24"/>
                <w:szCs w:val="24"/>
              </w:rPr>
              <w:t xml:space="preserve">– </w:t>
            </w:r>
            <w:r w:rsidR="005717A7" w:rsidRPr="00513738">
              <w:rPr>
                <w:rFonts w:ascii="Times New Roman" w:hAnsi="Times New Roman" w:cs="Times New Roman"/>
                <w:sz w:val="24"/>
                <w:szCs w:val="24"/>
              </w:rPr>
              <w:t>N</w:t>
            </w:r>
            <w:r w:rsidRPr="00513738">
              <w:rPr>
                <w:rFonts w:ascii="Times New Roman" w:hAnsi="Times New Roman" w:cs="Times New Roman"/>
                <w:sz w:val="24"/>
                <w:szCs w:val="24"/>
              </w:rPr>
              <w:t>oteikumi Nr.</w:t>
            </w:r>
            <w:r w:rsidR="007E1BB5" w:rsidRPr="00513738">
              <w:rPr>
                <w:rFonts w:ascii="Times New Roman" w:hAnsi="Times New Roman" w:cs="Times New Roman"/>
                <w:sz w:val="24"/>
                <w:szCs w:val="24"/>
              </w:rPr>
              <w:t> </w:t>
            </w:r>
            <w:r w:rsidR="00C710EB" w:rsidRPr="00513738">
              <w:rPr>
                <w:rFonts w:ascii="Times New Roman" w:hAnsi="Times New Roman" w:cs="Times New Roman"/>
                <w:sz w:val="24"/>
                <w:szCs w:val="24"/>
              </w:rPr>
              <w:t>1</w:t>
            </w:r>
            <w:r w:rsidR="008305DC" w:rsidRPr="00513738">
              <w:rPr>
                <w:rFonts w:ascii="Times New Roman" w:hAnsi="Times New Roman" w:cs="Times New Roman"/>
                <w:sz w:val="24"/>
                <w:szCs w:val="24"/>
              </w:rPr>
              <w:t>1</w:t>
            </w:r>
            <w:r w:rsidR="00A47913" w:rsidRPr="00513738">
              <w:rPr>
                <w:rFonts w:ascii="Times New Roman" w:hAnsi="Times New Roman" w:cs="Times New Roman"/>
                <w:sz w:val="24"/>
                <w:szCs w:val="24"/>
              </w:rPr>
              <w:t>4</w:t>
            </w:r>
            <w:r w:rsidRPr="00513738">
              <w:rPr>
                <w:rFonts w:ascii="Times New Roman" w:hAnsi="Times New Roman" w:cs="Times New Roman"/>
                <w:sz w:val="24"/>
                <w:szCs w:val="24"/>
              </w:rPr>
              <w:t>).</w:t>
            </w:r>
          </w:p>
          <w:p w14:paraId="320605B7" w14:textId="35CE6836" w:rsidR="00AC6272" w:rsidRPr="00513738" w:rsidRDefault="00AC6272" w:rsidP="00AC6272">
            <w:pPr>
              <w:spacing w:after="120"/>
              <w:jc w:val="both"/>
              <w:rPr>
                <w:rFonts w:ascii="Times New Roman" w:eastAsia="Times New Roman" w:hAnsi="Times New Roman" w:cs="Times New Roman"/>
                <w:sz w:val="24"/>
                <w:szCs w:val="24"/>
                <w:lang w:eastAsia="lv-LV"/>
              </w:rPr>
            </w:pPr>
            <w:r w:rsidRPr="00513738">
              <w:rPr>
                <w:rFonts w:ascii="Times New Roman" w:hAnsi="Times New Roman" w:cs="Times New Roman"/>
                <w:sz w:val="24"/>
                <w:szCs w:val="24"/>
              </w:rPr>
              <w:t xml:space="preserve">Noteikumu projekts nodrošina vienotu kārtību, kādā attiecīgie </w:t>
            </w:r>
            <w:r w:rsidR="00C14BC9" w:rsidRPr="00171D0D">
              <w:rPr>
                <w:rFonts w:ascii="Times New Roman" w:hAnsi="Times New Roman" w:cs="Times New Roman"/>
                <w:sz w:val="24"/>
                <w:szCs w:val="24"/>
              </w:rPr>
              <w:t>f</w:t>
            </w:r>
            <w:r w:rsidR="00C14BC9" w:rsidRPr="000C4FCD">
              <w:rPr>
                <w:rFonts w:ascii="Times New Roman" w:hAnsi="Times New Roman" w:cs="Times New Roman"/>
                <w:sz w:val="24"/>
                <w:szCs w:val="24"/>
              </w:rPr>
              <w:t>inanšu</w:t>
            </w:r>
            <w:r w:rsidR="00C14BC9">
              <w:t xml:space="preserve"> </w:t>
            </w:r>
            <w:r w:rsidRPr="00513738">
              <w:rPr>
                <w:rFonts w:ascii="Times New Roman" w:hAnsi="Times New Roman" w:cs="Times New Roman"/>
                <w:sz w:val="24"/>
                <w:szCs w:val="24"/>
              </w:rPr>
              <w:t xml:space="preserve">tirgus dalībnieki </w:t>
            </w:r>
            <w:r w:rsidR="002239EF" w:rsidRPr="00513738">
              <w:rPr>
                <w:rFonts w:ascii="Times New Roman" w:hAnsi="Times New Roman" w:cs="Times New Roman"/>
                <w:sz w:val="24"/>
                <w:szCs w:val="24"/>
              </w:rPr>
              <w:t xml:space="preserve">kārto grāmatvedību un </w:t>
            </w:r>
            <w:r w:rsidRPr="00513738">
              <w:rPr>
                <w:rFonts w:ascii="Times New Roman" w:hAnsi="Times New Roman" w:cs="Times New Roman"/>
                <w:sz w:val="24"/>
                <w:szCs w:val="24"/>
              </w:rPr>
              <w:t>sagatavo gada pārskatu un konsolidēto gada pārskatu</w:t>
            </w:r>
            <w:r w:rsidR="00A63E4F" w:rsidRPr="00513738">
              <w:rPr>
                <w:rFonts w:ascii="Times New Roman" w:hAnsi="Times New Roman" w:cs="Times New Roman"/>
                <w:sz w:val="24"/>
                <w:szCs w:val="24"/>
              </w:rPr>
              <w:t>, kur</w:t>
            </w:r>
            <w:r w:rsidR="00133D99" w:rsidRPr="00513738">
              <w:rPr>
                <w:rFonts w:ascii="Times New Roman" w:hAnsi="Times New Roman" w:cs="Times New Roman"/>
                <w:sz w:val="24"/>
                <w:szCs w:val="24"/>
              </w:rPr>
              <w:t>š</w:t>
            </w:r>
            <w:r w:rsidR="00A63E4F" w:rsidRPr="00513738">
              <w:rPr>
                <w:rFonts w:ascii="Times New Roman" w:hAnsi="Times New Roman" w:cs="Times New Roman"/>
                <w:sz w:val="24"/>
                <w:szCs w:val="24"/>
              </w:rPr>
              <w:t xml:space="preserve"> jāiesniedz Valsts ieņēmumu dienestam un jāpublisko </w:t>
            </w:r>
            <w:r w:rsidR="00C14BC9" w:rsidRPr="00171D0D">
              <w:rPr>
                <w:rFonts w:ascii="Times New Roman" w:hAnsi="Times New Roman" w:cs="Times New Roman"/>
                <w:sz w:val="24"/>
                <w:szCs w:val="24"/>
              </w:rPr>
              <w:t>f</w:t>
            </w:r>
            <w:r w:rsidR="00C14BC9" w:rsidRPr="000C4FCD">
              <w:rPr>
                <w:rFonts w:ascii="Times New Roman" w:hAnsi="Times New Roman" w:cs="Times New Roman"/>
                <w:sz w:val="24"/>
                <w:szCs w:val="24"/>
              </w:rPr>
              <w:t xml:space="preserve">inanšu </w:t>
            </w:r>
            <w:r w:rsidR="00A63E4F" w:rsidRPr="00513738">
              <w:rPr>
                <w:rFonts w:ascii="Times New Roman" w:hAnsi="Times New Roman" w:cs="Times New Roman"/>
                <w:sz w:val="24"/>
                <w:szCs w:val="24"/>
              </w:rPr>
              <w:t>tirgus dalībnieka tīmekļvietnē, tādējādi nodrošinot publisku pieejamību</w:t>
            </w:r>
            <w:r w:rsidRPr="00513738">
              <w:rPr>
                <w:rFonts w:ascii="Times New Roman" w:eastAsia="Times New Roman" w:hAnsi="Times New Roman" w:cs="Times New Roman"/>
                <w:sz w:val="24"/>
                <w:szCs w:val="24"/>
              </w:rPr>
              <w:t>.</w:t>
            </w:r>
            <w:r w:rsidRPr="00513738">
              <w:rPr>
                <w:rFonts w:ascii="Times New Roman" w:eastAsia="Times New Roman" w:hAnsi="Times New Roman" w:cs="Times New Roman"/>
                <w:sz w:val="24"/>
                <w:szCs w:val="24"/>
                <w:lang w:eastAsia="lv-LV"/>
              </w:rPr>
              <w:t xml:space="preserve"> </w:t>
            </w:r>
          </w:p>
          <w:p w14:paraId="7DBC2EA3" w14:textId="3E28A34F" w:rsidR="009D5D38" w:rsidRPr="00513738" w:rsidRDefault="00DB38C8" w:rsidP="00C22386">
            <w:pPr>
              <w:spacing w:after="120"/>
              <w:jc w:val="both"/>
              <w:rPr>
                <w:rFonts w:ascii="Times New Roman" w:eastAsia="Times New Roman" w:hAnsi="Times New Roman" w:cs="Times New Roman"/>
                <w:sz w:val="24"/>
                <w:lang w:eastAsia="lv-LV"/>
              </w:rPr>
            </w:pPr>
            <w:r w:rsidRPr="00513738">
              <w:rPr>
                <w:rFonts w:ascii="Times New Roman" w:hAnsi="Times New Roman" w:cs="Times New Roman"/>
                <w:sz w:val="24"/>
                <w:szCs w:val="24"/>
              </w:rPr>
              <w:t xml:space="preserve">Apdrošināšanas un pārapdrošināšanas </w:t>
            </w:r>
            <w:r w:rsidR="00C95A9B" w:rsidRPr="00513738">
              <w:rPr>
                <w:rFonts w:ascii="Times New Roman" w:hAnsi="Times New Roman" w:cs="Times New Roman"/>
                <w:sz w:val="24"/>
                <w:szCs w:val="24"/>
              </w:rPr>
              <w:t>likum</w:t>
            </w:r>
            <w:r w:rsidRPr="00513738">
              <w:rPr>
                <w:rFonts w:ascii="Times New Roman" w:hAnsi="Times New Roman" w:cs="Times New Roman"/>
                <w:sz w:val="24"/>
                <w:szCs w:val="24"/>
              </w:rPr>
              <w:t>ā</w:t>
            </w:r>
            <w:r w:rsidR="009D5D38" w:rsidRPr="00513738">
              <w:rPr>
                <w:rFonts w:ascii="Times New Roman" w:hAnsi="Times New Roman" w:cs="Times New Roman"/>
                <w:sz w:val="24"/>
                <w:szCs w:val="24"/>
              </w:rPr>
              <w:t xml:space="preserve"> ir noteikts pienākums sagatavot gada pārskatu un konsolidēto gada pārskatu saskaņā ar </w:t>
            </w:r>
            <w:r w:rsidR="009D5D38" w:rsidRPr="00513738">
              <w:rPr>
                <w:rFonts w:ascii="Times New Roman" w:eastAsia="Times New Roman" w:hAnsi="Times New Roman" w:cs="Times New Roman"/>
                <w:sz w:val="24"/>
                <w:lang w:eastAsia="lv-LV"/>
              </w:rPr>
              <w:t>Komisijas 2023. gada 13. </w:t>
            </w:r>
            <w:r w:rsidR="00075859" w:rsidRPr="00513738">
              <w:rPr>
                <w:rFonts w:ascii="Times New Roman" w:eastAsia="Times New Roman" w:hAnsi="Times New Roman" w:cs="Times New Roman"/>
                <w:sz w:val="24"/>
                <w:lang w:eastAsia="lv-LV"/>
              </w:rPr>
              <w:t>septembra</w:t>
            </w:r>
            <w:r w:rsidR="009D5D38" w:rsidRPr="00513738">
              <w:rPr>
                <w:rFonts w:ascii="Times New Roman" w:eastAsia="Times New Roman" w:hAnsi="Times New Roman" w:cs="Times New Roman"/>
                <w:sz w:val="24"/>
                <w:lang w:eastAsia="lv-LV"/>
              </w:rPr>
              <w:t xml:space="preserve"> regulu (E</w:t>
            </w:r>
            <w:r w:rsidR="00075859" w:rsidRPr="00513738">
              <w:rPr>
                <w:rFonts w:ascii="Times New Roman" w:eastAsia="Times New Roman" w:hAnsi="Times New Roman" w:cs="Times New Roman"/>
                <w:sz w:val="24"/>
                <w:lang w:eastAsia="lv-LV"/>
              </w:rPr>
              <w:t>S</w:t>
            </w:r>
            <w:r w:rsidR="009D5D38" w:rsidRPr="00513738">
              <w:rPr>
                <w:rFonts w:ascii="Times New Roman" w:eastAsia="Times New Roman" w:hAnsi="Times New Roman" w:cs="Times New Roman"/>
                <w:sz w:val="24"/>
                <w:lang w:eastAsia="lv-LV"/>
              </w:rPr>
              <w:t xml:space="preserve">) Nr. 2023/1803, ar ko pieņem vairākus starptautiskos grāmatvedības standartus saskaņā ar Eiropas </w:t>
            </w:r>
            <w:r w:rsidR="00075859" w:rsidRPr="00513738">
              <w:rPr>
                <w:rFonts w:ascii="Times New Roman" w:eastAsia="Times New Roman" w:hAnsi="Times New Roman" w:cs="Times New Roman"/>
                <w:sz w:val="24"/>
                <w:lang w:eastAsia="lv-LV"/>
              </w:rPr>
              <w:t>P</w:t>
            </w:r>
            <w:r w:rsidR="009D5D38" w:rsidRPr="00513738">
              <w:rPr>
                <w:rFonts w:ascii="Times New Roman" w:eastAsia="Times New Roman" w:hAnsi="Times New Roman" w:cs="Times New Roman"/>
                <w:sz w:val="24"/>
                <w:lang w:eastAsia="lv-LV"/>
              </w:rPr>
              <w:t xml:space="preserve">arlamenta un Padomes regulu (EK) Nr. 1606/2002 </w:t>
            </w:r>
            <w:r w:rsidR="00EE4CD7" w:rsidRPr="00513738">
              <w:rPr>
                <w:rFonts w:ascii="Times New Roman" w:eastAsia="Times New Roman" w:hAnsi="Times New Roman" w:cs="Times New Roman"/>
                <w:sz w:val="24"/>
                <w:lang w:eastAsia="lv-LV"/>
              </w:rPr>
              <w:t>(turpmāk – Starptautiskie grāmatvedības standarti)</w:t>
            </w:r>
            <w:r w:rsidR="009D5D38" w:rsidRPr="00513738">
              <w:rPr>
                <w:rFonts w:ascii="Times New Roman" w:eastAsia="Times New Roman" w:hAnsi="Times New Roman" w:cs="Times New Roman"/>
                <w:sz w:val="24"/>
                <w:lang w:eastAsia="lv-LV"/>
              </w:rPr>
              <w:t>.</w:t>
            </w:r>
          </w:p>
          <w:p w14:paraId="7B154DA4" w14:textId="2C1618AB" w:rsidR="00EE4CD7" w:rsidRPr="00513738" w:rsidRDefault="00EE4CD7" w:rsidP="00C22386">
            <w:pPr>
              <w:spacing w:after="120"/>
              <w:jc w:val="both"/>
              <w:rPr>
                <w:rFonts w:ascii="Times New Roman" w:hAnsi="Times New Roman" w:cs="Times New Roman"/>
                <w:sz w:val="24"/>
                <w:szCs w:val="24"/>
              </w:rPr>
            </w:pPr>
            <w:r w:rsidRPr="00513738">
              <w:rPr>
                <w:rFonts w:ascii="Times New Roman" w:hAnsi="Times New Roman" w:cs="Times New Roman"/>
                <w:sz w:val="24"/>
                <w:lang w:eastAsia="lv-LV"/>
              </w:rPr>
              <w:t xml:space="preserve">Tomēr ne visas prasības gada pārskata un konsolidētā gada pārskata sagatavošanai izriet </w:t>
            </w:r>
            <w:r w:rsidR="00AC6272" w:rsidRPr="00513738">
              <w:rPr>
                <w:rFonts w:ascii="Times New Roman" w:hAnsi="Times New Roman" w:cs="Times New Roman"/>
                <w:sz w:val="24"/>
                <w:lang w:eastAsia="lv-LV"/>
              </w:rPr>
              <w:t>no Starptautiskajiem grāmatvedības standartiem.</w:t>
            </w:r>
            <w:r w:rsidRPr="00513738">
              <w:rPr>
                <w:rFonts w:ascii="Times New Roman" w:hAnsi="Times New Roman" w:cs="Times New Roman"/>
                <w:sz w:val="24"/>
                <w:lang w:eastAsia="lv-LV"/>
              </w:rPr>
              <w:t xml:space="preserve"> </w:t>
            </w:r>
          </w:p>
          <w:p w14:paraId="6F8359C4" w14:textId="46670C09" w:rsidR="00C91862" w:rsidRPr="00513738" w:rsidRDefault="00C91862"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 xml:space="preserve">Noteikumu projekts nodrošina arī </w:t>
            </w:r>
            <w:r w:rsidR="00DB38C8" w:rsidRPr="00513738">
              <w:rPr>
                <w:rFonts w:ascii="Times New Roman" w:eastAsia="Times New Roman" w:hAnsi="Times New Roman" w:cs="Times New Roman"/>
                <w:sz w:val="24"/>
                <w:szCs w:val="24"/>
                <w:lang w:eastAsia="lv-LV"/>
              </w:rPr>
              <w:t>Padomes 1991. gada 19. decembra direktīvas 91/674/EEK par apdrošin</w:t>
            </w:r>
            <w:r w:rsidR="00513738">
              <w:rPr>
                <w:rFonts w:ascii="Times New Roman" w:eastAsia="Times New Roman" w:hAnsi="Times New Roman" w:cs="Times New Roman"/>
                <w:sz w:val="24"/>
                <w:szCs w:val="24"/>
                <w:lang w:eastAsia="lv-LV"/>
              </w:rPr>
              <w:t>ā</w:t>
            </w:r>
            <w:r w:rsidR="00DB38C8" w:rsidRPr="00513738">
              <w:rPr>
                <w:rFonts w:ascii="Times New Roman" w:eastAsia="Times New Roman" w:hAnsi="Times New Roman" w:cs="Times New Roman"/>
                <w:sz w:val="24"/>
                <w:szCs w:val="24"/>
                <w:lang w:eastAsia="lv-LV"/>
              </w:rPr>
              <w:t>šanas uzņēmumu gada pārskatiem un konsolidētajiem pārskatiem</w:t>
            </w:r>
            <w:r w:rsidR="00C63B1D" w:rsidRPr="00513738">
              <w:rPr>
                <w:rFonts w:ascii="Times New Roman" w:eastAsia="Times New Roman" w:hAnsi="Times New Roman" w:cs="Times New Roman"/>
                <w:sz w:val="24"/>
                <w:szCs w:val="24"/>
                <w:lang w:eastAsia="lv-LV"/>
              </w:rPr>
              <w:t xml:space="preserve">, kas attiecas uz </w:t>
            </w:r>
            <w:r w:rsidR="00DB38C8" w:rsidRPr="00513738">
              <w:rPr>
                <w:rFonts w:ascii="Times New Roman" w:eastAsia="Times New Roman" w:hAnsi="Times New Roman" w:cs="Times New Roman"/>
                <w:sz w:val="24"/>
                <w:szCs w:val="24"/>
                <w:lang w:eastAsia="lv-LV"/>
              </w:rPr>
              <w:t>apdrošināšanas un pārapdrošināšanas sabiedrību</w:t>
            </w:r>
            <w:r w:rsidR="00C63B1D" w:rsidRPr="00513738">
              <w:rPr>
                <w:rFonts w:ascii="Times New Roman" w:eastAsia="Times New Roman" w:hAnsi="Times New Roman" w:cs="Times New Roman"/>
                <w:sz w:val="24"/>
                <w:szCs w:val="24"/>
                <w:lang w:eastAsia="lv-LV"/>
              </w:rPr>
              <w:t xml:space="preserve"> gada un konsolidētajiem gada pārskatiem</w:t>
            </w:r>
            <w:r w:rsidR="00133D99" w:rsidRPr="00513738">
              <w:rPr>
                <w:rFonts w:ascii="Times New Roman" w:eastAsia="Times New Roman" w:hAnsi="Times New Roman" w:cs="Times New Roman"/>
                <w:sz w:val="24"/>
                <w:szCs w:val="24"/>
                <w:lang w:eastAsia="lv-LV"/>
              </w:rPr>
              <w:t>,</w:t>
            </w:r>
            <w:r w:rsidR="00C63B1D" w:rsidRPr="00513738">
              <w:rPr>
                <w:rFonts w:ascii="Times New Roman" w:eastAsia="Times New Roman" w:hAnsi="Times New Roman" w:cs="Times New Roman"/>
                <w:sz w:val="24"/>
                <w:szCs w:val="24"/>
                <w:lang w:eastAsia="lv-LV"/>
              </w:rPr>
              <w:t xml:space="preserve"> un Eiropas Parlamenta un Padomes 2013. gada 26. jūnija direktīvas</w:t>
            </w:r>
            <w:r w:rsidR="00075859" w:rsidRPr="00513738">
              <w:rPr>
                <w:rFonts w:ascii="Times New Roman" w:eastAsia="Times New Roman" w:hAnsi="Times New Roman" w:cs="Times New Roman"/>
                <w:sz w:val="24"/>
                <w:szCs w:val="24"/>
                <w:lang w:eastAsia="lv-LV"/>
              </w:rPr>
              <w:t xml:space="preserve"> </w:t>
            </w:r>
            <w:hyperlink r:id="rId11" w:tgtFrame="_blank" w:history="1">
              <w:r w:rsidR="00C63B1D" w:rsidRPr="00513738">
                <w:rPr>
                  <w:rFonts w:ascii="Times New Roman" w:eastAsia="Times New Roman" w:hAnsi="Times New Roman" w:cs="Times New Roman"/>
                  <w:sz w:val="24"/>
                  <w:szCs w:val="24"/>
                  <w:lang w:eastAsia="lv-LV"/>
                </w:rPr>
                <w:t>2013/34/ES</w:t>
              </w:r>
            </w:hyperlink>
            <w:r w:rsidR="00C63B1D" w:rsidRPr="00513738">
              <w:rPr>
                <w:rFonts w:ascii="Times New Roman" w:eastAsia="Times New Roman" w:hAnsi="Times New Roman" w:cs="Times New Roman"/>
                <w:sz w:val="24"/>
                <w:szCs w:val="24"/>
                <w:lang w:eastAsia="lv-LV"/>
              </w:rPr>
              <w:t xml:space="preserve"> par noteiktu veidu uzņēmumu gada finanšu pārskatiem, </w:t>
            </w:r>
            <w:r w:rsidR="00C63B1D" w:rsidRPr="00513738">
              <w:rPr>
                <w:rFonts w:ascii="Times New Roman" w:eastAsia="Times New Roman" w:hAnsi="Times New Roman" w:cs="Times New Roman"/>
                <w:sz w:val="24"/>
                <w:szCs w:val="24"/>
                <w:lang w:eastAsia="lv-LV"/>
              </w:rPr>
              <w:lastRenderedPageBreak/>
              <w:t>konsolidētajiem finanšu pārskatiem un saistītiem ziņojumiem, ar ko groza Eiropas Parlamenta un Padomes direktīvu</w:t>
            </w:r>
            <w:r w:rsidR="00075859" w:rsidRPr="00513738">
              <w:rPr>
                <w:rFonts w:ascii="Times New Roman" w:eastAsia="Times New Roman" w:hAnsi="Times New Roman" w:cs="Times New Roman"/>
                <w:sz w:val="24"/>
                <w:szCs w:val="24"/>
                <w:lang w:eastAsia="lv-LV"/>
              </w:rPr>
              <w:t xml:space="preserve"> </w:t>
            </w:r>
            <w:hyperlink r:id="rId12" w:tgtFrame="_blank" w:history="1">
              <w:r w:rsidR="00C63B1D" w:rsidRPr="00513738">
                <w:rPr>
                  <w:rFonts w:ascii="Times New Roman" w:eastAsia="Times New Roman" w:hAnsi="Times New Roman" w:cs="Times New Roman"/>
                  <w:sz w:val="24"/>
                  <w:szCs w:val="24"/>
                  <w:lang w:eastAsia="lv-LV"/>
                </w:rPr>
                <w:t>2006/43/EK</w:t>
              </w:r>
            </w:hyperlink>
            <w:r w:rsidR="00C63B1D" w:rsidRPr="00513738">
              <w:rPr>
                <w:rFonts w:ascii="Times New Roman" w:eastAsia="Times New Roman" w:hAnsi="Times New Roman" w:cs="Times New Roman"/>
                <w:sz w:val="24"/>
                <w:szCs w:val="24"/>
                <w:lang w:eastAsia="lv-LV"/>
              </w:rPr>
              <w:t xml:space="preserve"> un atceļ Padomes direktīv</w:t>
            </w:r>
            <w:r w:rsidR="00075859" w:rsidRPr="00513738">
              <w:rPr>
                <w:rFonts w:ascii="Times New Roman" w:eastAsia="Times New Roman" w:hAnsi="Times New Roman" w:cs="Times New Roman"/>
                <w:sz w:val="24"/>
                <w:szCs w:val="24"/>
                <w:lang w:eastAsia="lv-LV"/>
              </w:rPr>
              <w:t xml:space="preserve">as </w:t>
            </w:r>
            <w:hyperlink r:id="rId13" w:tgtFrame="_blank" w:history="1">
              <w:r w:rsidR="00C63B1D" w:rsidRPr="00513738">
                <w:rPr>
                  <w:rFonts w:ascii="Times New Roman" w:eastAsia="Times New Roman" w:hAnsi="Times New Roman" w:cs="Times New Roman"/>
                  <w:sz w:val="24"/>
                  <w:szCs w:val="24"/>
                  <w:lang w:eastAsia="lv-LV"/>
                </w:rPr>
                <w:t>78/660/EEK</w:t>
              </w:r>
            </w:hyperlink>
            <w:r w:rsidR="00C63B1D" w:rsidRPr="00513738">
              <w:rPr>
                <w:rFonts w:ascii="Times New Roman" w:eastAsia="Times New Roman" w:hAnsi="Times New Roman" w:cs="Times New Roman"/>
                <w:sz w:val="24"/>
                <w:szCs w:val="24"/>
                <w:lang w:eastAsia="lv-LV"/>
              </w:rPr>
              <w:t xml:space="preserve"> un </w:t>
            </w:r>
            <w:hyperlink r:id="rId14" w:tgtFrame="_blank" w:history="1">
              <w:r w:rsidR="00C63B1D" w:rsidRPr="00513738">
                <w:rPr>
                  <w:rFonts w:ascii="Times New Roman" w:eastAsia="Times New Roman" w:hAnsi="Times New Roman" w:cs="Times New Roman"/>
                  <w:sz w:val="24"/>
                  <w:szCs w:val="24"/>
                  <w:lang w:eastAsia="lv-LV"/>
                </w:rPr>
                <w:t>83/349/EEK</w:t>
              </w:r>
            </w:hyperlink>
            <w:r w:rsidR="00A55801">
              <w:rPr>
                <w:rFonts w:ascii="Times New Roman" w:eastAsia="Times New Roman" w:hAnsi="Times New Roman" w:cs="Times New Roman"/>
                <w:sz w:val="24"/>
                <w:szCs w:val="24"/>
                <w:lang w:eastAsia="lv-LV"/>
              </w:rPr>
              <w:t xml:space="preserve"> (turpmāk – Direktīva 2013/34)</w:t>
            </w:r>
            <w:r w:rsidR="00072A00">
              <w:rPr>
                <w:rFonts w:ascii="Times New Roman" w:eastAsia="Times New Roman" w:hAnsi="Times New Roman" w:cs="Times New Roman"/>
                <w:sz w:val="24"/>
                <w:szCs w:val="24"/>
                <w:lang w:eastAsia="lv-LV"/>
              </w:rPr>
              <w:t>,</w:t>
            </w:r>
            <w:r w:rsidR="00C63B1D" w:rsidRPr="00513738">
              <w:rPr>
                <w:rFonts w:ascii="Times New Roman" w:eastAsia="Times New Roman" w:hAnsi="Times New Roman" w:cs="Times New Roman"/>
                <w:sz w:val="24"/>
                <w:szCs w:val="24"/>
                <w:lang w:eastAsia="lv-LV"/>
              </w:rPr>
              <w:t xml:space="preserve"> </w:t>
            </w:r>
            <w:r w:rsidRPr="00513738">
              <w:rPr>
                <w:rFonts w:ascii="Times New Roman" w:eastAsia="Times New Roman" w:hAnsi="Times New Roman" w:cs="Times New Roman"/>
                <w:sz w:val="24"/>
                <w:szCs w:val="24"/>
                <w:lang w:eastAsia="lv-LV"/>
              </w:rPr>
              <w:t xml:space="preserve">prasību pārņemšanu </w:t>
            </w:r>
            <w:r w:rsidR="00573BDC" w:rsidRPr="00513738">
              <w:rPr>
                <w:rFonts w:ascii="Times New Roman" w:eastAsia="Times New Roman" w:hAnsi="Times New Roman" w:cs="Times New Roman"/>
                <w:sz w:val="24"/>
                <w:szCs w:val="24"/>
                <w:lang w:eastAsia="lv-LV"/>
              </w:rPr>
              <w:t xml:space="preserve">tajās jomās, kurās Starptautiskie </w:t>
            </w:r>
            <w:r w:rsidR="00075859" w:rsidRPr="00513738">
              <w:rPr>
                <w:rFonts w:ascii="Times New Roman" w:eastAsia="Times New Roman" w:hAnsi="Times New Roman" w:cs="Times New Roman"/>
                <w:sz w:val="24"/>
                <w:szCs w:val="24"/>
                <w:lang w:eastAsia="lv-LV"/>
              </w:rPr>
              <w:t>grāmatvedības</w:t>
            </w:r>
            <w:r w:rsidR="00573BDC" w:rsidRPr="00513738">
              <w:rPr>
                <w:rFonts w:ascii="Times New Roman" w:eastAsia="Times New Roman" w:hAnsi="Times New Roman" w:cs="Times New Roman"/>
                <w:sz w:val="24"/>
                <w:szCs w:val="24"/>
                <w:lang w:eastAsia="lv-LV"/>
              </w:rPr>
              <w:t xml:space="preserve"> standarti nenosaka prasības (vadības ziņojuma saturs) vai nenosaka tik detalizētas prasības (informācijas atklāšana </w:t>
            </w:r>
            <w:r w:rsidR="00133D99" w:rsidRPr="00513738">
              <w:rPr>
                <w:rFonts w:ascii="Times New Roman" w:eastAsia="Times New Roman" w:hAnsi="Times New Roman" w:cs="Times New Roman"/>
                <w:sz w:val="24"/>
                <w:szCs w:val="24"/>
                <w:lang w:eastAsia="lv-LV"/>
              </w:rPr>
              <w:t xml:space="preserve">finanšu pārskatu </w:t>
            </w:r>
            <w:r w:rsidR="00573BDC" w:rsidRPr="00513738">
              <w:rPr>
                <w:rFonts w:ascii="Times New Roman" w:eastAsia="Times New Roman" w:hAnsi="Times New Roman" w:cs="Times New Roman"/>
                <w:sz w:val="24"/>
                <w:szCs w:val="24"/>
                <w:lang w:eastAsia="lv-LV"/>
              </w:rPr>
              <w:t>pielikumā)</w:t>
            </w:r>
            <w:r w:rsidRPr="00513738">
              <w:rPr>
                <w:rFonts w:ascii="Times New Roman" w:eastAsia="Times New Roman" w:hAnsi="Times New Roman" w:cs="Times New Roman"/>
                <w:sz w:val="24"/>
                <w:szCs w:val="24"/>
                <w:lang w:eastAsia="lv-LV"/>
              </w:rPr>
              <w:t>.</w:t>
            </w:r>
            <w:r w:rsidR="00A55801">
              <w:rPr>
                <w:rFonts w:ascii="Times New Roman" w:eastAsia="Times New Roman" w:hAnsi="Times New Roman" w:cs="Times New Roman"/>
                <w:sz w:val="24"/>
                <w:szCs w:val="24"/>
                <w:lang w:eastAsia="lv-LV"/>
              </w:rPr>
              <w:t xml:space="preserve"> Pārņemot </w:t>
            </w:r>
            <w:r w:rsidR="00A55801">
              <w:rPr>
                <w:rFonts w:ascii="Times New Roman" w:eastAsia="Times New Roman" w:hAnsi="Times New Roman" w:cs="Times New Roman"/>
                <w:noProof/>
                <w:sz w:val="24"/>
                <w:szCs w:val="24"/>
                <w:lang w:eastAsia="lv-LV"/>
              </w:rPr>
              <w:t>Direktīvas 2013/34 prasības</w:t>
            </w:r>
            <w:r w:rsidR="000D1D1D">
              <w:rPr>
                <w:rFonts w:ascii="Times New Roman" w:eastAsia="Times New Roman" w:hAnsi="Times New Roman" w:cs="Times New Roman"/>
                <w:noProof/>
                <w:sz w:val="24"/>
                <w:szCs w:val="24"/>
                <w:lang w:eastAsia="lv-LV"/>
              </w:rPr>
              <w:t>,</w:t>
            </w:r>
            <w:r w:rsidR="00A55801">
              <w:rPr>
                <w:rFonts w:ascii="Times New Roman" w:eastAsia="Times New Roman" w:hAnsi="Times New Roman" w:cs="Times New Roman"/>
                <w:noProof/>
                <w:sz w:val="24"/>
                <w:szCs w:val="24"/>
                <w:lang w:eastAsia="lv-LV"/>
              </w:rPr>
              <w:t xml:space="preserve"> noteikumu projekts precizē, ka priekšlikums par peļņas sadali un </w:t>
            </w:r>
            <w:r w:rsidR="007737AC">
              <w:rPr>
                <w:rFonts w:ascii="Times New Roman" w:eastAsia="Times New Roman" w:hAnsi="Times New Roman" w:cs="Times New Roman"/>
                <w:noProof/>
                <w:sz w:val="24"/>
                <w:szCs w:val="24"/>
                <w:lang w:eastAsia="lv-LV"/>
              </w:rPr>
              <w:t xml:space="preserve">informācija par </w:t>
            </w:r>
            <w:r w:rsidR="00A55801">
              <w:rPr>
                <w:rFonts w:ascii="Times New Roman" w:eastAsia="Times New Roman" w:hAnsi="Times New Roman" w:cs="Times New Roman"/>
                <w:noProof/>
                <w:sz w:val="24"/>
                <w:szCs w:val="24"/>
                <w:lang w:eastAsia="lv-LV"/>
              </w:rPr>
              <w:t>dividenžu lielumu jāatklāj finanšu pārskatu pielikumā (</w:t>
            </w:r>
            <w:r w:rsidR="00171D0D">
              <w:rPr>
                <w:rFonts w:ascii="Times New Roman" w:eastAsia="Times New Roman" w:hAnsi="Times New Roman" w:cs="Times New Roman"/>
                <w:noProof/>
                <w:sz w:val="24"/>
                <w:szCs w:val="24"/>
                <w:lang w:eastAsia="lv-LV"/>
              </w:rPr>
              <w:t xml:space="preserve">noteikumu projekta </w:t>
            </w:r>
            <w:r w:rsidR="00A55801">
              <w:rPr>
                <w:rFonts w:ascii="Times New Roman" w:eastAsia="Times New Roman" w:hAnsi="Times New Roman" w:cs="Times New Roman"/>
                <w:noProof/>
                <w:sz w:val="24"/>
                <w:szCs w:val="24"/>
                <w:lang w:eastAsia="lv-LV"/>
              </w:rPr>
              <w:t>23.5. </w:t>
            </w:r>
            <w:r w:rsidR="000D1D1D">
              <w:rPr>
                <w:rFonts w:ascii="Times New Roman" w:eastAsia="Times New Roman" w:hAnsi="Times New Roman" w:cs="Times New Roman"/>
                <w:noProof/>
                <w:sz w:val="24"/>
                <w:szCs w:val="24"/>
                <w:lang w:eastAsia="lv-LV"/>
              </w:rPr>
              <w:t>apakš</w:t>
            </w:r>
            <w:r w:rsidR="00A55801">
              <w:rPr>
                <w:rFonts w:ascii="Times New Roman" w:eastAsia="Times New Roman" w:hAnsi="Times New Roman" w:cs="Times New Roman"/>
                <w:noProof/>
                <w:sz w:val="24"/>
                <w:szCs w:val="24"/>
                <w:lang w:eastAsia="lv-LV"/>
              </w:rPr>
              <w:t>punkts), ne</w:t>
            </w:r>
            <w:r w:rsidR="007737AC">
              <w:rPr>
                <w:rFonts w:ascii="Times New Roman" w:eastAsia="Times New Roman" w:hAnsi="Times New Roman" w:cs="Times New Roman"/>
                <w:noProof/>
                <w:sz w:val="24"/>
                <w:szCs w:val="24"/>
                <w:lang w:eastAsia="lv-LV"/>
              </w:rPr>
              <w:t>vis</w:t>
            </w:r>
            <w:r w:rsidR="00A55801">
              <w:rPr>
                <w:rFonts w:ascii="Times New Roman" w:eastAsia="Times New Roman" w:hAnsi="Times New Roman" w:cs="Times New Roman"/>
                <w:noProof/>
                <w:sz w:val="24"/>
                <w:szCs w:val="24"/>
                <w:lang w:eastAsia="lv-LV"/>
              </w:rPr>
              <w:t xml:space="preserve"> vadības ziņojumā.</w:t>
            </w:r>
          </w:p>
          <w:p w14:paraId="2C65435B" w14:textId="2F607EF0" w:rsidR="00075859" w:rsidRPr="00513738" w:rsidRDefault="00075859"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 xml:space="preserve">Eiropas Savienības </w:t>
            </w:r>
            <w:r w:rsidR="00E40F63">
              <w:rPr>
                <w:rFonts w:ascii="Times New Roman" w:eastAsia="Times New Roman" w:hAnsi="Times New Roman" w:cs="Times New Roman"/>
                <w:sz w:val="24"/>
                <w:szCs w:val="24"/>
                <w:lang w:eastAsia="lv-LV"/>
              </w:rPr>
              <w:t xml:space="preserve">tiesību aktu </w:t>
            </w:r>
            <w:r w:rsidRPr="00513738">
              <w:rPr>
                <w:rFonts w:ascii="Times New Roman" w:eastAsia="Times New Roman" w:hAnsi="Times New Roman" w:cs="Times New Roman"/>
                <w:sz w:val="24"/>
                <w:szCs w:val="24"/>
                <w:lang w:eastAsia="lv-LV"/>
              </w:rPr>
              <w:t>pārņemšanas</w:t>
            </w:r>
            <w:r w:rsidR="00E40F63">
              <w:rPr>
                <w:rFonts w:ascii="Times New Roman" w:eastAsia="Times New Roman" w:hAnsi="Times New Roman" w:cs="Times New Roman"/>
                <w:sz w:val="24"/>
                <w:szCs w:val="24"/>
                <w:lang w:eastAsia="lv-LV"/>
              </w:rPr>
              <w:t>/ieviešanas</w:t>
            </w:r>
            <w:r w:rsidRPr="00513738">
              <w:rPr>
                <w:rFonts w:ascii="Times New Roman" w:eastAsia="Times New Roman" w:hAnsi="Times New Roman" w:cs="Times New Roman"/>
                <w:sz w:val="24"/>
                <w:szCs w:val="24"/>
                <w:lang w:eastAsia="lv-LV"/>
              </w:rPr>
              <w:t xml:space="preserve"> tabula iek</w:t>
            </w:r>
            <w:r w:rsidR="00CF52B3" w:rsidRPr="00513738">
              <w:rPr>
                <w:rFonts w:ascii="Times New Roman" w:eastAsia="Times New Roman" w:hAnsi="Times New Roman" w:cs="Times New Roman"/>
                <w:sz w:val="24"/>
                <w:szCs w:val="24"/>
                <w:lang w:eastAsia="lv-LV"/>
              </w:rPr>
              <w:t>ļa</w:t>
            </w:r>
            <w:r w:rsidRPr="00513738">
              <w:rPr>
                <w:rFonts w:ascii="Times New Roman" w:eastAsia="Times New Roman" w:hAnsi="Times New Roman" w:cs="Times New Roman"/>
                <w:sz w:val="24"/>
                <w:szCs w:val="24"/>
                <w:lang w:eastAsia="lv-LV"/>
              </w:rPr>
              <w:t xml:space="preserve">uta anotācijas </w:t>
            </w:r>
            <w:r w:rsidR="00BC0624">
              <w:rPr>
                <w:rFonts w:ascii="Times New Roman" w:eastAsia="Times New Roman" w:hAnsi="Times New Roman" w:cs="Times New Roman"/>
                <w:sz w:val="24"/>
                <w:szCs w:val="24"/>
                <w:lang w:eastAsia="lv-LV"/>
              </w:rPr>
              <w:t>1. </w:t>
            </w:r>
            <w:r w:rsidRPr="00513738">
              <w:rPr>
                <w:rFonts w:ascii="Times New Roman" w:eastAsia="Times New Roman" w:hAnsi="Times New Roman" w:cs="Times New Roman"/>
                <w:sz w:val="24"/>
                <w:szCs w:val="24"/>
                <w:lang w:eastAsia="lv-LV"/>
              </w:rPr>
              <w:t>pielikumā.</w:t>
            </w:r>
          </w:p>
          <w:p w14:paraId="47F5686A" w14:textId="266A6B33" w:rsidR="006D04A2" w:rsidRDefault="006D04A2"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Ilgtspējas informācijas atklāšanas likumprojekts (</w:t>
            </w:r>
            <w:r w:rsidR="00522233">
              <w:rPr>
                <w:rFonts w:ascii="Times New Roman" w:eastAsia="Times New Roman" w:hAnsi="Times New Roman" w:cs="Times New Roman"/>
                <w:sz w:val="24"/>
                <w:szCs w:val="24"/>
                <w:lang w:eastAsia="lv-LV"/>
              </w:rPr>
              <w:t>625/Lp14</w:t>
            </w:r>
            <w:r w:rsidRPr="00513738">
              <w:rPr>
                <w:rFonts w:ascii="Times New Roman" w:eastAsia="Times New Roman" w:hAnsi="Times New Roman" w:cs="Times New Roman"/>
                <w:sz w:val="24"/>
                <w:szCs w:val="24"/>
                <w:lang w:eastAsia="lv-LV"/>
              </w:rPr>
              <w:t>) paredz not</w:t>
            </w:r>
            <w:r w:rsidR="007737AC">
              <w:rPr>
                <w:rFonts w:ascii="Times New Roman" w:eastAsia="Times New Roman" w:hAnsi="Times New Roman" w:cs="Times New Roman"/>
                <w:sz w:val="24"/>
                <w:szCs w:val="24"/>
                <w:lang w:eastAsia="lv-LV"/>
              </w:rPr>
              <w:t>e</w:t>
            </w:r>
            <w:r w:rsidRPr="00513738">
              <w:rPr>
                <w:rFonts w:ascii="Times New Roman" w:eastAsia="Times New Roman" w:hAnsi="Times New Roman" w:cs="Times New Roman"/>
                <w:sz w:val="24"/>
                <w:szCs w:val="24"/>
                <w:lang w:eastAsia="lv-LV"/>
              </w:rPr>
              <w:t>ikt vienotas prasības visām lielām sabiedrībām</w:t>
            </w:r>
            <w:r w:rsidR="00FD480E" w:rsidRPr="00513738">
              <w:rPr>
                <w:rFonts w:ascii="Times New Roman" w:eastAsia="Times New Roman" w:hAnsi="Times New Roman" w:cs="Times New Roman"/>
                <w:sz w:val="24"/>
                <w:szCs w:val="24"/>
                <w:lang w:eastAsia="lv-LV"/>
              </w:rPr>
              <w:t>, kas ir sabiedriskas nozīmes</w:t>
            </w:r>
            <w:r w:rsidRPr="00513738">
              <w:rPr>
                <w:rFonts w:ascii="Times New Roman" w:eastAsia="Times New Roman" w:hAnsi="Times New Roman" w:cs="Times New Roman"/>
                <w:sz w:val="24"/>
                <w:szCs w:val="24"/>
                <w:lang w:eastAsia="lv-LV"/>
              </w:rPr>
              <w:t xml:space="preserve"> </w:t>
            </w:r>
            <w:r w:rsidR="00FD480E" w:rsidRPr="00513738">
              <w:rPr>
                <w:rFonts w:ascii="Times New Roman" w:eastAsia="Times New Roman" w:hAnsi="Times New Roman" w:cs="Times New Roman"/>
                <w:sz w:val="24"/>
                <w:szCs w:val="24"/>
                <w:lang w:eastAsia="lv-LV"/>
              </w:rPr>
              <w:t>struktūras, kur</w:t>
            </w:r>
            <w:r w:rsidR="007737AC">
              <w:rPr>
                <w:rFonts w:ascii="Times New Roman" w:eastAsia="Times New Roman" w:hAnsi="Times New Roman" w:cs="Times New Roman"/>
                <w:sz w:val="24"/>
                <w:szCs w:val="24"/>
                <w:lang w:eastAsia="lv-LV"/>
              </w:rPr>
              <w:t>u</w:t>
            </w:r>
            <w:r w:rsidR="00FD480E" w:rsidRPr="00513738">
              <w:rPr>
                <w:rFonts w:ascii="Times New Roman" w:eastAsia="Times New Roman" w:hAnsi="Times New Roman" w:cs="Times New Roman"/>
                <w:sz w:val="24"/>
                <w:szCs w:val="24"/>
                <w:lang w:eastAsia="lv-LV"/>
              </w:rPr>
              <w:t xml:space="preserve"> darbinieku skaits ir lielāks par 500, </w:t>
            </w:r>
            <w:r w:rsidR="00133D99" w:rsidRPr="00513738">
              <w:rPr>
                <w:rFonts w:ascii="Times New Roman" w:eastAsia="Times New Roman" w:hAnsi="Times New Roman" w:cs="Times New Roman"/>
                <w:sz w:val="24"/>
                <w:szCs w:val="24"/>
                <w:lang w:eastAsia="lv-LV"/>
              </w:rPr>
              <w:t xml:space="preserve">kā arī </w:t>
            </w:r>
            <w:r w:rsidR="00FD480E" w:rsidRPr="00513738">
              <w:rPr>
                <w:rFonts w:ascii="Times New Roman" w:eastAsia="Times New Roman" w:hAnsi="Times New Roman" w:cs="Times New Roman"/>
                <w:sz w:val="24"/>
                <w:szCs w:val="24"/>
                <w:lang w:eastAsia="lv-LV"/>
              </w:rPr>
              <w:t xml:space="preserve">visām lielām sabiedrībām </w:t>
            </w:r>
            <w:r w:rsidRPr="00513738">
              <w:rPr>
                <w:rFonts w:ascii="Times New Roman" w:eastAsia="Times New Roman" w:hAnsi="Times New Roman" w:cs="Times New Roman"/>
                <w:sz w:val="24"/>
                <w:szCs w:val="24"/>
                <w:lang w:eastAsia="lv-LV"/>
              </w:rPr>
              <w:t xml:space="preserve">un maziem un vidējiem uzņēmumiem, kuru pārvedami vērtspapīri ir iekļauti regulētā tirgū, pienākumu </w:t>
            </w:r>
            <w:r w:rsidR="00FD480E" w:rsidRPr="00513738">
              <w:rPr>
                <w:rFonts w:ascii="Times New Roman" w:eastAsia="Times New Roman" w:hAnsi="Times New Roman" w:cs="Times New Roman"/>
                <w:sz w:val="24"/>
                <w:szCs w:val="24"/>
                <w:lang w:eastAsia="lv-LV"/>
              </w:rPr>
              <w:t>vadības ziņojumā iekļaut skaidri identificējamu ilgtspējas ziņojumu. Ņemot vērā minēto, no Noteikumiem Nr. 11</w:t>
            </w:r>
            <w:r w:rsidR="00A47913" w:rsidRPr="00513738">
              <w:rPr>
                <w:rFonts w:ascii="Times New Roman" w:eastAsia="Times New Roman" w:hAnsi="Times New Roman" w:cs="Times New Roman"/>
                <w:sz w:val="24"/>
                <w:szCs w:val="24"/>
                <w:lang w:eastAsia="lv-LV"/>
              </w:rPr>
              <w:t>4</w:t>
            </w:r>
            <w:r w:rsidR="00FD480E" w:rsidRPr="00513738">
              <w:rPr>
                <w:rFonts w:ascii="Times New Roman" w:eastAsia="Times New Roman" w:hAnsi="Times New Roman" w:cs="Times New Roman"/>
                <w:sz w:val="24"/>
                <w:szCs w:val="24"/>
                <w:lang w:eastAsia="lv-LV"/>
              </w:rPr>
              <w:t xml:space="preserve"> ir izslēgtas prasības par nefinanšu </w:t>
            </w:r>
            <w:r w:rsidR="00AB17EC" w:rsidRPr="00513738">
              <w:rPr>
                <w:rFonts w:ascii="Times New Roman" w:eastAsia="Times New Roman" w:hAnsi="Times New Roman" w:cs="Times New Roman"/>
                <w:sz w:val="24"/>
                <w:szCs w:val="24"/>
                <w:lang w:eastAsia="lv-LV"/>
              </w:rPr>
              <w:t>pa</w:t>
            </w:r>
            <w:r w:rsidR="00FD480E" w:rsidRPr="00513738">
              <w:rPr>
                <w:rFonts w:ascii="Times New Roman" w:eastAsia="Times New Roman" w:hAnsi="Times New Roman" w:cs="Times New Roman"/>
                <w:sz w:val="24"/>
                <w:szCs w:val="24"/>
                <w:lang w:eastAsia="lv-LV"/>
              </w:rPr>
              <w:t>ziņojuma sagatavošanu.</w:t>
            </w:r>
          </w:p>
          <w:p w14:paraId="22BF4E87" w14:textId="22B9DF51" w:rsidR="00C14BC9" w:rsidRDefault="00C14BC9" w:rsidP="00C14BC9">
            <w:pPr>
              <w:spacing w:after="120"/>
              <w:jc w:val="both"/>
              <w:rPr>
                <w:rFonts w:ascii="Times New Roman" w:eastAsia="Times New Roman" w:hAnsi="Times New Roman" w:cs="Times New Roman"/>
                <w:sz w:val="24"/>
                <w:szCs w:val="24"/>
                <w:lang w:eastAsia="lv-LV"/>
              </w:rPr>
            </w:pPr>
            <w:r w:rsidRPr="00281744">
              <w:rPr>
                <w:rFonts w:ascii="Times New Roman" w:eastAsia="Times New Roman" w:hAnsi="Times New Roman" w:cs="Times New Roman"/>
                <w:noProof/>
                <w:sz w:val="24"/>
                <w:szCs w:val="24"/>
                <w:lang w:eastAsia="lv-LV"/>
              </w:rPr>
              <w:t>Noteikumu projekts precizē neto apgrozījuma noteikšanai izmantojamo pelņas vai zaudējumu aprēķina posteņu uzskaitījumu</w:t>
            </w:r>
            <w:r w:rsidRPr="0096792D">
              <w:rPr>
                <w:rFonts w:ascii="Times New Roman" w:eastAsia="Times New Roman" w:hAnsi="Times New Roman" w:cs="Times New Roman"/>
                <w:noProof/>
                <w:sz w:val="24"/>
                <w:szCs w:val="24"/>
                <w:lang w:eastAsia="lv-LV"/>
              </w:rPr>
              <w:t>.</w:t>
            </w:r>
            <w:r>
              <w:rPr>
                <w:rFonts w:ascii="Times New Roman" w:eastAsia="Times New Roman" w:hAnsi="Times New Roman" w:cs="Times New Roman"/>
                <w:noProof/>
                <w:sz w:val="24"/>
                <w:szCs w:val="24"/>
                <w:lang w:eastAsia="lv-LV"/>
              </w:rPr>
              <w:t xml:space="preserve"> Ne</w:t>
            </w:r>
            <w:r w:rsidR="007737AC">
              <w:rPr>
                <w:rFonts w:ascii="Times New Roman" w:eastAsia="Times New Roman" w:hAnsi="Times New Roman" w:cs="Times New Roman"/>
                <w:noProof/>
                <w:sz w:val="24"/>
                <w:szCs w:val="24"/>
                <w:lang w:eastAsia="lv-LV"/>
              </w:rPr>
              <w:t>raug</w:t>
            </w:r>
            <w:r>
              <w:rPr>
                <w:rFonts w:ascii="Times New Roman" w:eastAsia="Times New Roman" w:hAnsi="Times New Roman" w:cs="Times New Roman"/>
                <w:noProof/>
                <w:sz w:val="24"/>
                <w:szCs w:val="24"/>
                <w:lang w:eastAsia="lv-LV"/>
              </w:rPr>
              <w:t xml:space="preserve">oties uz to, ka finanšu nozares iestādes peļņas vai zaudējumu aprēķinā neuzrāda šādu posteni, </w:t>
            </w:r>
            <w:r w:rsidR="007737AC">
              <w:rPr>
                <w:rFonts w:ascii="Times New Roman" w:eastAsia="Times New Roman" w:hAnsi="Times New Roman" w:cs="Times New Roman"/>
                <w:noProof/>
                <w:sz w:val="24"/>
                <w:szCs w:val="24"/>
                <w:lang w:eastAsia="lv-LV"/>
              </w:rPr>
              <w:t xml:space="preserve">jānodrošina vienota </w:t>
            </w:r>
            <w:r>
              <w:rPr>
                <w:rFonts w:ascii="Times New Roman" w:eastAsia="Times New Roman" w:hAnsi="Times New Roman" w:cs="Times New Roman"/>
                <w:noProof/>
                <w:sz w:val="24"/>
                <w:szCs w:val="24"/>
                <w:lang w:eastAsia="lv-LV"/>
              </w:rPr>
              <w:t>f</w:t>
            </w:r>
            <w:r w:rsidRPr="001676C9">
              <w:rPr>
                <w:rFonts w:ascii="Times New Roman" w:eastAsia="Times New Roman" w:hAnsi="Times New Roman" w:cs="Times New Roman"/>
                <w:noProof/>
                <w:sz w:val="24"/>
                <w:szCs w:val="24"/>
                <w:lang w:eastAsia="lv-LV"/>
              </w:rPr>
              <w:t>inanšu</w:t>
            </w:r>
            <w:r>
              <w:rPr>
                <w:rFonts w:eastAsia="Times New Roman"/>
                <w:noProof/>
                <w:lang w:eastAsia="lv-LV"/>
              </w:rPr>
              <w:t xml:space="preserve"> </w:t>
            </w:r>
            <w:r>
              <w:rPr>
                <w:rFonts w:ascii="Times New Roman" w:eastAsia="Times New Roman" w:hAnsi="Times New Roman" w:cs="Times New Roman"/>
                <w:noProof/>
                <w:sz w:val="24"/>
                <w:szCs w:val="24"/>
                <w:lang w:eastAsia="lv-LV"/>
              </w:rPr>
              <w:t>tirgus dalībniek</w:t>
            </w:r>
            <w:r w:rsidR="007737AC">
              <w:rPr>
                <w:rFonts w:ascii="Times New Roman" w:eastAsia="Times New Roman" w:hAnsi="Times New Roman" w:cs="Times New Roman"/>
                <w:noProof/>
                <w:sz w:val="24"/>
                <w:szCs w:val="24"/>
                <w:lang w:eastAsia="lv-LV"/>
              </w:rPr>
              <w:t>u</w:t>
            </w:r>
            <w:r>
              <w:rPr>
                <w:rFonts w:ascii="Times New Roman" w:eastAsia="Times New Roman" w:hAnsi="Times New Roman" w:cs="Times New Roman"/>
                <w:noProof/>
                <w:sz w:val="24"/>
                <w:szCs w:val="24"/>
                <w:lang w:eastAsia="lv-LV"/>
              </w:rPr>
              <w:t xml:space="preserve"> izpratn</w:t>
            </w:r>
            <w:r w:rsidR="007737AC">
              <w:rPr>
                <w:rFonts w:ascii="Times New Roman" w:eastAsia="Times New Roman" w:hAnsi="Times New Roman" w:cs="Times New Roman"/>
                <w:noProof/>
                <w:sz w:val="24"/>
                <w:szCs w:val="24"/>
                <w:lang w:eastAsia="lv-LV"/>
              </w:rPr>
              <w:t>e</w:t>
            </w:r>
            <w:r>
              <w:rPr>
                <w:rFonts w:ascii="Times New Roman" w:eastAsia="Times New Roman" w:hAnsi="Times New Roman" w:cs="Times New Roman"/>
                <w:noProof/>
                <w:sz w:val="24"/>
                <w:szCs w:val="24"/>
                <w:lang w:eastAsia="lv-LV"/>
              </w:rPr>
              <w:t xml:space="preserve"> par neto apgrozījuma aprēķinā iekļaujamajiem posteņiem</w:t>
            </w:r>
            <w:r w:rsidR="007737AC">
              <w:rPr>
                <w:rFonts w:ascii="Times New Roman" w:eastAsia="Times New Roman" w:hAnsi="Times New Roman" w:cs="Times New Roman"/>
                <w:noProof/>
                <w:sz w:val="24"/>
                <w:szCs w:val="24"/>
                <w:lang w:eastAsia="lv-LV"/>
              </w:rPr>
              <w:t xml:space="preserve"> saskaņā ar </w:t>
            </w:r>
            <w:r>
              <w:rPr>
                <w:rFonts w:ascii="Times New Roman" w:eastAsia="Times New Roman" w:hAnsi="Times New Roman" w:cs="Times New Roman"/>
                <w:noProof/>
                <w:sz w:val="24"/>
                <w:szCs w:val="24"/>
                <w:lang w:eastAsia="lv-LV"/>
              </w:rPr>
              <w:t>tiem saistošo finanšu pārskatu. Neto apgrozījuma apmēra noteikšana f</w:t>
            </w:r>
            <w:r w:rsidRPr="001676C9">
              <w:rPr>
                <w:rFonts w:ascii="Times New Roman" w:eastAsia="Times New Roman" w:hAnsi="Times New Roman" w:cs="Times New Roman"/>
                <w:noProof/>
                <w:sz w:val="24"/>
                <w:szCs w:val="24"/>
                <w:lang w:eastAsia="lv-LV"/>
              </w:rPr>
              <w:t xml:space="preserve">inanšu </w:t>
            </w:r>
            <w:r>
              <w:rPr>
                <w:rFonts w:ascii="Times New Roman" w:eastAsia="Times New Roman" w:hAnsi="Times New Roman" w:cs="Times New Roman"/>
                <w:noProof/>
                <w:sz w:val="24"/>
                <w:szCs w:val="24"/>
                <w:lang w:eastAsia="lv-LV"/>
              </w:rPr>
              <w:t>tirgus dalībniekiem ir nepieciešama, piemēram, lai identificētu</w:t>
            </w:r>
            <w:r w:rsidR="00F67974">
              <w:rPr>
                <w:rFonts w:ascii="Times New Roman" w:eastAsia="Times New Roman" w:hAnsi="Times New Roman" w:cs="Times New Roman"/>
                <w:noProof/>
                <w:sz w:val="24"/>
                <w:szCs w:val="24"/>
                <w:lang w:eastAsia="lv-LV"/>
              </w:rPr>
              <w:t>,</w:t>
            </w:r>
            <w:r>
              <w:rPr>
                <w:rFonts w:ascii="Times New Roman" w:eastAsia="Times New Roman" w:hAnsi="Times New Roman" w:cs="Times New Roman"/>
                <w:noProof/>
                <w:sz w:val="24"/>
                <w:szCs w:val="24"/>
                <w:lang w:eastAsia="lv-LV"/>
              </w:rPr>
              <w:t xml:space="preserve"> vai uz tiem attiecas Ilgtspējas informācijas atklāšanas likumprojekta prasības, kas </w:t>
            </w:r>
            <w:r w:rsidR="007737AC">
              <w:rPr>
                <w:rFonts w:ascii="Times New Roman" w:eastAsia="Times New Roman" w:hAnsi="Times New Roman" w:cs="Times New Roman"/>
                <w:noProof/>
                <w:sz w:val="24"/>
                <w:szCs w:val="24"/>
                <w:lang w:eastAsia="lv-LV"/>
              </w:rPr>
              <w:t xml:space="preserve">ir </w:t>
            </w:r>
            <w:r>
              <w:rPr>
                <w:rFonts w:ascii="Times New Roman" w:eastAsia="Times New Roman" w:hAnsi="Times New Roman" w:cs="Times New Roman"/>
                <w:noProof/>
                <w:sz w:val="24"/>
                <w:szCs w:val="24"/>
                <w:lang w:eastAsia="lv-LV"/>
              </w:rPr>
              <w:t>saistošas lielām sabiedrībām atbilstoši Gada pārskat</w:t>
            </w:r>
            <w:r w:rsidR="00BA128A">
              <w:rPr>
                <w:rFonts w:ascii="Times New Roman" w:eastAsia="Times New Roman" w:hAnsi="Times New Roman" w:cs="Times New Roman"/>
                <w:noProof/>
                <w:sz w:val="24"/>
                <w:szCs w:val="24"/>
                <w:lang w:eastAsia="lv-LV"/>
              </w:rPr>
              <w:t>u</w:t>
            </w:r>
            <w:r>
              <w:rPr>
                <w:rFonts w:ascii="Times New Roman" w:eastAsia="Times New Roman" w:hAnsi="Times New Roman" w:cs="Times New Roman"/>
                <w:noProof/>
                <w:sz w:val="24"/>
                <w:szCs w:val="24"/>
                <w:lang w:eastAsia="lv-LV"/>
              </w:rPr>
              <w:t xml:space="preserve"> un konsolidēt</w:t>
            </w:r>
            <w:r w:rsidR="00BA128A">
              <w:rPr>
                <w:rFonts w:ascii="Times New Roman" w:eastAsia="Times New Roman" w:hAnsi="Times New Roman" w:cs="Times New Roman"/>
                <w:noProof/>
                <w:sz w:val="24"/>
                <w:szCs w:val="24"/>
                <w:lang w:eastAsia="lv-LV"/>
              </w:rPr>
              <w:t>o</w:t>
            </w:r>
            <w:r>
              <w:rPr>
                <w:rFonts w:ascii="Times New Roman" w:eastAsia="Times New Roman" w:hAnsi="Times New Roman" w:cs="Times New Roman"/>
                <w:noProof/>
                <w:sz w:val="24"/>
                <w:szCs w:val="24"/>
                <w:lang w:eastAsia="lv-LV"/>
              </w:rPr>
              <w:t xml:space="preserve"> gada pārskat</w:t>
            </w:r>
            <w:r w:rsidR="00BA128A">
              <w:rPr>
                <w:rFonts w:ascii="Times New Roman" w:eastAsia="Times New Roman" w:hAnsi="Times New Roman" w:cs="Times New Roman"/>
                <w:noProof/>
                <w:sz w:val="24"/>
                <w:szCs w:val="24"/>
                <w:lang w:eastAsia="lv-LV"/>
              </w:rPr>
              <w:t>u</w:t>
            </w:r>
            <w:r>
              <w:rPr>
                <w:rFonts w:ascii="Times New Roman" w:eastAsia="Times New Roman" w:hAnsi="Times New Roman" w:cs="Times New Roman"/>
                <w:noProof/>
                <w:sz w:val="24"/>
                <w:szCs w:val="24"/>
                <w:lang w:eastAsia="lv-LV"/>
              </w:rPr>
              <w:t xml:space="preserve"> likuma 5. pantā minētajām sabiedrību kritēriju robežvērtībām. Neto apgrozījuma </w:t>
            </w:r>
            <w:r w:rsidRPr="00C14BC9">
              <w:rPr>
                <w:rFonts w:ascii="Times New Roman" w:eastAsia="Times New Roman" w:hAnsi="Times New Roman" w:cs="Times New Roman"/>
                <w:noProof/>
                <w:sz w:val="24"/>
                <w:szCs w:val="24"/>
                <w:lang w:eastAsia="lv-LV"/>
              </w:rPr>
              <w:t>noteikšanai f</w:t>
            </w:r>
            <w:r w:rsidRPr="000C4FCD">
              <w:rPr>
                <w:rFonts w:ascii="Times New Roman" w:eastAsia="Times New Roman" w:hAnsi="Times New Roman" w:cs="Times New Roman"/>
                <w:noProof/>
                <w:sz w:val="24"/>
                <w:szCs w:val="24"/>
                <w:lang w:eastAsia="lv-LV"/>
              </w:rPr>
              <w:t>inanšu tirgus dalībniekiem</w:t>
            </w:r>
            <w:r w:rsidRPr="00C14BC9">
              <w:rPr>
                <w:rFonts w:ascii="Times New Roman" w:eastAsia="Times New Roman" w:hAnsi="Times New Roman" w:cs="Times New Roman"/>
                <w:noProof/>
                <w:sz w:val="24"/>
                <w:szCs w:val="24"/>
                <w:lang w:eastAsia="lv-LV"/>
              </w:rPr>
              <w:t xml:space="preserve"> izmantots Padomes</w:t>
            </w:r>
            <w:r>
              <w:rPr>
                <w:rFonts w:ascii="Times New Roman" w:eastAsia="Times New Roman" w:hAnsi="Times New Roman" w:cs="Times New Roman"/>
                <w:noProof/>
                <w:sz w:val="24"/>
                <w:szCs w:val="24"/>
                <w:lang w:eastAsia="lv-LV"/>
              </w:rPr>
              <w:t xml:space="preserve"> 2004. gada 20. janvāra regulas (EK) Nr. 139/2004 par kontroli pār uzņēmumu koncentrāciju 5. panta 3. punkta a) apakšpunktā minētais.</w:t>
            </w:r>
          </w:p>
          <w:p w14:paraId="387B8EFF" w14:textId="18BA93FF" w:rsidR="00AC6272" w:rsidRPr="00513738" w:rsidRDefault="00935A91" w:rsidP="00AC6272">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Salīdzinājumā ar Noteikumiem Nr. 114 </w:t>
            </w:r>
            <w:r w:rsidRPr="00513738">
              <w:rPr>
                <w:rFonts w:ascii="Times New Roman" w:eastAsia="Times New Roman" w:hAnsi="Times New Roman" w:cs="Times New Roman"/>
                <w:sz w:val="24"/>
                <w:szCs w:val="24"/>
                <w:lang w:eastAsia="lv-LV"/>
              </w:rPr>
              <w:t>noteikumu projekt</w:t>
            </w:r>
            <w:r>
              <w:rPr>
                <w:rFonts w:ascii="Times New Roman" w:eastAsia="Times New Roman" w:hAnsi="Times New Roman" w:cs="Times New Roman"/>
                <w:sz w:val="24"/>
                <w:szCs w:val="24"/>
                <w:lang w:eastAsia="lv-LV"/>
              </w:rPr>
              <w:t>s</w:t>
            </w:r>
            <w:r w:rsidRPr="00513738">
              <w:rPr>
                <w:rFonts w:ascii="Times New Roman" w:eastAsia="Times New Roman" w:hAnsi="Times New Roman" w:cs="Times New Roman"/>
                <w:sz w:val="24"/>
                <w:szCs w:val="24"/>
                <w:lang w:eastAsia="lv-LV"/>
              </w:rPr>
              <w:t xml:space="preserve"> nesatur būtiskas izmaiņas </w:t>
            </w:r>
            <w:r>
              <w:rPr>
                <w:rFonts w:ascii="Times New Roman" w:eastAsia="Times New Roman" w:hAnsi="Times New Roman" w:cs="Times New Roman"/>
                <w:sz w:val="24"/>
                <w:szCs w:val="24"/>
                <w:lang w:eastAsia="lv-LV"/>
              </w:rPr>
              <w:t xml:space="preserve">papildus tām </w:t>
            </w:r>
            <w:r w:rsidR="00FD480E" w:rsidRPr="00513738">
              <w:rPr>
                <w:rFonts w:ascii="Times New Roman" w:eastAsia="Times New Roman" w:hAnsi="Times New Roman" w:cs="Times New Roman"/>
                <w:sz w:val="24"/>
                <w:szCs w:val="24"/>
                <w:lang w:eastAsia="lv-LV"/>
              </w:rPr>
              <w:t>izmaiņām, k</w:t>
            </w:r>
            <w:r>
              <w:rPr>
                <w:rFonts w:ascii="Times New Roman" w:eastAsia="Times New Roman" w:hAnsi="Times New Roman" w:cs="Times New Roman"/>
                <w:sz w:val="24"/>
                <w:szCs w:val="24"/>
                <w:lang w:eastAsia="lv-LV"/>
              </w:rPr>
              <w:t>ur</w:t>
            </w:r>
            <w:r w:rsidR="00FD480E" w:rsidRPr="00513738">
              <w:rPr>
                <w:rFonts w:ascii="Times New Roman" w:eastAsia="Times New Roman" w:hAnsi="Times New Roman" w:cs="Times New Roman"/>
                <w:sz w:val="24"/>
                <w:szCs w:val="24"/>
                <w:lang w:eastAsia="lv-LV"/>
              </w:rPr>
              <w:t xml:space="preserve">as </w:t>
            </w:r>
            <w:r>
              <w:rPr>
                <w:rFonts w:ascii="Times New Roman" w:eastAsia="Times New Roman" w:hAnsi="Times New Roman" w:cs="Times New Roman"/>
                <w:sz w:val="24"/>
                <w:szCs w:val="24"/>
                <w:lang w:eastAsia="lv-LV"/>
              </w:rPr>
              <w:t xml:space="preserve">ir </w:t>
            </w:r>
            <w:r w:rsidR="00FD480E" w:rsidRPr="00513738">
              <w:rPr>
                <w:rFonts w:ascii="Times New Roman" w:eastAsia="Times New Roman" w:hAnsi="Times New Roman" w:cs="Times New Roman"/>
                <w:sz w:val="24"/>
                <w:szCs w:val="24"/>
                <w:lang w:eastAsia="lv-LV"/>
              </w:rPr>
              <w:t>saistītas ar Ilgtspējas informācijas atklāšanas likumprojektu (</w:t>
            </w:r>
            <w:r w:rsidR="002471E4">
              <w:rPr>
                <w:rFonts w:ascii="Times New Roman" w:eastAsia="Times New Roman" w:hAnsi="Times New Roman" w:cs="Times New Roman"/>
                <w:sz w:val="24"/>
                <w:szCs w:val="24"/>
                <w:lang w:eastAsia="lv-LV"/>
              </w:rPr>
              <w:t>625/Lp14</w:t>
            </w:r>
            <w:r w:rsidR="00FD480E" w:rsidRPr="00C14BC9">
              <w:rPr>
                <w:rFonts w:ascii="Times New Roman" w:eastAsia="Times New Roman" w:hAnsi="Times New Roman" w:cs="Times New Roman"/>
                <w:sz w:val="24"/>
                <w:szCs w:val="24"/>
                <w:lang w:eastAsia="lv-LV"/>
              </w:rPr>
              <w:t>)</w:t>
            </w:r>
            <w:r w:rsidR="00C14BC9" w:rsidRPr="00C14BC9">
              <w:rPr>
                <w:rFonts w:ascii="Times New Roman" w:eastAsia="Times New Roman" w:hAnsi="Times New Roman" w:cs="Times New Roman"/>
                <w:sz w:val="24"/>
                <w:szCs w:val="24"/>
                <w:lang w:eastAsia="lv-LV"/>
              </w:rPr>
              <w:t xml:space="preserve"> </w:t>
            </w:r>
            <w:r w:rsidR="00C14BC9" w:rsidRPr="000C4FCD">
              <w:rPr>
                <w:rFonts w:ascii="Times New Roman" w:eastAsia="Times New Roman" w:hAnsi="Times New Roman" w:cs="Times New Roman"/>
                <w:sz w:val="24"/>
                <w:szCs w:val="24"/>
                <w:lang w:eastAsia="lv-LV"/>
              </w:rPr>
              <w:t>un to, ka priekšlikums par peļņas sadali jānorāda finanšu pārskatu pielikumā</w:t>
            </w:r>
            <w:r w:rsidR="00AC6272" w:rsidRPr="00513738">
              <w:rPr>
                <w:rFonts w:ascii="Times New Roman" w:eastAsia="Times New Roman" w:hAnsi="Times New Roman" w:cs="Times New Roman"/>
                <w:sz w:val="24"/>
                <w:szCs w:val="24"/>
                <w:lang w:eastAsia="lv-LV"/>
              </w:rPr>
              <w:t xml:space="preserve">. Tomēr, ņemot vērā </w:t>
            </w:r>
            <w:r w:rsidR="00DE3E0C" w:rsidRPr="00513738">
              <w:rPr>
                <w:rFonts w:ascii="Times New Roman" w:eastAsia="Times New Roman" w:hAnsi="Times New Roman" w:cs="Times New Roman"/>
                <w:sz w:val="24"/>
                <w:szCs w:val="24"/>
                <w:lang w:eastAsia="lv-LV"/>
              </w:rPr>
              <w:t>to</w:t>
            </w:r>
            <w:r w:rsidR="00AC6272" w:rsidRPr="00513738">
              <w:rPr>
                <w:rFonts w:ascii="Times New Roman" w:eastAsia="Times New Roman" w:hAnsi="Times New Roman" w:cs="Times New Roman"/>
                <w:sz w:val="24"/>
                <w:szCs w:val="24"/>
                <w:lang w:eastAsia="lv-LV"/>
              </w:rPr>
              <w:t xml:space="preserve">, ka Starptautiskie grāmatvedības standarti nosaka detalizētas prasības finanšu pārskatu posteņu novērtēšanai, </w:t>
            </w:r>
            <w:r>
              <w:rPr>
                <w:rFonts w:ascii="Times New Roman" w:eastAsia="Times New Roman" w:hAnsi="Times New Roman" w:cs="Times New Roman"/>
                <w:sz w:val="24"/>
                <w:szCs w:val="24"/>
                <w:lang w:eastAsia="lv-LV"/>
              </w:rPr>
              <w:t xml:space="preserve">lai novērstu prasību dublēšanos, </w:t>
            </w:r>
            <w:r w:rsidR="00AC6272" w:rsidRPr="00513738">
              <w:rPr>
                <w:rFonts w:ascii="Times New Roman" w:eastAsia="Times New Roman" w:hAnsi="Times New Roman" w:cs="Times New Roman"/>
                <w:sz w:val="24"/>
                <w:szCs w:val="24"/>
                <w:lang w:eastAsia="lv-LV"/>
              </w:rPr>
              <w:t>noteikumu projekt</w:t>
            </w:r>
            <w:r w:rsidR="00DE3E0C" w:rsidRPr="00513738">
              <w:rPr>
                <w:rFonts w:ascii="Times New Roman" w:eastAsia="Times New Roman" w:hAnsi="Times New Roman" w:cs="Times New Roman"/>
                <w:sz w:val="24"/>
                <w:szCs w:val="24"/>
                <w:lang w:eastAsia="lv-LV"/>
              </w:rPr>
              <w:t>s nesatur</w:t>
            </w:r>
            <w:r w:rsidR="00AC6272" w:rsidRPr="00513738">
              <w:rPr>
                <w:rFonts w:ascii="Times New Roman" w:eastAsia="Times New Roman" w:hAnsi="Times New Roman" w:cs="Times New Roman"/>
                <w:sz w:val="24"/>
                <w:szCs w:val="24"/>
                <w:lang w:eastAsia="lv-LV"/>
              </w:rPr>
              <w:t xml:space="preserve"> tās prasības, kuras daudz detalizētāk ir </w:t>
            </w:r>
            <w:r>
              <w:rPr>
                <w:rFonts w:ascii="Times New Roman" w:eastAsia="Times New Roman" w:hAnsi="Times New Roman" w:cs="Times New Roman"/>
                <w:sz w:val="24"/>
                <w:szCs w:val="24"/>
                <w:lang w:eastAsia="lv-LV"/>
              </w:rPr>
              <w:t xml:space="preserve">izklāstītas </w:t>
            </w:r>
            <w:r w:rsidR="00AC6272" w:rsidRPr="00513738">
              <w:rPr>
                <w:rFonts w:ascii="Times New Roman" w:eastAsia="Times New Roman" w:hAnsi="Times New Roman" w:cs="Times New Roman"/>
                <w:sz w:val="24"/>
                <w:szCs w:val="24"/>
                <w:lang w:eastAsia="lv-LV"/>
              </w:rPr>
              <w:t>Starptautiskajos grāmatvedības standartos.</w:t>
            </w:r>
          </w:p>
          <w:p w14:paraId="3536ABBD" w14:textId="62314C11" w:rsidR="0090644A" w:rsidRPr="00513738" w:rsidRDefault="0090644A" w:rsidP="00C22386">
            <w:pPr>
              <w:spacing w:after="120"/>
              <w:jc w:val="both"/>
              <w:rPr>
                <w:rFonts w:ascii="Times New Roman" w:eastAsia="Times New Roman" w:hAnsi="Times New Roman" w:cs="Times New Roman"/>
                <w:sz w:val="24"/>
                <w:szCs w:val="24"/>
              </w:rPr>
            </w:pPr>
            <w:r w:rsidRPr="00513738">
              <w:rPr>
                <w:rFonts w:ascii="Times New Roman" w:hAnsi="Times New Roman" w:cs="Times New Roman"/>
                <w:sz w:val="24"/>
                <w:szCs w:val="24"/>
              </w:rPr>
              <w:t xml:space="preserve">Noteikumu projekta mērķis ir </w:t>
            </w:r>
            <w:r w:rsidRPr="00513738">
              <w:rPr>
                <w:rFonts w:ascii="Times New Roman" w:eastAsia="Times New Roman" w:hAnsi="Times New Roman" w:cs="Times New Roman"/>
                <w:sz w:val="24"/>
                <w:szCs w:val="24"/>
              </w:rPr>
              <w:t xml:space="preserve">nodrošināt </w:t>
            </w:r>
            <w:r w:rsidR="00C14BC9" w:rsidRPr="00C14BC9">
              <w:rPr>
                <w:rFonts w:ascii="Times New Roman" w:eastAsia="Times New Roman" w:hAnsi="Times New Roman" w:cs="Times New Roman"/>
                <w:sz w:val="24"/>
                <w:szCs w:val="24"/>
              </w:rPr>
              <w:t>f</w:t>
            </w:r>
            <w:r w:rsidR="00C14BC9" w:rsidRPr="000C4FCD">
              <w:rPr>
                <w:rFonts w:ascii="Times New Roman" w:eastAsia="Times New Roman" w:hAnsi="Times New Roman" w:cs="Times New Roman"/>
                <w:sz w:val="24"/>
                <w:szCs w:val="24"/>
              </w:rPr>
              <w:t xml:space="preserve">inanšu </w:t>
            </w:r>
            <w:r w:rsidRPr="00513738">
              <w:rPr>
                <w:rFonts w:ascii="Times New Roman" w:eastAsia="Times New Roman" w:hAnsi="Times New Roman" w:cs="Times New Roman"/>
                <w:sz w:val="24"/>
                <w:szCs w:val="24"/>
              </w:rPr>
              <w:t xml:space="preserve">tirgus dalībnieku vienotu pieeju </w:t>
            </w:r>
            <w:r w:rsidR="00573BDC" w:rsidRPr="00513738">
              <w:rPr>
                <w:rFonts w:ascii="Times New Roman" w:eastAsia="Times New Roman" w:hAnsi="Times New Roman" w:cs="Times New Roman"/>
                <w:sz w:val="24"/>
                <w:szCs w:val="24"/>
              </w:rPr>
              <w:t xml:space="preserve">gada pārskata un konsolidētā gada </w:t>
            </w:r>
            <w:r w:rsidR="00573BDC" w:rsidRPr="00513738">
              <w:rPr>
                <w:rFonts w:ascii="Times New Roman" w:eastAsia="Times New Roman" w:hAnsi="Times New Roman" w:cs="Times New Roman"/>
                <w:sz w:val="24"/>
                <w:szCs w:val="24"/>
              </w:rPr>
              <w:lastRenderedPageBreak/>
              <w:t>pārskata sagatavošanai</w:t>
            </w:r>
            <w:r w:rsidR="004E2C66" w:rsidRPr="00513738">
              <w:rPr>
                <w:rFonts w:ascii="Times New Roman" w:eastAsia="Times New Roman" w:hAnsi="Times New Roman" w:cs="Times New Roman"/>
                <w:sz w:val="24"/>
                <w:szCs w:val="24"/>
              </w:rPr>
              <w:t>,</w:t>
            </w:r>
            <w:r w:rsidRPr="00513738">
              <w:rPr>
                <w:rFonts w:ascii="Times New Roman" w:eastAsia="Times New Roman" w:hAnsi="Times New Roman" w:cs="Times New Roman"/>
                <w:sz w:val="24"/>
                <w:szCs w:val="24"/>
              </w:rPr>
              <w:t xml:space="preserve"> </w:t>
            </w:r>
            <w:r w:rsidR="00573BDC" w:rsidRPr="00513738">
              <w:rPr>
                <w:rFonts w:ascii="Times New Roman" w:eastAsia="Times New Roman" w:hAnsi="Times New Roman" w:cs="Times New Roman"/>
                <w:sz w:val="24"/>
                <w:szCs w:val="24"/>
              </w:rPr>
              <w:t>un, ņemot vērā</w:t>
            </w:r>
            <w:r w:rsidR="00935A91">
              <w:rPr>
                <w:rFonts w:ascii="Times New Roman" w:eastAsia="Times New Roman" w:hAnsi="Times New Roman" w:cs="Times New Roman"/>
                <w:sz w:val="24"/>
                <w:szCs w:val="24"/>
              </w:rPr>
              <w:t xml:space="preserve"> to</w:t>
            </w:r>
            <w:r w:rsidR="00573BDC" w:rsidRPr="00513738">
              <w:rPr>
                <w:rFonts w:ascii="Times New Roman" w:eastAsia="Times New Roman" w:hAnsi="Times New Roman" w:cs="Times New Roman"/>
                <w:sz w:val="24"/>
                <w:szCs w:val="24"/>
              </w:rPr>
              <w:t xml:space="preserve">, ka </w:t>
            </w:r>
            <w:r w:rsidR="003B64AC" w:rsidRPr="00513738">
              <w:rPr>
                <w:rFonts w:ascii="Times New Roman" w:eastAsia="Times New Roman" w:hAnsi="Times New Roman" w:cs="Times New Roman"/>
                <w:sz w:val="24"/>
                <w:szCs w:val="24"/>
              </w:rPr>
              <w:t xml:space="preserve">gada pārskata un konsolidētā gada pārskata informācija ir publiski pieejama, </w:t>
            </w:r>
            <w:r w:rsidRPr="00513738">
              <w:rPr>
                <w:rFonts w:ascii="Times New Roman" w:eastAsia="Times New Roman" w:hAnsi="Times New Roman" w:cs="Times New Roman"/>
                <w:sz w:val="24"/>
                <w:szCs w:val="24"/>
              </w:rPr>
              <w:t>nodrošināt sabiedrības informētību par finanšu tirgus dalībnieku finansiālo stāvokli un darbības rādītājiem</w:t>
            </w:r>
            <w:r w:rsidR="00DE3E0C" w:rsidRPr="00513738">
              <w:rPr>
                <w:rFonts w:ascii="Times New Roman" w:eastAsia="Times New Roman" w:hAnsi="Times New Roman" w:cs="Times New Roman"/>
                <w:sz w:val="24"/>
                <w:szCs w:val="24"/>
              </w:rPr>
              <w:t>, kas</w:t>
            </w:r>
            <w:r w:rsidRPr="00513738">
              <w:rPr>
                <w:rFonts w:ascii="Times New Roman" w:eastAsia="Times New Roman" w:hAnsi="Times New Roman" w:cs="Times New Roman"/>
                <w:sz w:val="24"/>
                <w:szCs w:val="24"/>
              </w:rPr>
              <w:t xml:space="preserve"> ļaut</w:t>
            </w:r>
            <w:r w:rsidR="00DE3E0C" w:rsidRPr="00513738">
              <w:rPr>
                <w:rFonts w:ascii="Times New Roman" w:eastAsia="Times New Roman" w:hAnsi="Times New Roman" w:cs="Times New Roman"/>
                <w:sz w:val="24"/>
                <w:szCs w:val="24"/>
              </w:rPr>
              <w:t>u</w:t>
            </w:r>
            <w:r w:rsidRPr="00513738">
              <w:rPr>
                <w:rFonts w:ascii="Times New Roman" w:eastAsia="Times New Roman" w:hAnsi="Times New Roman" w:cs="Times New Roman"/>
                <w:sz w:val="24"/>
                <w:szCs w:val="24"/>
              </w:rPr>
              <w:t xml:space="preserve"> ieinteresētajām personām pieņemt individuālus lēmumus, saņemot finanšu pakalpojumus.</w:t>
            </w:r>
          </w:p>
          <w:p w14:paraId="28D32265" w14:textId="78240C3D" w:rsidR="00BB1B0C" w:rsidRPr="00513738" w:rsidRDefault="0057360C" w:rsidP="00C22386">
            <w:pPr>
              <w:spacing w:after="120"/>
              <w:jc w:val="both"/>
              <w:rPr>
                <w:rFonts w:ascii="Times New Roman" w:hAnsi="Times New Roman" w:cs="Times New Roman"/>
                <w:sz w:val="24"/>
                <w:szCs w:val="24"/>
                <w:highlight w:val="yellow"/>
              </w:rPr>
            </w:pPr>
            <w:r w:rsidRPr="00513738">
              <w:rPr>
                <w:rFonts w:ascii="Times New Roman" w:hAnsi="Times New Roman" w:cs="Times New Roman"/>
                <w:sz w:val="24"/>
                <w:szCs w:val="24"/>
              </w:rPr>
              <w:t xml:space="preserve">Noteikumu projekts pēc apstiprināšanas </w:t>
            </w:r>
            <w:r w:rsidR="00C63B1D" w:rsidRPr="00513738">
              <w:rPr>
                <w:rFonts w:ascii="Times New Roman" w:hAnsi="Times New Roman" w:cs="Times New Roman"/>
                <w:sz w:val="24"/>
                <w:szCs w:val="24"/>
              </w:rPr>
              <w:t xml:space="preserve">būs saistošs </w:t>
            </w:r>
            <w:r w:rsidR="00A47913" w:rsidRPr="00513738">
              <w:rPr>
                <w:rFonts w:ascii="Times New Roman" w:hAnsi="Times New Roman" w:cs="Times New Roman"/>
                <w:sz w:val="24"/>
                <w:szCs w:val="24"/>
              </w:rPr>
              <w:t>apdrošināšanas un pārapdrošināšanas sabiedrībām</w:t>
            </w:r>
            <w:r w:rsidR="00CB02AC" w:rsidRPr="00513738">
              <w:rPr>
                <w:rFonts w:ascii="Times New Roman" w:hAnsi="Times New Roman" w:cs="Times New Roman"/>
                <w:sz w:val="24"/>
                <w:szCs w:val="24"/>
              </w:rPr>
              <w:t>,</w:t>
            </w:r>
            <w:r w:rsidR="00DE3E0C" w:rsidRPr="00513738">
              <w:rPr>
                <w:rFonts w:ascii="Times New Roman" w:hAnsi="Times New Roman" w:cs="Times New Roman"/>
                <w:sz w:val="24"/>
                <w:szCs w:val="24"/>
              </w:rPr>
              <w:t xml:space="preserve"> </w:t>
            </w:r>
            <w:r w:rsidR="00452C7B" w:rsidRPr="00513738">
              <w:rPr>
                <w:rFonts w:ascii="Times New Roman" w:hAnsi="Times New Roman" w:cs="Times New Roman"/>
                <w:sz w:val="24"/>
                <w:szCs w:val="24"/>
              </w:rPr>
              <w:t xml:space="preserve">kā arī ārvalsts apdrošinātāju filiālēm, </w:t>
            </w:r>
            <w:r w:rsidR="00935A91">
              <w:rPr>
                <w:rFonts w:ascii="Times New Roman" w:hAnsi="Times New Roman" w:cs="Times New Roman"/>
                <w:sz w:val="24"/>
                <w:szCs w:val="24"/>
              </w:rPr>
              <w:t xml:space="preserve">tām </w:t>
            </w:r>
            <w:r w:rsidR="00C63B1D" w:rsidRPr="00513738">
              <w:rPr>
                <w:rFonts w:ascii="Times New Roman" w:hAnsi="Times New Roman" w:cs="Times New Roman"/>
                <w:sz w:val="24"/>
                <w:szCs w:val="24"/>
              </w:rPr>
              <w:t>sagatavojot gada pārskatu un konsolidēto gada pārskatu</w:t>
            </w:r>
            <w:r w:rsidRPr="00513738">
              <w:rPr>
                <w:rFonts w:ascii="Times New Roman" w:hAnsi="Times New Roman" w:cs="Times New Roman"/>
                <w:sz w:val="24"/>
                <w:szCs w:val="24"/>
              </w:rPr>
              <w:t>.</w:t>
            </w:r>
            <w:r w:rsidR="00FB1B6F">
              <w:rPr>
                <w:rFonts w:ascii="Times New Roman" w:hAnsi="Times New Roman" w:cs="Times New Roman"/>
                <w:sz w:val="24"/>
                <w:szCs w:val="24"/>
              </w:rPr>
              <w:t xml:space="preserve"> Pašlaik Latvijā nedarbojas neviena pārapdrošināšanas sabiedrība un ārvalsts apdrošinātāja filiāle.</w:t>
            </w:r>
          </w:p>
        </w:tc>
      </w:tr>
      <w:tr w:rsidR="00A61684" w:rsidRPr="00513738" w14:paraId="7FF36E12" w14:textId="77777777" w:rsidTr="009B620B">
        <w:tc>
          <w:tcPr>
            <w:tcW w:w="1980" w:type="dxa"/>
          </w:tcPr>
          <w:p w14:paraId="1EC190F5" w14:textId="77777777" w:rsidR="001A2F7D" w:rsidRPr="00513738" w:rsidRDefault="009E6A95" w:rsidP="00ED3376">
            <w:pPr>
              <w:jc w:val="both"/>
              <w:rPr>
                <w:rFonts w:ascii="Times New Roman" w:hAnsi="Times New Roman" w:cs="Times New Roman"/>
                <w:b/>
                <w:bCs/>
                <w:sz w:val="24"/>
                <w:szCs w:val="24"/>
              </w:rPr>
            </w:pPr>
            <w:r w:rsidRPr="00513738">
              <w:rPr>
                <w:rFonts w:ascii="Times New Roman" w:hAnsi="Times New Roman" w:cs="Times New Roman"/>
                <w:b/>
                <w:bCs/>
                <w:sz w:val="24"/>
                <w:szCs w:val="24"/>
              </w:rPr>
              <w:lastRenderedPageBreak/>
              <w:t>Leģitīmais mērķis</w:t>
            </w:r>
          </w:p>
          <w:p w14:paraId="486EBB70" w14:textId="319C36F1" w:rsidR="00851C5D" w:rsidRPr="00513738" w:rsidRDefault="00851C5D" w:rsidP="00494F09">
            <w:pPr>
              <w:jc w:val="both"/>
              <w:rPr>
                <w:rFonts w:ascii="Times New Roman" w:hAnsi="Times New Roman" w:cs="Times New Roman"/>
                <w:sz w:val="24"/>
                <w:szCs w:val="24"/>
              </w:rPr>
            </w:pPr>
          </w:p>
        </w:tc>
        <w:tc>
          <w:tcPr>
            <w:tcW w:w="6379" w:type="dxa"/>
          </w:tcPr>
          <w:p w14:paraId="0E620B5F" w14:textId="77777777" w:rsidR="0057360C" w:rsidRPr="00513738" w:rsidRDefault="0057360C"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625AF534" w14:textId="1B7C9ABD" w:rsidR="0057360C" w:rsidRPr="00513738" w:rsidRDefault="0057360C"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w:t>
            </w:r>
            <w:r w:rsidR="00E56492" w:rsidRPr="00513738">
              <w:rPr>
                <w:rFonts w:ascii="Times New Roman" w:eastAsia="Times New Roman" w:hAnsi="Times New Roman" w:cs="Times New Roman"/>
                <w:sz w:val="24"/>
                <w:szCs w:val="24"/>
                <w:lang w:eastAsia="lv-LV"/>
              </w:rPr>
              <w:t>o</w:t>
            </w:r>
            <w:r w:rsidRPr="00513738">
              <w:rPr>
                <w:rFonts w:ascii="Times New Roman" w:eastAsia="Times New Roman" w:hAnsi="Times New Roman" w:cs="Times New Roman"/>
                <w:sz w:val="24"/>
                <w:szCs w:val="24"/>
                <w:lang w:eastAsia="lv-LV"/>
              </w:rPr>
              <w:t xml:space="preserve"> finanšu tirgus dalībnieku tiesisku un sabiedrības interesēm atbilstošu darbību.</w:t>
            </w:r>
          </w:p>
          <w:p w14:paraId="567DC6D9" w14:textId="48CC4FB0" w:rsidR="0057360C" w:rsidRPr="00513738" w:rsidRDefault="0057360C"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 xml:space="preserve">Indivīdam kā finanšu tirgus sistēmas </w:t>
            </w:r>
            <w:r w:rsidR="00743F02" w:rsidRPr="00513738">
              <w:rPr>
                <w:rFonts w:ascii="Times New Roman" w:eastAsia="Times New Roman" w:hAnsi="Times New Roman" w:cs="Times New Roman"/>
                <w:sz w:val="24"/>
                <w:szCs w:val="24"/>
                <w:lang w:eastAsia="lv-LV"/>
              </w:rPr>
              <w:t xml:space="preserve">daļai </w:t>
            </w:r>
            <w:r w:rsidRPr="00513738">
              <w:rPr>
                <w:rFonts w:ascii="Times New Roman" w:eastAsia="Times New Roman" w:hAnsi="Times New Roman" w:cs="Times New Roman"/>
                <w:sz w:val="24"/>
                <w:szCs w:val="24"/>
                <w:lang w:eastAsia="lv-LV"/>
              </w:rPr>
              <w:t xml:space="preserve">ir būtiski apzināties un saņemt to aizsardzības līmeni, kuru tam nodrošina finanšu tirgus uzraugs, un attiecīgi Latvijas Banka finanšu tirgus uzrauga lomā ir atbildīga par tādu pasākumu veikšanu, </w:t>
            </w:r>
            <w:r w:rsidR="00935A91">
              <w:rPr>
                <w:rFonts w:ascii="Times New Roman" w:eastAsia="Times New Roman" w:hAnsi="Times New Roman" w:cs="Times New Roman"/>
                <w:sz w:val="24"/>
                <w:szCs w:val="24"/>
                <w:lang w:eastAsia="lv-LV"/>
              </w:rPr>
              <w:t xml:space="preserve">kuri </w:t>
            </w:r>
            <w:r w:rsidRPr="00513738">
              <w:rPr>
                <w:rFonts w:ascii="Times New Roman" w:eastAsia="Times New Roman" w:hAnsi="Times New Roman" w:cs="Times New Roman"/>
                <w:sz w:val="24"/>
                <w:szCs w:val="24"/>
                <w:lang w:eastAsia="lv-LV"/>
              </w:rPr>
              <w:t xml:space="preserve">aizsargā indivīda pamattiesības. Respektīvi, indivīds ir tiesīgs paļauties uz finanšu sistēmas taisnīgu uzraudzību, pretējā gadījumā indivīdam zūd uzticība finanšu sistēmai un motivācija būt </w:t>
            </w:r>
            <w:r w:rsidR="006A7880" w:rsidRPr="00513738">
              <w:rPr>
                <w:rFonts w:ascii="Times New Roman" w:eastAsia="Times New Roman" w:hAnsi="Times New Roman" w:cs="Times New Roman"/>
                <w:sz w:val="24"/>
                <w:szCs w:val="24"/>
                <w:lang w:eastAsia="lv-LV"/>
              </w:rPr>
              <w:t xml:space="preserve">par </w:t>
            </w:r>
            <w:r w:rsidRPr="00513738">
              <w:rPr>
                <w:rFonts w:ascii="Times New Roman" w:eastAsia="Times New Roman" w:hAnsi="Times New Roman" w:cs="Times New Roman"/>
                <w:sz w:val="24"/>
                <w:szCs w:val="24"/>
                <w:lang w:eastAsia="lv-LV"/>
              </w:rPr>
              <w:t>šīs sistēmas dalībnieku.</w:t>
            </w:r>
          </w:p>
          <w:p w14:paraId="32424F72" w14:textId="3C8BC9B9" w:rsidR="0057360C" w:rsidRPr="00513738" w:rsidRDefault="0057360C"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 xml:space="preserve">Nosakot </w:t>
            </w:r>
            <w:r w:rsidR="00FD13F7" w:rsidRPr="00FD13F7">
              <w:rPr>
                <w:rFonts w:ascii="Times New Roman" w:eastAsia="Times New Roman" w:hAnsi="Times New Roman" w:cs="Times New Roman"/>
                <w:sz w:val="24"/>
                <w:szCs w:val="24"/>
                <w:lang w:eastAsia="lv-LV"/>
              </w:rPr>
              <w:t>f</w:t>
            </w:r>
            <w:r w:rsidR="00FD13F7" w:rsidRPr="000C4FCD">
              <w:rPr>
                <w:rFonts w:ascii="Times New Roman" w:eastAsia="Times New Roman" w:hAnsi="Times New Roman" w:cs="Times New Roman"/>
                <w:sz w:val="24"/>
                <w:szCs w:val="24"/>
                <w:lang w:eastAsia="lv-LV"/>
              </w:rPr>
              <w:t xml:space="preserve">inanšu </w:t>
            </w:r>
            <w:r w:rsidRPr="00FD13F7">
              <w:rPr>
                <w:rFonts w:ascii="Times New Roman" w:eastAsia="Times New Roman" w:hAnsi="Times New Roman" w:cs="Times New Roman"/>
                <w:sz w:val="24"/>
                <w:szCs w:val="24"/>
                <w:lang w:eastAsia="lv-LV"/>
              </w:rPr>
              <w:t>t</w:t>
            </w:r>
            <w:r w:rsidRPr="00513738">
              <w:rPr>
                <w:rFonts w:ascii="Times New Roman" w:eastAsia="Times New Roman" w:hAnsi="Times New Roman" w:cs="Times New Roman"/>
                <w:sz w:val="24"/>
                <w:szCs w:val="24"/>
                <w:lang w:eastAsia="lv-LV"/>
              </w:rPr>
              <w:t xml:space="preserve">irgus dalībniekiem </w:t>
            </w:r>
            <w:r w:rsidR="00C95A9B" w:rsidRPr="00513738">
              <w:rPr>
                <w:rFonts w:ascii="Times New Roman" w:eastAsia="Times New Roman" w:hAnsi="Times New Roman" w:cs="Times New Roman"/>
                <w:sz w:val="24"/>
                <w:szCs w:val="24"/>
                <w:lang w:eastAsia="lv-LV"/>
              </w:rPr>
              <w:t xml:space="preserve">vienotas </w:t>
            </w:r>
            <w:r w:rsidRPr="00513738">
              <w:rPr>
                <w:rFonts w:ascii="Times New Roman" w:eastAsia="Times New Roman" w:hAnsi="Times New Roman" w:cs="Times New Roman"/>
                <w:sz w:val="24"/>
                <w:szCs w:val="24"/>
                <w:lang w:eastAsia="lv-LV"/>
              </w:rPr>
              <w:t xml:space="preserve">prasības </w:t>
            </w:r>
            <w:r w:rsidR="00C95A9B" w:rsidRPr="00513738">
              <w:rPr>
                <w:rFonts w:ascii="Times New Roman" w:eastAsia="Times New Roman" w:hAnsi="Times New Roman" w:cs="Times New Roman"/>
                <w:sz w:val="24"/>
                <w:szCs w:val="24"/>
                <w:lang w:eastAsia="lv-LV"/>
              </w:rPr>
              <w:t xml:space="preserve">gada pārskata un konsolidētā gada pārskata sagatavošanai </w:t>
            </w:r>
            <w:r w:rsidRPr="00513738">
              <w:rPr>
                <w:rFonts w:ascii="Times New Roman" w:eastAsia="Times New Roman" w:hAnsi="Times New Roman" w:cs="Times New Roman"/>
                <w:sz w:val="24"/>
                <w:szCs w:val="24"/>
                <w:lang w:eastAsia="lv-LV"/>
              </w:rPr>
              <w:t>un veicot prasību ievērošanas pārbaudes, Latvijas Banka nodrošina tai Latvijas Bankas likumā noteikto pienākumu</w:t>
            </w:r>
            <w:r w:rsidR="0039219C" w:rsidRPr="00513738">
              <w:rPr>
                <w:rFonts w:ascii="Times New Roman" w:eastAsia="Times New Roman" w:hAnsi="Times New Roman" w:cs="Times New Roman"/>
                <w:sz w:val="24"/>
                <w:szCs w:val="24"/>
                <w:lang w:eastAsia="lv-LV"/>
              </w:rPr>
              <w:t xml:space="preserve"> – </w:t>
            </w:r>
            <w:r w:rsidRPr="00513738">
              <w:rPr>
                <w:rFonts w:ascii="Times New Roman" w:eastAsia="Times New Roman" w:hAnsi="Times New Roman" w:cs="Times New Roman"/>
                <w:sz w:val="24"/>
                <w:szCs w:val="24"/>
                <w:lang w:eastAsia="lv-LV"/>
              </w:rPr>
              <w:t>veicināt ieguldītāju</w:t>
            </w:r>
            <w:r w:rsidR="00E40F63">
              <w:rPr>
                <w:rFonts w:ascii="Times New Roman" w:eastAsia="Times New Roman" w:hAnsi="Times New Roman" w:cs="Times New Roman"/>
                <w:sz w:val="24"/>
                <w:szCs w:val="24"/>
                <w:lang w:eastAsia="lv-LV"/>
              </w:rPr>
              <w:t>,</w:t>
            </w:r>
            <w:r w:rsidRPr="00513738">
              <w:rPr>
                <w:rFonts w:ascii="Times New Roman" w:eastAsia="Times New Roman" w:hAnsi="Times New Roman" w:cs="Times New Roman"/>
                <w:sz w:val="24"/>
                <w:szCs w:val="24"/>
                <w:lang w:eastAsia="lv-LV"/>
              </w:rPr>
              <w:t xml:space="preserve"> noguldītāju </w:t>
            </w:r>
            <w:r w:rsidR="00903168" w:rsidRPr="00513738">
              <w:rPr>
                <w:rFonts w:ascii="Times New Roman" w:eastAsia="Times New Roman" w:hAnsi="Times New Roman" w:cs="Times New Roman"/>
                <w:sz w:val="24"/>
                <w:szCs w:val="24"/>
                <w:lang w:eastAsia="lv-LV"/>
              </w:rPr>
              <w:t xml:space="preserve">un apdrošināto personu interešu </w:t>
            </w:r>
            <w:r w:rsidRPr="00513738">
              <w:rPr>
                <w:rFonts w:ascii="Times New Roman" w:eastAsia="Times New Roman" w:hAnsi="Times New Roman" w:cs="Times New Roman"/>
                <w:sz w:val="24"/>
                <w:szCs w:val="24"/>
                <w:lang w:eastAsia="lv-LV"/>
              </w:rPr>
              <w:t>aizsardzību un finanšu tirgus ilgtspējīgu attīstību un stabilitāti</w:t>
            </w:r>
            <w:r w:rsidR="0039219C" w:rsidRPr="00513738">
              <w:rPr>
                <w:rFonts w:ascii="Times New Roman" w:eastAsia="Times New Roman" w:hAnsi="Times New Roman" w:cs="Times New Roman"/>
                <w:sz w:val="24"/>
                <w:szCs w:val="24"/>
                <w:lang w:eastAsia="lv-LV"/>
              </w:rPr>
              <w:t> –</w:t>
            </w:r>
            <w:r w:rsidRPr="00513738">
              <w:rPr>
                <w:rFonts w:ascii="Times New Roman" w:eastAsia="Times New Roman" w:hAnsi="Times New Roman" w:cs="Times New Roman"/>
                <w:sz w:val="24"/>
                <w:szCs w:val="24"/>
                <w:lang w:eastAsia="lv-LV"/>
              </w:rPr>
              <w:t xml:space="preserve"> izpildi.</w:t>
            </w:r>
          </w:p>
          <w:p w14:paraId="0D809133" w14:textId="2315DA5C" w:rsidR="00120B7E" w:rsidRPr="00513738" w:rsidRDefault="00D44481" w:rsidP="00C22386">
            <w:pPr>
              <w:spacing w:after="120"/>
              <w:jc w:val="both"/>
              <w:rPr>
                <w:rFonts w:ascii="Times New Roman" w:hAnsi="Times New Roman" w:cs="Times New Roman"/>
                <w:sz w:val="24"/>
                <w:szCs w:val="24"/>
              </w:rPr>
            </w:pPr>
            <w:r w:rsidRPr="00513738">
              <w:rPr>
                <w:rFonts w:ascii="Times New Roman" w:hAnsi="Times New Roman" w:cs="Times New Roman"/>
                <w:sz w:val="24"/>
                <w:szCs w:val="24"/>
              </w:rPr>
              <w:t>Savukārt leģitīmais mērķis – citu personu tiesību aizsardzība</w:t>
            </w:r>
            <w:r w:rsidR="001542D5" w:rsidRPr="00513738">
              <w:rPr>
                <w:rFonts w:ascii="Times New Roman" w:hAnsi="Times New Roman" w:cs="Times New Roman"/>
                <w:sz w:val="24"/>
                <w:szCs w:val="24"/>
              </w:rPr>
              <w:t> </w:t>
            </w:r>
            <w:r w:rsidRPr="00513738">
              <w:rPr>
                <w:rFonts w:ascii="Times New Roman" w:hAnsi="Times New Roman" w:cs="Times New Roman"/>
                <w:sz w:val="24"/>
                <w:szCs w:val="24"/>
              </w:rPr>
              <w:t xml:space="preserve">– tiek sasniegts, </w:t>
            </w:r>
            <w:r w:rsidR="00120B7E" w:rsidRPr="00513738">
              <w:rPr>
                <w:rFonts w:ascii="Times New Roman" w:hAnsi="Times New Roman" w:cs="Times New Roman"/>
                <w:sz w:val="24"/>
                <w:szCs w:val="24"/>
              </w:rPr>
              <w:t xml:space="preserve">nodrošinot sabiedrību ar tai nepieciešamo informāciju, lai tā varētu pieņemt izsvērtus lēmumus. </w:t>
            </w:r>
          </w:p>
          <w:p w14:paraId="5B199845" w14:textId="034C7318" w:rsidR="009E6A95" w:rsidRPr="00513738" w:rsidRDefault="0057360C" w:rsidP="00C22386">
            <w:pPr>
              <w:spacing w:after="120"/>
              <w:jc w:val="both"/>
              <w:rPr>
                <w:rFonts w:ascii="Times New Roman" w:hAnsi="Times New Roman" w:cs="Times New Roman"/>
                <w:color w:val="FF0000"/>
                <w:sz w:val="24"/>
                <w:szCs w:val="24"/>
                <w:highlight w:val="yellow"/>
              </w:rPr>
            </w:pPr>
            <w:r w:rsidRPr="00513738">
              <w:rPr>
                <w:rFonts w:ascii="Times New Roman" w:eastAsia="Times New Roman" w:hAnsi="Times New Roman" w:cs="Times New Roman"/>
                <w:sz w:val="24"/>
                <w:szCs w:val="24"/>
                <w:lang w:eastAsia="lv-LV"/>
              </w:rPr>
              <w:t xml:space="preserve">Noteikumu projekts ir nepieciešams, lai veicinātu </w:t>
            </w:r>
            <w:r w:rsidR="00FD13F7" w:rsidRPr="00FD13F7">
              <w:rPr>
                <w:rFonts w:ascii="Times New Roman" w:eastAsia="Times New Roman" w:hAnsi="Times New Roman" w:cs="Times New Roman"/>
                <w:sz w:val="24"/>
                <w:szCs w:val="24"/>
                <w:lang w:eastAsia="lv-LV"/>
              </w:rPr>
              <w:t>f</w:t>
            </w:r>
            <w:r w:rsidR="00FD13F7" w:rsidRPr="000C4FCD">
              <w:rPr>
                <w:rFonts w:ascii="Times New Roman" w:eastAsia="Times New Roman" w:hAnsi="Times New Roman" w:cs="Times New Roman"/>
                <w:sz w:val="24"/>
                <w:szCs w:val="24"/>
                <w:lang w:eastAsia="lv-LV"/>
              </w:rPr>
              <w:t xml:space="preserve">inanšu </w:t>
            </w:r>
            <w:r w:rsidRPr="00513738">
              <w:rPr>
                <w:rFonts w:ascii="Times New Roman" w:eastAsia="Times New Roman" w:hAnsi="Times New Roman" w:cs="Times New Roman"/>
                <w:sz w:val="24"/>
                <w:szCs w:val="24"/>
                <w:lang w:eastAsia="lv-LV"/>
              </w:rPr>
              <w:t xml:space="preserve">tirgus dalībnieku vienotu izpratni </w:t>
            </w:r>
            <w:r w:rsidR="00C95A9B" w:rsidRPr="00513738">
              <w:rPr>
                <w:rFonts w:ascii="Times New Roman" w:eastAsia="Times New Roman" w:hAnsi="Times New Roman" w:cs="Times New Roman"/>
                <w:sz w:val="24"/>
                <w:szCs w:val="24"/>
                <w:lang w:eastAsia="lv-LV"/>
              </w:rPr>
              <w:t>par gada pārskata un konsolidētā gada pārskata sagatavošanu</w:t>
            </w:r>
            <w:r w:rsidRPr="00513738">
              <w:rPr>
                <w:rFonts w:ascii="Times New Roman" w:eastAsia="Times New Roman" w:hAnsi="Times New Roman" w:cs="Times New Roman"/>
                <w:sz w:val="24"/>
                <w:szCs w:val="24"/>
                <w:lang w:eastAsia="lv-LV"/>
              </w:rPr>
              <w:t>.</w:t>
            </w:r>
            <w:r w:rsidR="00FB6B83" w:rsidRPr="00513738">
              <w:rPr>
                <w:rFonts w:ascii="Times New Roman" w:eastAsia="Times New Roman" w:hAnsi="Times New Roman" w:cs="Times New Roman"/>
                <w:sz w:val="24"/>
                <w:szCs w:val="24"/>
                <w:lang w:eastAsia="lv-LV"/>
              </w:rPr>
              <w:t xml:space="preserve"> </w:t>
            </w:r>
          </w:p>
        </w:tc>
      </w:tr>
      <w:tr w:rsidR="00A61684" w:rsidRPr="00513738" w14:paraId="1F6AF38A" w14:textId="77777777" w:rsidTr="009B620B">
        <w:trPr>
          <w:trHeight w:val="557"/>
        </w:trPr>
        <w:tc>
          <w:tcPr>
            <w:tcW w:w="1980" w:type="dxa"/>
          </w:tcPr>
          <w:p w14:paraId="4BE09150" w14:textId="77777777" w:rsidR="001A2F7D" w:rsidRPr="00513738" w:rsidRDefault="009E6A95" w:rsidP="001A2F7D">
            <w:pPr>
              <w:jc w:val="both"/>
              <w:rPr>
                <w:rFonts w:ascii="Times New Roman" w:hAnsi="Times New Roman" w:cs="Times New Roman"/>
                <w:sz w:val="24"/>
                <w:szCs w:val="24"/>
              </w:rPr>
            </w:pPr>
            <w:r w:rsidRPr="00513738">
              <w:rPr>
                <w:rFonts w:ascii="Times New Roman" w:hAnsi="Times New Roman" w:cs="Times New Roman"/>
                <w:b/>
                <w:bCs/>
                <w:sz w:val="24"/>
                <w:szCs w:val="24"/>
              </w:rPr>
              <w:t>Samērīgums</w:t>
            </w:r>
          </w:p>
          <w:p w14:paraId="5B2AC1B8" w14:textId="0CC4E8FB" w:rsidR="009B6162" w:rsidRPr="00513738" w:rsidRDefault="009B6162" w:rsidP="009B6162">
            <w:pPr>
              <w:jc w:val="both"/>
              <w:rPr>
                <w:rFonts w:ascii="Times New Roman" w:hAnsi="Times New Roman" w:cs="Times New Roman"/>
                <w:color w:val="FF0000"/>
                <w:sz w:val="24"/>
                <w:szCs w:val="24"/>
              </w:rPr>
            </w:pPr>
          </w:p>
        </w:tc>
        <w:tc>
          <w:tcPr>
            <w:tcW w:w="6379" w:type="dxa"/>
          </w:tcPr>
          <w:p w14:paraId="3B3913E2" w14:textId="72B6D48F" w:rsidR="00631049" w:rsidRPr="00513738" w:rsidRDefault="00903168" w:rsidP="00C22386">
            <w:pPr>
              <w:spacing w:after="120"/>
              <w:jc w:val="both"/>
              <w:rPr>
                <w:rFonts w:ascii="Times New Roman" w:hAnsi="Times New Roman" w:cs="Times New Roman"/>
                <w:sz w:val="24"/>
                <w:szCs w:val="24"/>
              </w:rPr>
            </w:pPr>
            <w:r w:rsidRPr="00513738">
              <w:rPr>
                <w:rFonts w:ascii="Times New Roman" w:hAnsi="Times New Roman" w:cs="Times New Roman"/>
                <w:sz w:val="24"/>
                <w:szCs w:val="24"/>
              </w:rPr>
              <w:t xml:space="preserve">Apdrošināšanas </w:t>
            </w:r>
            <w:r w:rsidR="00375865" w:rsidRPr="00513738">
              <w:rPr>
                <w:rFonts w:ascii="Times New Roman" w:hAnsi="Times New Roman" w:cs="Times New Roman"/>
                <w:sz w:val="24"/>
                <w:szCs w:val="24"/>
              </w:rPr>
              <w:t xml:space="preserve">un pārapdrošināšanas </w:t>
            </w:r>
            <w:r w:rsidRPr="00513738">
              <w:rPr>
                <w:rFonts w:ascii="Times New Roman" w:hAnsi="Times New Roman" w:cs="Times New Roman"/>
                <w:sz w:val="24"/>
                <w:szCs w:val="24"/>
              </w:rPr>
              <w:t>sabiedrībām</w:t>
            </w:r>
            <w:r w:rsidR="00375865" w:rsidRPr="00513738">
              <w:rPr>
                <w:rFonts w:ascii="Times New Roman" w:hAnsi="Times New Roman" w:cs="Times New Roman"/>
                <w:sz w:val="24"/>
                <w:szCs w:val="24"/>
              </w:rPr>
              <w:t>, kā arī ārvalsts apdrošinātāju filiālēm</w:t>
            </w:r>
            <w:r w:rsidR="00AC6272" w:rsidRPr="00513738">
              <w:rPr>
                <w:rFonts w:ascii="Times New Roman" w:hAnsi="Times New Roman" w:cs="Times New Roman"/>
                <w:sz w:val="24"/>
                <w:szCs w:val="24"/>
              </w:rPr>
              <w:t xml:space="preserve"> </w:t>
            </w:r>
            <w:r w:rsidRPr="00513738">
              <w:rPr>
                <w:rFonts w:ascii="Times New Roman" w:hAnsi="Times New Roman" w:cs="Times New Roman"/>
                <w:sz w:val="24"/>
                <w:szCs w:val="24"/>
              </w:rPr>
              <w:t xml:space="preserve">saskaņā ar Apdrošināšanas un pārapdrošināšanas likumu </w:t>
            </w:r>
            <w:r w:rsidR="00AC6272" w:rsidRPr="00513738">
              <w:rPr>
                <w:rFonts w:ascii="Times New Roman" w:hAnsi="Times New Roman" w:cs="Times New Roman"/>
                <w:sz w:val="24"/>
                <w:szCs w:val="24"/>
              </w:rPr>
              <w:t>ir noteikts pienākums sagatavot gada pārskatu un konsolidēto gada pārskatu</w:t>
            </w:r>
            <w:r w:rsidR="00631049" w:rsidRPr="00513738">
              <w:rPr>
                <w:rFonts w:ascii="Times New Roman" w:hAnsi="Times New Roman" w:cs="Times New Roman"/>
                <w:sz w:val="24"/>
                <w:szCs w:val="24"/>
              </w:rPr>
              <w:t xml:space="preserve"> un to iesniegt Valsts ieņēmumu dienestā.</w:t>
            </w:r>
          </w:p>
          <w:p w14:paraId="6251B01C" w14:textId="59C68550" w:rsidR="0057360C" w:rsidRPr="00513738" w:rsidRDefault="0057360C" w:rsidP="00C22386">
            <w:pPr>
              <w:spacing w:after="120"/>
              <w:jc w:val="both"/>
              <w:rPr>
                <w:rFonts w:ascii="Times New Roman" w:eastAsia="Times New Roman" w:hAnsi="Times New Roman" w:cs="Times New Roman"/>
                <w:sz w:val="24"/>
                <w:szCs w:val="24"/>
              </w:rPr>
            </w:pPr>
            <w:r w:rsidRPr="00513738">
              <w:rPr>
                <w:rFonts w:ascii="Times New Roman" w:eastAsia="Times New Roman" w:hAnsi="Times New Roman" w:cs="Times New Roman"/>
                <w:sz w:val="24"/>
                <w:szCs w:val="24"/>
              </w:rPr>
              <w:t xml:space="preserve">Līdz ar to atbilstošākais veids, kā noteikt </w:t>
            </w:r>
            <w:r w:rsidR="0018544C" w:rsidRPr="00513738">
              <w:rPr>
                <w:rFonts w:ascii="Times New Roman" w:eastAsia="Times New Roman" w:hAnsi="Times New Roman" w:cs="Times New Roman"/>
                <w:sz w:val="24"/>
                <w:szCs w:val="24"/>
              </w:rPr>
              <w:t>tirgus dalībniekiem</w:t>
            </w:r>
            <w:r w:rsidRPr="00513738">
              <w:rPr>
                <w:rFonts w:ascii="Times New Roman" w:eastAsia="Times New Roman" w:hAnsi="Times New Roman" w:cs="Times New Roman"/>
                <w:sz w:val="24"/>
                <w:szCs w:val="24"/>
              </w:rPr>
              <w:t xml:space="preserve"> vienotas prasības</w:t>
            </w:r>
            <w:r w:rsidR="0039219C" w:rsidRPr="00513738">
              <w:rPr>
                <w:rFonts w:ascii="Times New Roman" w:eastAsia="Times New Roman" w:hAnsi="Times New Roman" w:cs="Times New Roman"/>
                <w:sz w:val="24"/>
                <w:szCs w:val="24"/>
              </w:rPr>
              <w:t xml:space="preserve"> </w:t>
            </w:r>
            <w:r w:rsidR="00631049" w:rsidRPr="00513738">
              <w:rPr>
                <w:rFonts w:ascii="Times New Roman" w:eastAsia="Times New Roman" w:hAnsi="Times New Roman" w:cs="Times New Roman"/>
                <w:sz w:val="24"/>
                <w:szCs w:val="24"/>
              </w:rPr>
              <w:t xml:space="preserve">gada pārskata un konsolidētā gada pārskata </w:t>
            </w:r>
            <w:r w:rsidR="00631049" w:rsidRPr="00513738">
              <w:rPr>
                <w:rFonts w:ascii="Times New Roman" w:eastAsia="Times New Roman" w:hAnsi="Times New Roman" w:cs="Times New Roman"/>
                <w:sz w:val="24"/>
                <w:szCs w:val="24"/>
              </w:rPr>
              <w:lastRenderedPageBreak/>
              <w:t>sagatavošanai</w:t>
            </w:r>
            <w:r w:rsidR="0018544C" w:rsidRPr="00513738">
              <w:rPr>
                <w:rFonts w:ascii="Times New Roman" w:eastAsia="Times New Roman" w:hAnsi="Times New Roman" w:cs="Times New Roman"/>
                <w:sz w:val="24"/>
                <w:szCs w:val="24"/>
              </w:rPr>
              <w:t xml:space="preserve">, </w:t>
            </w:r>
            <w:r w:rsidRPr="00513738">
              <w:rPr>
                <w:rFonts w:ascii="Times New Roman" w:eastAsia="Times New Roman" w:hAnsi="Times New Roman" w:cs="Times New Roman"/>
                <w:sz w:val="24"/>
                <w:szCs w:val="24"/>
              </w:rPr>
              <w:t xml:space="preserve">ir izdot </w:t>
            </w:r>
            <w:r w:rsidR="000424A4" w:rsidRPr="00513738">
              <w:rPr>
                <w:rFonts w:ascii="Times New Roman" w:eastAsia="Times New Roman" w:hAnsi="Times New Roman" w:cs="Times New Roman"/>
                <w:sz w:val="24"/>
                <w:szCs w:val="24"/>
              </w:rPr>
              <w:t>t</w:t>
            </w:r>
            <w:r w:rsidR="0018544C" w:rsidRPr="00513738">
              <w:rPr>
                <w:rFonts w:ascii="Times New Roman" w:eastAsia="Times New Roman" w:hAnsi="Times New Roman" w:cs="Times New Roman"/>
                <w:sz w:val="24"/>
                <w:szCs w:val="24"/>
              </w:rPr>
              <w:t>ie</w:t>
            </w:r>
            <w:r w:rsidR="000424A4" w:rsidRPr="00513738">
              <w:rPr>
                <w:rFonts w:ascii="Times New Roman" w:eastAsia="Times New Roman" w:hAnsi="Times New Roman" w:cs="Times New Roman"/>
                <w:sz w:val="24"/>
                <w:szCs w:val="24"/>
              </w:rPr>
              <w:t>m</w:t>
            </w:r>
            <w:r w:rsidRPr="00513738">
              <w:rPr>
                <w:rFonts w:ascii="Times New Roman" w:eastAsia="Times New Roman" w:hAnsi="Times New Roman" w:cs="Times New Roman"/>
                <w:sz w:val="24"/>
                <w:szCs w:val="24"/>
              </w:rPr>
              <w:t xml:space="preserve"> saistošus noteikumus. Citas alternatīvas noregulēšanai un vienotu prasību noteikšanai nebūtu efektīvas un nesasniegtu izvirzīto mērķi, jo nenodrošinātu vienveidīgu regulējuma piemērošanu.</w:t>
            </w:r>
          </w:p>
          <w:p w14:paraId="72DE19C1" w14:textId="673035C6" w:rsidR="0057360C" w:rsidRPr="00513738" w:rsidRDefault="0057360C" w:rsidP="00C22386">
            <w:pPr>
              <w:spacing w:after="120"/>
              <w:jc w:val="both"/>
              <w:rPr>
                <w:rFonts w:ascii="Times New Roman" w:eastAsia="Times New Roman" w:hAnsi="Times New Roman" w:cs="Times New Roman"/>
                <w:sz w:val="24"/>
                <w:szCs w:val="24"/>
              </w:rPr>
            </w:pPr>
            <w:r w:rsidRPr="00513738">
              <w:rPr>
                <w:rFonts w:ascii="Times New Roman" w:eastAsia="Times New Roman" w:hAnsi="Times New Roman" w:cs="Times New Roman"/>
                <w:sz w:val="24"/>
                <w:szCs w:val="24"/>
              </w:rPr>
              <w:t xml:space="preserve">Izraugoties piemērotāko līdzekli leģitīmā mērķa sasniegšanai, Latvijas Banka izvērtēja, ka nebūtu atbilstoši izdot, piemēram, zemāka ranga normatīvos aktus, kuri nebūtu </w:t>
            </w:r>
            <w:r w:rsidR="00FD13F7" w:rsidRPr="00FD13F7">
              <w:rPr>
                <w:rFonts w:ascii="Times New Roman" w:eastAsia="Times New Roman" w:hAnsi="Times New Roman" w:cs="Times New Roman"/>
                <w:sz w:val="24"/>
                <w:szCs w:val="24"/>
              </w:rPr>
              <w:t>f</w:t>
            </w:r>
            <w:r w:rsidR="00FD13F7" w:rsidRPr="000C4FCD">
              <w:rPr>
                <w:rFonts w:ascii="Times New Roman" w:eastAsia="Times New Roman" w:hAnsi="Times New Roman" w:cs="Times New Roman"/>
                <w:sz w:val="24"/>
                <w:szCs w:val="24"/>
              </w:rPr>
              <w:t xml:space="preserve">inanšu </w:t>
            </w:r>
            <w:r w:rsidRPr="00513738">
              <w:rPr>
                <w:rFonts w:ascii="Times New Roman" w:eastAsia="Times New Roman" w:hAnsi="Times New Roman" w:cs="Times New Roman"/>
                <w:sz w:val="24"/>
                <w:szCs w:val="24"/>
              </w:rPr>
              <w:t>tirgus dalībniekam juridiski saistoši.</w:t>
            </w:r>
          </w:p>
          <w:p w14:paraId="12569A52" w14:textId="0E9A9F48" w:rsidR="00851C5D" w:rsidRPr="00513738" w:rsidRDefault="0057360C" w:rsidP="00C22386">
            <w:pPr>
              <w:spacing w:after="120"/>
              <w:jc w:val="both"/>
              <w:rPr>
                <w:rFonts w:ascii="Times New Roman" w:hAnsi="Times New Roman" w:cs="Times New Roman"/>
                <w:sz w:val="24"/>
                <w:szCs w:val="24"/>
              </w:rPr>
            </w:pPr>
            <w:r w:rsidRPr="00513738">
              <w:rPr>
                <w:rFonts w:ascii="Times New Roman" w:eastAsia="Times New Roman" w:hAnsi="Times New Roman" w:cs="Times New Roman"/>
                <w:sz w:val="24"/>
                <w:szCs w:val="24"/>
              </w:rPr>
              <w:t>Respektīvi, normatīvais akts kopumā un tajā ietvertās tiesību normas atbilst samērīguma principam, jo, pirmkārt, ar noteikumu projekta ieviešanu tiek sasniegts leģitīmais mērķis (</w:t>
            </w:r>
            <w:r w:rsidR="005E667B" w:rsidRPr="00513738">
              <w:rPr>
                <w:rFonts w:ascii="Times New Roman" w:eastAsia="Times New Roman" w:hAnsi="Times New Roman" w:cs="Times New Roman"/>
                <w:sz w:val="24"/>
                <w:szCs w:val="24"/>
                <w:lang w:eastAsia="lv-LV"/>
              </w:rPr>
              <w:t>citu personu tiesību aizsardzība un sabiedrības labklājības nodrošināšana</w:t>
            </w:r>
            <w:r w:rsidRPr="00513738">
              <w:rPr>
                <w:rFonts w:ascii="Times New Roman" w:eastAsia="Times New Roman" w:hAnsi="Times New Roman" w:cs="Times New Roman"/>
                <w:sz w:val="24"/>
                <w:szCs w:val="24"/>
              </w:rPr>
              <w:t>). Otrkārt, nepastāv tādi alternatīvi līdzekļi, kas sasniegtu leģitīmo mērķi tādā pašā kvalitātē. Treškārt, sabiedrības labums no normatīvā akta prasību piemērošanas ir lielāks par nelielu papildu slogu un resursu ieguldījumu, kas konkrētajam tirgus dalībniekam varētu rasties ar uzliktajiem pienākumiem.</w:t>
            </w:r>
          </w:p>
        </w:tc>
      </w:tr>
      <w:tr w:rsidR="00A61684" w:rsidRPr="00513738" w14:paraId="73006DC9" w14:textId="77777777" w:rsidTr="009B620B">
        <w:tc>
          <w:tcPr>
            <w:tcW w:w="1980" w:type="dxa"/>
          </w:tcPr>
          <w:p w14:paraId="57036A8D" w14:textId="75F5C14E" w:rsidR="00ED3376" w:rsidRPr="00513738" w:rsidRDefault="009E6A95" w:rsidP="00CB2ED4">
            <w:pPr>
              <w:jc w:val="both"/>
              <w:rPr>
                <w:rFonts w:ascii="Times New Roman" w:hAnsi="Times New Roman" w:cs="Times New Roman"/>
                <w:b/>
                <w:bCs/>
                <w:sz w:val="24"/>
                <w:szCs w:val="24"/>
              </w:rPr>
            </w:pPr>
            <w:r w:rsidRPr="00513738">
              <w:rPr>
                <w:rFonts w:ascii="Times New Roman" w:hAnsi="Times New Roman" w:cs="Times New Roman"/>
                <w:b/>
                <w:bCs/>
                <w:sz w:val="24"/>
                <w:szCs w:val="24"/>
              </w:rPr>
              <w:lastRenderedPageBreak/>
              <w:t>Spēkā stāšanās</w:t>
            </w:r>
          </w:p>
        </w:tc>
        <w:tc>
          <w:tcPr>
            <w:tcW w:w="6379" w:type="dxa"/>
          </w:tcPr>
          <w:p w14:paraId="44BB59B0" w14:textId="1B7F7ACC" w:rsidR="00DE3E0C" w:rsidRPr="00513738" w:rsidRDefault="00DE3E0C"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Noteikumu projekts virzāms apstiprināšanai Latvijas Bankas padomē pēc Ilgtspējas informācijas atklāšanas likumprojekta (</w:t>
            </w:r>
            <w:r w:rsidR="002471E4">
              <w:rPr>
                <w:rFonts w:ascii="Times New Roman" w:eastAsia="Times New Roman" w:hAnsi="Times New Roman" w:cs="Times New Roman"/>
                <w:sz w:val="24"/>
                <w:szCs w:val="24"/>
                <w:lang w:eastAsia="lv-LV"/>
              </w:rPr>
              <w:t>625/Lp14</w:t>
            </w:r>
            <w:r w:rsidRPr="00513738">
              <w:rPr>
                <w:rFonts w:ascii="Times New Roman" w:eastAsia="Times New Roman" w:hAnsi="Times New Roman" w:cs="Times New Roman"/>
                <w:sz w:val="24"/>
                <w:szCs w:val="24"/>
                <w:lang w:eastAsia="lv-LV"/>
              </w:rPr>
              <w:t>) pieņemšanas Saeimā galīgajā lasījumā</w:t>
            </w:r>
            <w:r w:rsidR="00165125" w:rsidRPr="00513738">
              <w:rPr>
                <w:rFonts w:ascii="Times New Roman" w:hAnsi="Times New Roman" w:cs="Times New Roman"/>
                <w:sz w:val="24"/>
                <w:szCs w:val="24"/>
              </w:rPr>
              <w:t>.</w:t>
            </w:r>
          </w:p>
          <w:p w14:paraId="391B9A6F" w14:textId="08F54742" w:rsidR="00D34E4F" w:rsidRPr="00513738" w:rsidRDefault="00AA0C6F" w:rsidP="00C22386">
            <w:pPr>
              <w:spacing w:after="120"/>
              <w:jc w:val="both"/>
              <w:rPr>
                <w:rFonts w:ascii="Times New Roman" w:hAnsi="Times New Roman" w:cs="Times New Roman"/>
                <w:sz w:val="24"/>
                <w:szCs w:val="24"/>
              </w:rPr>
            </w:pPr>
            <w:r w:rsidRPr="00513738">
              <w:rPr>
                <w:rFonts w:ascii="Times New Roman" w:eastAsia="Times New Roman" w:hAnsi="Times New Roman" w:cs="Times New Roman"/>
                <w:sz w:val="24"/>
                <w:szCs w:val="24"/>
                <w:lang w:eastAsia="lv-LV"/>
              </w:rPr>
              <w:t>Noteikumi stājas spēkā nākamajā dienā pēc to publicēšanas oficiālajā izdevumā "Latvijas Vēstnesis" atbilstoši Latvijas Bankas likuma 8. panta otrajai daļai.</w:t>
            </w:r>
          </w:p>
        </w:tc>
      </w:tr>
      <w:tr w:rsidR="00A61684" w:rsidRPr="00513738" w14:paraId="3E1DDE9F" w14:textId="77777777" w:rsidTr="009B620B">
        <w:tc>
          <w:tcPr>
            <w:tcW w:w="1980" w:type="dxa"/>
          </w:tcPr>
          <w:p w14:paraId="5FBEDEFD" w14:textId="3E1395CD" w:rsidR="00ED3376" w:rsidRPr="00513738" w:rsidRDefault="009E6A95" w:rsidP="00CB2ED4">
            <w:pPr>
              <w:jc w:val="both"/>
              <w:rPr>
                <w:rFonts w:ascii="Times New Roman" w:hAnsi="Times New Roman" w:cs="Times New Roman"/>
                <w:b/>
                <w:bCs/>
                <w:sz w:val="24"/>
                <w:szCs w:val="24"/>
              </w:rPr>
            </w:pPr>
            <w:r w:rsidRPr="00513738">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513738" w:rsidRDefault="00952874" w:rsidP="00C22386">
            <w:pPr>
              <w:spacing w:after="120"/>
              <w:jc w:val="both"/>
              <w:rPr>
                <w:rFonts w:ascii="Times New Roman" w:hAnsi="Times New Roman" w:cs="Times New Roman"/>
                <w:sz w:val="24"/>
                <w:szCs w:val="24"/>
              </w:rPr>
            </w:pPr>
            <w:r w:rsidRPr="00513738">
              <w:rPr>
                <w:rFonts w:ascii="Times New Roman" w:hAnsi="Times New Roman" w:cs="Times New Roman"/>
                <w:sz w:val="24"/>
                <w:szCs w:val="24"/>
              </w:rPr>
              <w:t>Noteikumu izdošana nerada ietekmi uz Latvijas Bankas budžetu.</w:t>
            </w:r>
          </w:p>
        </w:tc>
      </w:tr>
      <w:tr w:rsidR="00A61684" w:rsidRPr="00513738" w14:paraId="4266A97A" w14:textId="77777777" w:rsidTr="009B620B">
        <w:tc>
          <w:tcPr>
            <w:tcW w:w="1980" w:type="dxa"/>
          </w:tcPr>
          <w:p w14:paraId="2C58F0AD" w14:textId="7C66ADC8" w:rsidR="001A2F7D" w:rsidRPr="00513738" w:rsidRDefault="0099611F" w:rsidP="00CB2ED4">
            <w:pPr>
              <w:jc w:val="both"/>
              <w:rPr>
                <w:rFonts w:ascii="Times New Roman" w:hAnsi="Times New Roman" w:cs="Times New Roman"/>
                <w:b/>
                <w:bCs/>
                <w:color w:val="FF0000"/>
                <w:sz w:val="24"/>
                <w:szCs w:val="24"/>
              </w:rPr>
            </w:pPr>
            <w:r w:rsidRPr="00513738">
              <w:rPr>
                <w:rFonts w:ascii="Times New Roman" w:hAnsi="Times New Roman" w:cs="Times New Roman"/>
                <w:b/>
                <w:bCs/>
                <w:sz w:val="24"/>
                <w:szCs w:val="24"/>
              </w:rPr>
              <w:t>Administratīvā sloga un izmaksu novērtējums (tirgus dalībniekiem)</w:t>
            </w:r>
          </w:p>
        </w:tc>
        <w:tc>
          <w:tcPr>
            <w:tcW w:w="6379" w:type="dxa"/>
          </w:tcPr>
          <w:p w14:paraId="6B15E7B3" w14:textId="00FFC8ED" w:rsidR="009E6A95" w:rsidRPr="00513738" w:rsidRDefault="0057360C" w:rsidP="00C22386">
            <w:pPr>
              <w:spacing w:after="120"/>
              <w:jc w:val="both"/>
              <w:rPr>
                <w:rFonts w:ascii="Times New Roman" w:hAnsi="Times New Roman" w:cs="Times New Roman"/>
                <w:color w:val="FF0000"/>
                <w:sz w:val="24"/>
                <w:szCs w:val="24"/>
                <w:lang w:eastAsia="lv-LV"/>
              </w:rPr>
            </w:pPr>
            <w:r w:rsidRPr="00513738">
              <w:rPr>
                <w:rFonts w:ascii="Times New Roman" w:eastAsia="Times New Roman" w:hAnsi="Times New Roman" w:cs="Times New Roman"/>
                <w:sz w:val="24"/>
                <w:szCs w:val="24"/>
                <w:lang w:eastAsia="lv-LV"/>
              </w:rPr>
              <w:t>Noteikumu projektā ietverto prasību izdošana jaunā redakcijā</w:t>
            </w:r>
            <w:r w:rsidR="00911FF5" w:rsidRPr="00513738">
              <w:rPr>
                <w:rFonts w:ascii="Times New Roman" w:eastAsia="Times New Roman" w:hAnsi="Times New Roman" w:cs="Times New Roman"/>
                <w:sz w:val="24"/>
                <w:szCs w:val="24"/>
                <w:lang w:eastAsia="lv-LV"/>
              </w:rPr>
              <w:t>, jo ir mainījies šādu noteikumu izdošanas tiesiskais pamats,</w:t>
            </w:r>
            <w:r w:rsidRPr="00513738">
              <w:rPr>
                <w:rFonts w:ascii="Times New Roman" w:eastAsia="Times New Roman" w:hAnsi="Times New Roman" w:cs="Times New Roman"/>
                <w:sz w:val="24"/>
                <w:szCs w:val="24"/>
                <w:lang w:eastAsia="lv-LV"/>
              </w:rPr>
              <w:t xml:space="preserve"> nerada papildu administratīvo slogu tirgus dalībniekiem, uz kuriem ir attiecināmas noteikumu projekta prasības.</w:t>
            </w:r>
          </w:p>
        </w:tc>
      </w:tr>
      <w:tr w:rsidR="00A61684" w:rsidRPr="00513738" w14:paraId="78453D7D" w14:textId="77777777" w:rsidTr="009B620B">
        <w:tc>
          <w:tcPr>
            <w:tcW w:w="1980" w:type="dxa"/>
          </w:tcPr>
          <w:p w14:paraId="5AF60CCD" w14:textId="23B3F531" w:rsidR="00ED3376" w:rsidRPr="00513738" w:rsidRDefault="009E6A95" w:rsidP="00CB2ED4">
            <w:pPr>
              <w:jc w:val="both"/>
              <w:rPr>
                <w:rFonts w:ascii="Times New Roman" w:hAnsi="Times New Roman" w:cs="Times New Roman"/>
                <w:b/>
                <w:bCs/>
                <w:color w:val="FF0000"/>
                <w:sz w:val="24"/>
                <w:szCs w:val="24"/>
              </w:rPr>
            </w:pPr>
            <w:r w:rsidRPr="00513738">
              <w:rPr>
                <w:rFonts w:ascii="Times New Roman" w:hAnsi="Times New Roman" w:cs="Times New Roman"/>
                <w:b/>
                <w:bCs/>
                <w:sz w:val="24"/>
                <w:szCs w:val="24"/>
              </w:rPr>
              <w:t>Saistītie dokumenti</w:t>
            </w:r>
          </w:p>
        </w:tc>
        <w:tc>
          <w:tcPr>
            <w:tcW w:w="6379" w:type="dxa"/>
          </w:tcPr>
          <w:p w14:paraId="49C78AD7" w14:textId="466E70F2" w:rsidR="0039219C" w:rsidRPr="00513738" w:rsidRDefault="0039219C"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Ar noteikumu projektu saistītie dokumenti:</w:t>
            </w:r>
          </w:p>
          <w:p w14:paraId="407082DB" w14:textId="7EFCDB1A" w:rsidR="006A7880" w:rsidRPr="00513738" w:rsidRDefault="00631049" w:rsidP="00631049">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1)</w:t>
            </w:r>
            <w:r w:rsidR="005D42D8" w:rsidRPr="00513738">
              <w:rPr>
                <w:rFonts w:ascii="Times New Roman" w:eastAsia="Times New Roman" w:hAnsi="Times New Roman" w:cs="Times New Roman"/>
                <w:sz w:val="24"/>
                <w:szCs w:val="24"/>
                <w:lang w:eastAsia="lv-LV"/>
              </w:rPr>
              <w:t xml:space="preserve"> </w:t>
            </w:r>
            <w:r w:rsidR="00A47913" w:rsidRPr="00513738">
              <w:rPr>
                <w:rFonts w:ascii="Times New Roman" w:eastAsia="Times New Roman" w:hAnsi="Times New Roman" w:cs="Times New Roman"/>
                <w:sz w:val="24"/>
                <w:szCs w:val="24"/>
                <w:lang w:eastAsia="lv-LV"/>
              </w:rPr>
              <w:t>Apdrošināšanas un pārapdrošināšanas likums</w:t>
            </w:r>
            <w:r w:rsidR="006A7880" w:rsidRPr="00513738">
              <w:rPr>
                <w:rFonts w:ascii="Times New Roman" w:eastAsia="Times New Roman" w:hAnsi="Times New Roman" w:cs="Times New Roman"/>
                <w:sz w:val="24"/>
                <w:szCs w:val="24"/>
                <w:lang w:eastAsia="lv-LV"/>
              </w:rPr>
              <w:t>;</w:t>
            </w:r>
          </w:p>
          <w:p w14:paraId="2E03D214" w14:textId="538D3798" w:rsidR="004B1DE5" w:rsidRPr="00513738" w:rsidRDefault="00631049" w:rsidP="00631049">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2)</w:t>
            </w:r>
            <w:r w:rsidR="004B1DE5" w:rsidRPr="00513738">
              <w:rPr>
                <w:rFonts w:ascii="Times New Roman" w:eastAsia="Times New Roman" w:hAnsi="Times New Roman" w:cs="Times New Roman"/>
                <w:sz w:val="24"/>
                <w:szCs w:val="24"/>
                <w:lang w:eastAsia="lv-LV"/>
              </w:rPr>
              <w:t xml:space="preserve"> Revīzijas pakalpojumu likums;</w:t>
            </w:r>
          </w:p>
          <w:p w14:paraId="14845E63" w14:textId="2E3E5FA1" w:rsidR="004B1DE5" w:rsidRPr="00513738" w:rsidRDefault="007B665D" w:rsidP="00631049">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3</w:t>
            </w:r>
            <w:r w:rsidR="004B1DE5" w:rsidRPr="00513738">
              <w:rPr>
                <w:rFonts w:ascii="Times New Roman" w:eastAsia="Times New Roman" w:hAnsi="Times New Roman" w:cs="Times New Roman"/>
                <w:sz w:val="24"/>
                <w:szCs w:val="24"/>
                <w:lang w:eastAsia="lv-LV"/>
              </w:rPr>
              <w:t>) Gada pārskatu un konsolidēto gada pārskatu likums;</w:t>
            </w:r>
          </w:p>
          <w:p w14:paraId="68B84291" w14:textId="0496B57C" w:rsidR="00165125" w:rsidRPr="00513738" w:rsidRDefault="007B665D" w:rsidP="00631049">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4</w:t>
            </w:r>
            <w:r w:rsidR="00165125" w:rsidRPr="00513738">
              <w:rPr>
                <w:rFonts w:ascii="Times New Roman" w:eastAsia="Times New Roman" w:hAnsi="Times New Roman" w:cs="Times New Roman"/>
                <w:sz w:val="24"/>
                <w:szCs w:val="24"/>
                <w:lang w:eastAsia="lv-LV"/>
              </w:rPr>
              <w:t>) Ilgtspējas informācijas atklāšanas likumprojekts (</w:t>
            </w:r>
            <w:r w:rsidR="002471E4">
              <w:rPr>
                <w:rFonts w:ascii="Times New Roman" w:eastAsia="Times New Roman" w:hAnsi="Times New Roman" w:cs="Times New Roman"/>
                <w:sz w:val="24"/>
                <w:szCs w:val="24"/>
                <w:lang w:eastAsia="lv-LV"/>
              </w:rPr>
              <w:t>625/Lp14</w:t>
            </w:r>
            <w:r w:rsidR="00165125" w:rsidRPr="00513738">
              <w:rPr>
                <w:rFonts w:ascii="Times New Roman" w:eastAsia="Times New Roman" w:hAnsi="Times New Roman" w:cs="Times New Roman"/>
                <w:sz w:val="24"/>
                <w:szCs w:val="24"/>
                <w:lang w:eastAsia="lv-LV"/>
              </w:rPr>
              <w:t>);</w:t>
            </w:r>
          </w:p>
          <w:p w14:paraId="3758E5EC" w14:textId="037153D4" w:rsidR="006A7880" w:rsidRDefault="007B665D" w:rsidP="00C22386">
            <w:pPr>
              <w:spacing w:after="120"/>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5</w:t>
            </w:r>
            <w:r w:rsidR="00165125" w:rsidRPr="00513738">
              <w:rPr>
                <w:rFonts w:ascii="Times New Roman" w:eastAsia="Times New Roman" w:hAnsi="Times New Roman" w:cs="Times New Roman"/>
                <w:sz w:val="24"/>
                <w:szCs w:val="24"/>
                <w:lang w:eastAsia="lv-LV"/>
              </w:rPr>
              <w:t xml:space="preserve">) </w:t>
            </w:r>
            <w:r w:rsidR="006A7880" w:rsidRPr="00513738">
              <w:rPr>
                <w:rFonts w:ascii="Times New Roman" w:eastAsia="Times New Roman" w:hAnsi="Times New Roman" w:cs="Times New Roman"/>
                <w:sz w:val="24"/>
                <w:szCs w:val="24"/>
                <w:lang w:eastAsia="lv-LV"/>
              </w:rPr>
              <w:t>Noteikumi Nr.</w:t>
            </w:r>
            <w:r w:rsidR="00E007AB" w:rsidRPr="00513738">
              <w:rPr>
                <w:rFonts w:ascii="Times New Roman" w:eastAsia="Times New Roman" w:hAnsi="Times New Roman" w:cs="Times New Roman"/>
                <w:sz w:val="24"/>
                <w:szCs w:val="24"/>
                <w:lang w:eastAsia="lv-LV"/>
              </w:rPr>
              <w:t> </w:t>
            </w:r>
            <w:r w:rsidR="00AA0C6F" w:rsidRPr="00513738">
              <w:rPr>
                <w:rFonts w:ascii="Times New Roman" w:eastAsia="Times New Roman" w:hAnsi="Times New Roman" w:cs="Times New Roman"/>
                <w:sz w:val="24"/>
                <w:szCs w:val="24"/>
                <w:lang w:eastAsia="lv-LV"/>
              </w:rPr>
              <w:t>1</w:t>
            </w:r>
            <w:r w:rsidR="00631049" w:rsidRPr="00513738">
              <w:rPr>
                <w:rFonts w:ascii="Times New Roman" w:eastAsia="Times New Roman" w:hAnsi="Times New Roman" w:cs="Times New Roman"/>
                <w:sz w:val="24"/>
                <w:szCs w:val="24"/>
                <w:lang w:eastAsia="lv-LV"/>
              </w:rPr>
              <w:t>1</w:t>
            </w:r>
            <w:r w:rsidR="00A47913" w:rsidRPr="00513738">
              <w:rPr>
                <w:rFonts w:ascii="Times New Roman" w:eastAsia="Times New Roman" w:hAnsi="Times New Roman" w:cs="Times New Roman"/>
                <w:sz w:val="24"/>
                <w:szCs w:val="24"/>
                <w:lang w:eastAsia="lv-LV"/>
              </w:rPr>
              <w:t>4</w:t>
            </w:r>
            <w:r w:rsidR="006A7880" w:rsidRPr="00513738">
              <w:rPr>
                <w:rFonts w:ascii="Times New Roman" w:eastAsia="Times New Roman" w:hAnsi="Times New Roman" w:cs="Times New Roman"/>
                <w:sz w:val="24"/>
                <w:szCs w:val="24"/>
                <w:lang w:eastAsia="lv-LV"/>
              </w:rPr>
              <w:t>;</w:t>
            </w:r>
          </w:p>
          <w:p w14:paraId="5F064586" w14:textId="5292CDD2" w:rsidR="00402933" w:rsidRPr="00513738" w:rsidRDefault="00402933" w:rsidP="00C22386">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6) Finanšu un kapitāla tirgus komisijas 2020. gada 1. decembra normatīvie noteikumi Nr. 228 </w:t>
            </w:r>
            <w:r w:rsidRPr="00914AF9">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Apdrošinātāju un pārapdrošinātāju pārskatu sagatavošanas </w:t>
            </w:r>
            <w:r w:rsidRPr="00914AF9">
              <w:rPr>
                <w:rFonts w:ascii="Times New Roman" w:eastAsia="Times New Roman" w:hAnsi="Times New Roman" w:cs="Times New Roman"/>
                <w:sz w:val="24"/>
                <w:szCs w:val="24"/>
                <w:lang w:eastAsia="lv-LV"/>
              </w:rPr>
              <w:t>normatīvie noteikumi"</w:t>
            </w:r>
            <w:r>
              <w:rPr>
                <w:rFonts w:ascii="Times New Roman" w:eastAsia="Times New Roman" w:hAnsi="Times New Roman" w:cs="Times New Roman"/>
                <w:sz w:val="24"/>
                <w:szCs w:val="24"/>
                <w:lang w:eastAsia="lv-LV"/>
              </w:rPr>
              <w:t>;</w:t>
            </w:r>
          </w:p>
          <w:p w14:paraId="6E98C9CA" w14:textId="24BD1391" w:rsidR="00A33C75" w:rsidRPr="00513738" w:rsidRDefault="00402933" w:rsidP="007B665D">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00631049" w:rsidRPr="00513738">
              <w:rPr>
                <w:rFonts w:ascii="Times New Roman" w:eastAsia="Times New Roman" w:hAnsi="Times New Roman" w:cs="Times New Roman"/>
                <w:sz w:val="24"/>
                <w:szCs w:val="24"/>
                <w:lang w:eastAsia="lv-LV"/>
              </w:rPr>
              <w:t>)</w:t>
            </w:r>
            <w:r w:rsidR="007B665D" w:rsidRPr="00513738">
              <w:rPr>
                <w:rFonts w:ascii="Times New Roman" w:eastAsia="Times New Roman" w:hAnsi="Times New Roman" w:cs="Times New Roman"/>
                <w:sz w:val="24"/>
                <w:szCs w:val="24"/>
                <w:lang w:eastAsia="lv-LV"/>
              </w:rPr>
              <w:t xml:space="preserve"> </w:t>
            </w:r>
            <w:r w:rsidR="00DB38C8" w:rsidRPr="00513738">
              <w:rPr>
                <w:rFonts w:ascii="Times New Roman" w:eastAsia="Times New Roman" w:hAnsi="Times New Roman" w:cs="Times New Roman"/>
                <w:sz w:val="24"/>
                <w:szCs w:val="24"/>
                <w:lang w:eastAsia="lv-LV"/>
              </w:rPr>
              <w:t>Padomes 1991. gada 19. decembra direktīva 91/674/EEK par apdrošin</w:t>
            </w:r>
            <w:r w:rsidR="00513738">
              <w:rPr>
                <w:rFonts w:ascii="Times New Roman" w:eastAsia="Times New Roman" w:hAnsi="Times New Roman" w:cs="Times New Roman"/>
                <w:sz w:val="24"/>
                <w:szCs w:val="24"/>
                <w:lang w:eastAsia="lv-LV"/>
              </w:rPr>
              <w:t>ā</w:t>
            </w:r>
            <w:r w:rsidR="00DB38C8" w:rsidRPr="00513738">
              <w:rPr>
                <w:rFonts w:ascii="Times New Roman" w:eastAsia="Times New Roman" w:hAnsi="Times New Roman" w:cs="Times New Roman"/>
                <w:sz w:val="24"/>
                <w:szCs w:val="24"/>
                <w:lang w:eastAsia="lv-LV"/>
              </w:rPr>
              <w:t>šanas uzņēmumu gada pārskatiem un konsolidētajiem pārskatiem</w:t>
            </w:r>
            <w:r w:rsidR="004B1DE5" w:rsidRPr="00513738">
              <w:rPr>
                <w:rFonts w:ascii="Times New Roman" w:eastAsia="Times New Roman" w:hAnsi="Times New Roman" w:cs="Times New Roman"/>
                <w:sz w:val="24"/>
                <w:szCs w:val="24"/>
                <w:lang w:eastAsia="lv-LV"/>
              </w:rPr>
              <w:t>;</w:t>
            </w:r>
          </w:p>
          <w:p w14:paraId="109A5370" w14:textId="04A45A07" w:rsidR="00A33C75" w:rsidRPr="00513738" w:rsidRDefault="00402933" w:rsidP="00C22386">
            <w:pPr>
              <w:tabs>
                <w:tab w:val="left" w:pos="310"/>
              </w:tabs>
              <w:spacing w:after="120"/>
              <w:jc w:val="both"/>
              <w:rPr>
                <w:rFonts w:ascii="Times New Roman" w:eastAsia="Times New Roman" w:hAnsi="Times New Roman" w:cs="Times New Roman"/>
                <w:sz w:val="24"/>
                <w:szCs w:val="24"/>
                <w:lang w:eastAsia="lv-LV"/>
              </w:rPr>
            </w:pPr>
            <w:r>
              <w:rPr>
                <w:rFonts w:ascii="Times New Roman" w:hAnsi="Times New Roman" w:cs="Times New Roman"/>
                <w:sz w:val="24"/>
                <w:szCs w:val="24"/>
                <w:lang w:eastAsia="lv-LV"/>
              </w:rPr>
              <w:t>8</w:t>
            </w:r>
            <w:r w:rsidR="004B1DE5" w:rsidRPr="00513738">
              <w:rPr>
                <w:rFonts w:ascii="Times New Roman" w:hAnsi="Times New Roman" w:cs="Times New Roman"/>
                <w:sz w:val="24"/>
                <w:szCs w:val="24"/>
                <w:lang w:eastAsia="lv-LV"/>
              </w:rPr>
              <w:t>)</w:t>
            </w:r>
            <w:r w:rsidR="007B665D" w:rsidRPr="00513738">
              <w:rPr>
                <w:rFonts w:ascii="Times New Roman" w:hAnsi="Times New Roman" w:cs="Times New Roman"/>
                <w:sz w:val="24"/>
                <w:szCs w:val="24"/>
                <w:lang w:eastAsia="lv-LV"/>
              </w:rPr>
              <w:t xml:space="preserve"> </w:t>
            </w:r>
            <w:bookmarkStart w:id="0" w:name="_Hlk162339294"/>
            <w:r w:rsidR="00A55801">
              <w:rPr>
                <w:rFonts w:ascii="Times New Roman" w:eastAsia="Times New Roman" w:hAnsi="Times New Roman" w:cs="Times New Roman"/>
                <w:sz w:val="24"/>
                <w:szCs w:val="24"/>
                <w:lang w:eastAsia="lv-LV"/>
              </w:rPr>
              <w:t>Direktīva 2013/34</w:t>
            </w:r>
            <w:bookmarkEnd w:id="0"/>
            <w:r w:rsidR="004B1DE5" w:rsidRPr="00513738">
              <w:rPr>
                <w:rFonts w:ascii="Times New Roman" w:eastAsia="Times New Roman" w:hAnsi="Times New Roman" w:cs="Times New Roman"/>
                <w:sz w:val="24"/>
                <w:szCs w:val="24"/>
                <w:lang w:eastAsia="lv-LV"/>
              </w:rPr>
              <w:t>;</w:t>
            </w:r>
          </w:p>
          <w:p w14:paraId="2C55F282" w14:textId="301E626F" w:rsidR="004B1DE5" w:rsidRPr="00513738" w:rsidRDefault="00402933" w:rsidP="007B665D">
            <w:pPr>
              <w:tabs>
                <w:tab w:val="left" w:pos="310"/>
              </w:tabs>
              <w:spacing w:after="120"/>
              <w:jc w:val="both"/>
              <w:rPr>
                <w:rFonts w:ascii="Times New Roman" w:hAnsi="Times New Roman" w:cs="Times New Roman"/>
                <w:sz w:val="24"/>
                <w:szCs w:val="24"/>
              </w:rPr>
            </w:pPr>
            <w:r>
              <w:rPr>
                <w:rFonts w:ascii="Times New Roman" w:hAnsi="Times New Roman" w:cs="Times New Roman"/>
                <w:sz w:val="24"/>
                <w:szCs w:val="24"/>
              </w:rPr>
              <w:t>9</w:t>
            </w:r>
            <w:r w:rsidR="004B1DE5" w:rsidRPr="00513738">
              <w:rPr>
                <w:rFonts w:ascii="Times New Roman" w:hAnsi="Times New Roman" w:cs="Times New Roman"/>
                <w:sz w:val="24"/>
                <w:szCs w:val="24"/>
              </w:rPr>
              <w:t xml:space="preserve">) </w:t>
            </w:r>
            <w:r w:rsidR="00DC30B4" w:rsidRPr="00513738">
              <w:rPr>
                <w:rFonts w:ascii="Times New Roman" w:eastAsia="Times New Roman" w:hAnsi="Times New Roman" w:cs="Times New Roman"/>
                <w:sz w:val="24"/>
                <w:szCs w:val="24"/>
                <w:lang w:eastAsia="lv-LV"/>
              </w:rPr>
              <w:t>Starptautiskie grāmatvedības standarti</w:t>
            </w:r>
            <w:r w:rsidR="004B1DE5" w:rsidRPr="00513738">
              <w:rPr>
                <w:rFonts w:ascii="Times New Roman" w:eastAsia="Times New Roman" w:hAnsi="Times New Roman" w:cs="Times New Roman"/>
                <w:sz w:val="24"/>
                <w:szCs w:val="24"/>
                <w:lang w:eastAsia="lv-LV"/>
              </w:rPr>
              <w:t>.</w:t>
            </w:r>
          </w:p>
        </w:tc>
      </w:tr>
      <w:tr w:rsidR="00A61684" w:rsidRPr="00513738" w14:paraId="6E8D0230" w14:textId="77777777" w:rsidTr="009B620B">
        <w:tc>
          <w:tcPr>
            <w:tcW w:w="1980" w:type="dxa"/>
          </w:tcPr>
          <w:p w14:paraId="36731D0A" w14:textId="167D4F7E" w:rsidR="00ED3376" w:rsidRPr="00513738" w:rsidRDefault="009E6A95" w:rsidP="00CB2ED4">
            <w:pPr>
              <w:jc w:val="both"/>
              <w:rPr>
                <w:rFonts w:ascii="Times New Roman" w:hAnsi="Times New Roman" w:cs="Times New Roman"/>
                <w:b/>
                <w:bCs/>
                <w:sz w:val="24"/>
                <w:szCs w:val="24"/>
              </w:rPr>
            </w:pPr>
            <w:r w:rsidRPr="00513738">
              <w:rPr>
                <w:rFonts w:ascii="Times New Roman" w:hAnsi="Times New Roman" w:cs="Times New Roman"/>
                <w:b/>
                <w:bCs/>
                <w:sz w:val="24"/>
                <w:szCs w:val="24"/>
              </w:rPr>
              <w:lastRenderedPageBreak/>
              <w:t>Saskaņošana ar Eiropas Centrālo banku</w:t>
            </w:r>
          </w:p>
        </w:tc>
        <w:tc>
          <w:tcPr>
            <w:tcW w:w="6379" w:type="dxa"/>
          </w:tcPr>
          <w:p w14:paraId="792DD68E" w14:textId="610A1BA8" w:rsidR="009E6A95" w:rsidRPr="00513738" w:rsidRDefault="0057360C" w:rsidP="00C22386">
            <w:pPr>
              <w:spacing w:after="120"/>
              <w:jc w:val="both"/>
              <w:rPr>
                <w:rFonts w:ascii="Times New Roman" w:hAnsi="Times New Roman" w:cs="Times New Roman"/>
                <w:sz w:val="24"/>
                <w:szCs w:val="24"/>
              </w:rPr>
            </w:pPr>
            <w:r w:rsidRPr="00513738">
              <w:rPr>
                <w:rFonts w:ascii="Times New Roman" w:eastAsia="Times New Roman" w:hAnsi="Times New Roman" w:cs="Times New Roman"/>
                <w:sz w:val="24"/>
                <w:szCs w:val="24"/>
                <w:lang w:eastAsia="lv-LV"/>
              </w:rPr>
              <w:t>Noteikumu projektu nav nepieciešams saskaņot ar Eiropas Centrālo banku.</w:t>
            </w:r>
          </w:p>
        </w:tc>
      </w:tr>
      <w:tr w:rsidR="00A61684" w:rsidRPr="00513738" w14:paraId="48DDCC66" w14:textId="77777777" w:rsidTr="009B620B">
        <w:tc>
          <w:tcPr>
            <w:tcW w:w="1980" w:type="dxa"/>
          </w:tcPr>
          <w:p w14:paraId="58FC4ACD" w14:textId="2FF5365D" w:rsidR="00ED3376" w:rsidRPr="00513738" w:rsidRDefault="009E6A95" w:rsidP="00CB2ED4">
            <w:pPr>
              <w:jc w:val="both"/>
              <w:rPr>
                <w:rFonts w:ascii="Times New Roman" w:hAnsi="Times New Roman" w:cs="Times New Roman"/>
                <w:b/>
                <w:bCs/>
                <w:sz w:val="24"/>
                <w:szCs w:val="24"/>
              </w:rPr>
            </w:pPr>
            <w:r w:rsidRPr="00513738">
              <w:rPr>
                <w:rFonts w:ascii="Times New Roman" w:hAnsi="Times New Roman" w:cs="Times New Roman"/>
                <w:b/>
                <w:bCs/>
                <w:sz w:val="24"/>
                <w:szCs w:val="24"/>
              </w:rPr>
              <w:t>Saskaņošana ar citām publiskām un privātām personām</w:t>
            </w:r>
          </w:p>
        </w:tc>
        <w:tc>
          <w:tcPr>
            <w:tcW w:w="6379" w:type="dxa"/>
          </w:tcPr>
          <w:p w14:paraId="6CB77D39" w14:textId="7FC62AF3" w:rsidR="002C0B86" w:rsidRPr="00327536" w:rsidRDefault="002C0B86" w:rsidP="002C0B86">
            <w:pPr>
              <w:spacing w:after="120"/>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2024. gada 1</w:t>
            </w:r>
            <w:r w:rsidR="00C934E6">
              <w:rPr>
                <w:rFonts w:ascii="Times New Roman" w:eastAsia="Times New Roman" w:hAnsi="Times New Roman" w:cs="Times New Roman"/>
                <w:sz w:val="24"/>
                <w:szCs w:val="24"/>
                <w:lang w:eastAsia="lv-LV"/>
              </w:rPr>
              <w:t>3</w:t>
            </w:r>
            <w:r>
              <w:rPr>
                <w:rFonts w:ascii="Times New Roman" w:eastAsia="Times New Roman" w:hAnsi="Times New Roman" w:cs="Times New Roman"/>
                <w:sz w:val="24"/>
                <w:szCs w:val="24"/>
                <w:lang w:eastAsia="lv-LV"/>
              </w:rPr>
              <w:t>. </w:t>
            </w:r>
            <w:r w:rsidR="00C934E6">
              <w:rPr>
                <w:rFonts w:ascii="Times New Roman" w:eastAsia="Times New Roman" w:hAnsi="Times New Roman" w:cs="Times New Roman"/>
                <w:sz w:val="24"/>
                <w:szCs w:val="24"/>
                <w:lang w:eastAsia="lv-LV"/>
              </w:rPr>
              <w:t>augustā</w:t>
            </w:r>
            <w:r>
              <w:rPr>
                <w:rFonts w:ascii="Times New Roman" w:eastAsia="Times New Roman" w:hAnsi="Times New Roman" w:cs="Times New Roman"/>
                <w:sz w:val="24"/>
                <w:szCs w:val="24"/>
                <w:lang w:eastAsia="lv-LV"/>
              </w:rPr>
              <w:t xml:space="preserve"> </w:t>
            </w:r>
            <w:r w:rsidRPr="00327536">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327536">
              <w:rPr>
                <w:rFonts w:ascii="Times New Roman" w:eastAsia="Times New Roman" w:hAnsi="Times New Roman" w:cs="Times New Roman"/>
                <w:sz w:val="24"/>
                <w:szCs w:val="24"/>
                <w:lang w:eastAsia="lv-LV"/>
              </w:rPr>
              <w:t xml:space="preserve"> publicēts Latvijas Bankas tīmekļvietnes www.bank.lv </w:t>
            </w:r>
            <w:r>
              <w:rPr>
                <w:rFonts w:ascii="Times New Roman" w:eastAsia="Calibri" w:hAnsi="Times New Roman" w:cs="Times New Roman"/>
                <w:sz w:val="24"/>
                <w:szCs w:val="24"/>
              </w:rPr>
              <w:t>sadaļas "Tiesību akti" apakš</w:t>
            </w:r>
            <w:r w:rsidRPr="00F00503">
              <w:rPr>
                <w:rFonts w:ascii="Times New Roman" w:eastAsia="Calibri" w:hAnsi="Times New Roman" w:cs="Times New Roman"/>
                <w:sz w:val="24"/>
                <w:szCs w:val="24"/>
              </w:rPr>
              <w:t>sadaļā</w:t>
            </w:r>
            <w:r w:rsidRPr="00327536">
              <w:rPr>
                <w:rFonts w:ascii="Times New Roman" w:eastAsia="Times New Roman" w:hAnsi="Times New Roman" w:cs="Times New Roman"/>
                <w:sz w:val="24"/>
                <w:szCs w:val="24"/>
                <w:lang w:eastAsia="lv-LV"/>
              </w:rPr>
              <w:t xml:space="preserve"> "Sabiedrības līdzdalība", un par to b</w:t>
            </w:r>
            <w:r>
              <w:rPr>
                <w:rFonts w:ascii="Times New Roman" w:eastAsia="Times New Roman" w:hAnsi="Times New Roman" w:cs="Times New Roman"/>
                <w:sz w:val="24"/>
                <w:szCs w:val="24"/>
                <w:lang w:eastAsia="lv-LV"/>
              </w:rPr>
              <w:t>ija</w:t>
            </w:r>
            <w:r w:rsidRPr="00327536">
              <w:rPr>
                <w:rFonts w:ascii="Times New Roman" w:eastAsia="Times New Roman" w:hAnsi="Times New Roman" w:cs="Times New Roman"/>
                <w:sz w:val="24"/>
                <w:szCs w:val="24"/>
                <w:lang w:eastAsia="lv-LV"/>
              </w:rPr>
              <w:t xml:space="preserve"> iespējama sabiedrības līdzdalība</w:t>
            </w:r>
            <w:r>
              <w:rPr>
                <w:rFonts w:ascii="Times New Roman" w:eastAsia="Times New Roman" w:hAnsi="Times New Roman" w:cs="Times New Roman"/>
                <w:sz w:val="24"/>
                <w:szCs w:val="24"/>
                <w:lang w:eastAsia="lv-LV"/>
              </w:rPr>
              <w:t xml:space="preserve"> līdz </w:t>
            </w:r>
            <w:r w:rsidRPr="00B00336">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4</w:t>
            </w:r>
            <w:r w:rsidRPr="00B0033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B00336">
              <w:rPr>
                <w:rFonts w:ascii="Times New Roman" w:eastAsia="Times New Roman" w:hAnsi="Times New Roman" w:cs="Times New Roman"/>
                <w:sz w:val="24"/>
                <w:szCs w:val="24"/>
                <w:lang w:eastAsia="lv-LV"/>
              </w:rPr>
              <w:t xml:space="preserve">gada </w:t>
            </w:r>
            <w:r w:rsidR="00C934E6">
              <w:rPr>
                <w:rFonts w:ascii="Times New Roman" w:eastAsia="Times New Roman" w:hAnsi="Times New Roman" w:cs="Times New Roman"/>
                <w:sz w:val="24"/>
                <w:szCs w:val="24"/>
                <w:lang w:eastAsia="lv-LV"/>
              </w:rPr>
              <w:t>27</w:t>
            </w:r>
            <w:r>
              <w:rPr>
                <w:rFonts w:ascii="Times New Roman" w:eastAsia="Times New Roman" w:hAnsi="Times New Roman" w:cs="Times New Roman"/>
                <w:sz w:val="24"/>
                <w:szCs w:val="24"/>
                <w:lang w:eastAsia="lv-LV"/>
              </w:rPr>
              <w:t>. </w:t>
            </w:r>
            <w:r w:rsidR="00C934E6">
              <w:rPr>
                <w:rFonts w:ascii="Times New Roman" w:eastAsia="Times New Roman" w:hAnsi="Times New Roman" w:cs="Times New Roman"/>
                <w:sz w:val="24"/>
                <w:szCs w:val="24"/>
                <w:lang w:eastAsia="lv-LV"/>
              </w:rPr>
              <w:t>augustam</w:t>
            </w:r>
            <w:r w:rsidRPr="00327536">
              <w:rPr>
                <w:rFonts w:ascii="Times New Roman" w:eastAsia="Times New Roman" w:hAnsi="Times New Roman" w:cs="Times New Roman"/>
                <w:sz w:val="24"/>
                <w:szCs w:val="24"/>
                <w:lang w:eastAsia="lv-LV"/>
              </w:rPr>
              <w:t xml:space="preserve">. </w:t>
            </w:r>
          </w:p>
          <w:p w14:paraId="61CE77FB" w14:textId="4CACA11D" w:rsidR="00C0271D" w:rsidRPr="00513738" w:rsidRDefault="002C0B86" w:rsidP="002C0B86">
            <w:pPr>
              <w:spacing w:after="120"/>
              <w:jc w:val="both"/>
              <w:rPr>
                <w:rFonts w:ascii="Times New Roman" w:hAnsi="Times New Roman" w:cs="Times New Roman"/>
                <w:sz w:val="24"/>
                <w:szCs w:val="24"/>
              </w:rPr>
            </w:pPr>
            <w:r w:rsidRPr="00F00503">
              <w:rPr>
                <w:rFonts w:ascii="Times New Roman" w:eastAsia="Calibri" w:hAnsi="Times New Roman" w:cs="Times New Roman"/>
                <w:sz w:val="24"/>
                <w:szCs w:val="24"/>
              </w:rPr>
              <w:t>Vienlaikus par noteikumu projektu un notiekošo sabiedrības līdzdalību individuāli tik</w:t>
            </w:r>
            <w:r>
              <w:rPr>
                <w:rFonts w:ascii="Times New Roman" w:eastAsia="Calibri" w:hAnsi="Times New Roman" w:cs="Times New Roman"/>
                <w:sz w:val="24"/>
                <w:szCs w:val="24"/>
              </w:rPr>
              <w:t>a</w:t>
            </w:r>
            <w:r w:rsidRPr="00F00503">
              <w:rPr>
                <w:rFonts w:ascii="Times New Roman" w:eastAsia="Calibri" w:hAnsi="Times New Roman" w:cs="Times New Roman"/>
                <w:sz w:val="24"/>
                <w:szCs w:val="24"/>
              </w:rPr>
              <w:t xml:space="preserve"> informēta </w:t>
            </w:r>
            <w:r w:rsidRPr="00163E05">
              <w:rPr>
                <w:rFonts w:ascii="Times New Roman" w:eastAsia="Calibri" w:hAnsi="Times New Roman" w:cs="Times New Roman"/>
                <w:sz w:val="24"/>
                <w:szCs w:val="24"/>
              </w:rPr>
              <w:t xml:space="preserve">Latvijas </w:t>
            </w:r>
            <w:r w:rsidR="002016AE">
              <w:rPr>
                <w:rFonts w:ascii="Times New Roman" w:eastAsia="Calibri" w:hAnsi="Times New Roman" w:cs="Times New Roman"/>
                <w:sz w:val="24"/>
                <w:szCs w:val="24"/>
              </w:rPr>
              <w:t>A</w:t>
            </w:r>
            <w:r>
              <w:rPr>
                <w:rFonts w:ascii="Times New Roman" w:eastAsia="Calibri" w:hAnsi="Times New Roman" w:cs="Times New Roman"/>
                <w:sz w:val="24"/>
                <w:szCs w:val="24"/>
              </w:rPr>
              <w:t>pdrošinātāju</w:t>
            </w:r>
            <w:r w:rsidRPr="00163E05">
              <w:rPr>
                <w:rFonts w:ascii="Times New Roman" w:eastAsia="Calibri" w:hAnsi="Times New Roman" w:cs="Times New Roman"/>
                <w:sz w:val="24"/>
                <w:szCs w:val="24"/>
              </w:rPr>
              <w:t xml:space="preserve"> asociācija.</w:t>
            </w:r>
            <w:r>
              <w:rPr>
                <w:rFonts w:ascii="Times New Roman" w:eastAsia="Calibri" w:hAnsi="Times New Roman" w:cs="Times New Roman"/>
                <w:sz w:val="24"/>
                <w:szCs w:val="24"/>
              </w:rPr>
              <w:t xml:space="preserve"> </w:t>
            </w:r>
          </w:p>
        </w:tc>
      </w:tr>
      <w:tr w:rsidR="00FC38CB" w:rsidRPr="00513738" w14:paraId="69C6D010" w14:textId="77777777" w:rsidTr="009B620B">
        <w:tc>
          <w:tcPr>
            <w:tcW w:w="1980" w:type="dxa"/>
          </w:tcPr>
          <w:p w14:paraId="19ED627F" w14:textId="0049A799" w:rsidR="00ED3376" w:rsidRPr="00513738" w:rsidRDefault="00FC38CB" w:rsidP="00FC38CB">
            <w:pPr>
              <w:jc w:val="both"/>
              <w:rPr>
                <w:rFonts w:ascii="Times New Roman" w:hAnsi="Times New Roman" w:cs="Times New Roman"/>
                <w:sz w:val="24"/>
                <w:szCs w:val="24"/>
              </w:rPr>
            </w:pPr>
            <w:r w:rsidRPr="00513738">
              <w:rPr>
                <w:rFonts w:ascii="Times New Roman" w:eastAsia="Times New Roman" w:hAnsi="Times New Roman" w:cs="Times New Roman"/>
                <w:b/>
                <w:bCs/>
                <w:sz w:val="24"/>
                <w:szCs w:val="24"/>
                <w:lang w:eastAsia="lv-LV"/>
              </w:rPr>
              <w:t>Saskaņošanas</w:t>
            </w:r>
            <w:r w:rsidRPr="00513738">
              <w:rPr>
                <w:rFonts w:ascii="Times New Roman" w:eastAsia="Times New Roman" w:hAnsi="Times New Roman" w:cs="Times New Roman"/>
                <w:sz w:val="24"/>
                <w:szCs w:val="24"/>
                <w:lang w:eastAsia="lv-LV"/>
              </w:rPr>
              <w:t xml:space="preserve"> </w:t>
            </w:r>
            <w:r w:rsidRPr="00513738">
              <w:rPr>
                <w:rFonts w:ascii="Times New Roman" w:eastAsia="Times New Roman" w:hAnsi="Times New Roman" w:cs="Times New Roman"/>
                <w:b/>
                <w:bCs/>
                <w:sz w:val="24"/>
                <w:szCs w:val="24"/>
                <w:lang w:eastAsia="lv-LV"/>
              </w:rPr>
              <w:t>rezultāti</w:t>
            </w:r>
          </w:p>
        </w:tc>
        <w:tc>
          <w:tcPr>
            <w:tcW w:w="6379" w:type="dxa"/>
          </w:tcPr>
          <w:p w14:paraId="556503D9" w14:textId="77777777" w:rsidR="0078600A" w:rsidRDefault="002016AE" w:rsidP="00DB0246">
            <w:pPr>
              <w:spacing w:after="120"/>
              <w:jc w:val="both"/>
              <w:rPr>
                <w:rFonts w:ascii="Times New Roman" w:eastAsia="Times New Roman" w:hAnsi="Times New Roman" w:cs="Times New Roman"/>
                <w:sz w:val="24"/>
                <w:szCs w:val="24"/>
                <w:lang w:eastAsia="lv-LV"/>
              </w:rPr>
            </w:pPr>
            <w:r w:rsidRPr="00591E81">
              <w:rPr>
                <w:rFonts w:ascii="Times New Roman" w:eastAsia="Times New Roman" w:hAnsi="Times New Roman" w:cs="Times New Roman"/>
                <w:sz w:val="24"/>
                <w:szCs w:val="24"/>
                <w:lang w:eastAsia="lv-LV"/>
              </w:rPr>
              <w:t xml:space="preserve">Sabiedrības līdzdalības rezultātā </w:t>
            </w:r>
            <w:r w:rsidRPr="00B00336">
              <w:rPr>
                <w:rFonts w:ascii="Times New Roman" w:eastAsia="Times New Roman" w:hAnsi="Times New Roman" w:cs="Times New Roman"/>
                <w:sz w:val="24"/>
                <w:szCs w:val="24"/>
                <w:lang w:eastAsia="lv-LV"/>
              </w:rPr>
              <w:t xml:space="preserve">Latvijas </w:t>
            </w:r>
            <w:r>
              <w:rPr>
                <w:rFonts w:ascii="Times New Roman" w:eastAsia="Times New Roman" w:hAnsi="Times New Roman" w:cs="Times New Roman"/>
                <w:sz w:val="24"/>
                <w:szCs w:val="24"/>
                <w:lang w:eastAsia="lv-LV"/>
              </w:rPr>
              <w:t>Apdrošinātāju</w:t>
            </w:r>
            <w:r w:rsidRPr="00B00336">
              <w:rPr>
                <w:rFonts w:ascii="Times New Roman" w:eastAsia="Times New Roman" w:hAnsi="Times New Roman" w:cs="Times New Roman"/>
                <w:sz w:val="24"/>
                <w:szCs w:val="24"/>
                <w:lang w:eastAsia="lv-LV"/>
              </w:rPr>
              <w:t xml:space="preserve"> asociācija</w:t>
            </w:r>
            <w:r>
              <w:rPr>
                <w:rFonts w:ascii="Times New Roman" w:eastAsia="Times New Roman" w:hAnsi="Times New Roman" w:cs="Times New Roman"/>
                <w:sz w:val="24"/>
                <w:szCs w:val="24"/>
                <w:lang w:eastAsia="lv-LV"/>
              </w:rPr>
              <w:t xml:space="preserve"> informēja, ka </w:t>
            </w:r>
            <w:r w:rsidR="00F93FA8">
              <w:rPr>
                <w:rFonts w:ascii="Times New Roman" w:eastAsia="Times New Roman" w:hAnsi="Times New Roman" w:cs="Times New Roman"/>
                <w:sz w:val="24"/>
                <w:szCs w:val="24"/>
                <w:lang w:eastAsia="lv-LV"/>
              </w:rPr>
              <w:t>tai nav iebildumu vai priekšlikumu par</w:t>
            </w:r>
            <w:r w:rsidRPr="00B00336">
              <w:rPr>
                <w:rFonts w:ascii="Times New Roman" w:eastAsia="Times New Roman" w:hAnsi="Times New Roman" w:cs="Times New Roman"/>
                <w:sz w:val="24"/>
                <w:szCs w:val="24"/>
                <w:lang w:eastAsia="lv-LV"/>
              </w:rPr>
              <w:t xml:space="preserve"> noteikumu projektu</w:t>
            </w:r>
            <w:r>
              <w:rPr>
                <w:rFonts w:ascii="Times New Roman" w:eastAsia="Times New Roman" w:hAnsi="Times New Roman" w:cs="Times New Roman"/>
                <w:sz w:val="24"/>
                <w:szCs w:val="24"/>
                <w:lang w:eastAsia="lv-LV"/>
              </w:rPr>
              <w:t>.</w:t>
            </w:r>
          </w:p>
          <w:p w14:paraId="42E86DBD" w14:textId="560825F1" w:rsidR="00F93FA8" w:rsidRPr="00513738" w:rsidRDefault="00F93FA8" w:rsidP="00DB0246">
            <w:pPr>
              <w:spacing w:after="120"/>
              <w:jc w:val="both"/>
              <w:rPr>
                <w:rFonts w:ascii="Times New Roman" w:hAnsi="Times New Roman" w:cs="Times New Roman"/>
                <w:sz w:val="24"/>
                <w:szCs w:val="24"/>
              </w:rPr>
            </w:pPr>
            <w:r w:rsidRPr="00F22D6F">
              <w:rPr>
                <w:rFonts w:ascii="Times New Roman" w:eastAsia="Times New Roman" w:hAnsi="Times New Roman" w:cs="Times New Roman"/>
                <w:sz w:val="24"/>
                <w:szCs w:val="24"/>
                <w:lang w:eastAsia="lv-LV"/>
              </w:rPr>
              <w:t>Sabiedrības līdzdalības rezultātā saņemta vēstule no Valsts ieņēmumu dienesta ar komentāru par to, ka finanšu pārskatu posteņu detalizācijas samazināšanas rezultātā</w:t>
            </w:r>
            <w:r w:rsidR="00533C1D" w:rsidRPr="00F22D6F">
              <w:rPr>
                <w:rFonts w:ascii="Times New Roman" w:eastAsia="Times New Roman" w:hAnsi="Times New Roman" w:cs="Times New Roman"/>
                <w:sz w:val="24"/>
                <w:szCs w:val="24"/>
                <w:lang w:eastAsia="lv-LV"/>
              </w:rPr>
              <w:t>, kas ieviesta noteikumu projektā,</w:t>
            </w:r>
            <w:r w:rsidRPr="00F22D6F">
              <w:rPr>
                <w:rFonts w:ascii="Times New Roman" w:eastAsia="Times New Roman" w:hAnsi="Times New Roman" w:cs="Times New Roman"/>
                <w:sz w:val="24"/>
                <w:szCs w:val="24"/>
                <w:lang w:eastAsia="lv-LV"/>
              </w:rPr>
              <w:t xml:space="preserve"> Valsts ieņēmumu dienestam </w:t>
            </w:r>
            <w:r w:rsidR="007C1D67" w:rsidRPr="00F22D6F">
              <w:rPr>
                <w:rFonts w:ascii="Times New Roman" w:eastAsia="Times New Roman" w:hAnsi="Times New Roman" w:cs="Times New Roman"/>
                <w:sz w:val="24"/>
                <w:szCs w:val="24"/>
                <w:lang w:eastAsia="lv-LV"/>
              </w:rPr>
              <w:t>jāveic izmaiņas e</w:t>
            </w:r>
            <w:r w:rsidR="00957F64" w:rsidRPr="00F22D6F">
              <w:rPr>
                <w:rFonts w:ascii="Times New Roman" w:eastAsia="Times New Roman" w:hAnsi="Times New Roman" w:cs="Times New Roman"/>
                <w:sz w:val="24"/>
                <w:szCs w:val="24"/>
                <w:lang w:eastAsia="lv-LV"/>
              </w:rPr>
              <w:t>lektroniskās deklarēšanas sistēmā ievietot</w:t>
            </w:r>
            <w:r w:rsidR="00BC0624" w:rsidRPr="00F22D6F">
              <w:rPr>
                <w:rFonts w:ascii="Times New Roman" w:eastAsia="Times New Roman" w:hAnsi="Times New Roman" w:cs="Times New Roman"/>
                <w:sz w:val="24"/>
                <w:szCs w:val="24"/>
                <w:lang w:eastAsia="lv-LV"/>
              </w:rPr>
              <w:t>o</w:t>
            </w:r>
            <w:r w:rsidR="00957F64" w:rsidRPr="00F22D6F">
              <w:rPr>
                <w:rFonts w:ascii="Times New Roman" w:eastAsia="Times New Roman" w:hAnsi="Times New Roman" w:cs="Times New Roman"/>
                <w:sz w:val="24"/>
                <w:szCs w:val="24"/>
                <w:lang w:eastAsia="lv-LV"/>
              </w:rPr>
              <w:t xml:space="preserve"> finanšu pārskatu posteņos.</w:t>
            </w:r>
            <w:r w:rsidR="008615EF" w:rsidRPr="00F22D6F">
              <w:rPr>
                <w:rFonts w:ascii="Times New Roman" w:eastAsia="Times New Roman" w:hAnsi="Times New Roman" w:cs="Times New Roman"/>
                <w:sz w:val="24"/>
                <w:szCs w:val="24"/>
                <w:lang w:eastAsia="lv-LV"/>
              </w:rPr>
              <w:t xml:space="preserve"> Saņemtā informācija no Valsts ieņēmumu dienesta iekļauta anotācijas </w:t>
            </w:r>
            <w:r w:rsidR="00BC0624" w:rsidRPr="00F22D6F">
              <w:rPr>
                <w:rFonts w:ascii="Times New Roman" w:eastAsia="Times New Roman" w:hAnsi="Times New Roman" w:cs="Times New Roman"/>
                <w:sz w:val="24"/>
                <w:szCs w:val="24"/>
                <w:lang w:eastAsia="lv-LV"/>
              </w:rPr>
              <w:t>2. </w:t>
            </w:r>
            <w:r w:rsidR="008615EF" w:rsidRPr="00F22D6F">
              <w:rPr>
                <w:rFonts w:ascii="Times New Roman" w:eastAsia="Times New Roman" w:hAnsi="Times New Roman" w:cs="Times New Roman"/>
                <w:sz w:val="24"/>
                <w:szCs w:val="24"/>
                <w:lang w:eastAsia="lv-LV"/>
              </w:rPr>
              <w:t>pielikumā.</w:t>
            </w:r>
          </w:p>
        </w:tc>
      </w:tr>
    </w:tbl>
    <w:p w14:paraId="441298EF" w14:textId="77777777" w:rsidR="007B1360" w:rsidRPr="00513738" w:rsidRDefault="007B1360" w:rsidP="00CB2ED4">
      <w:pPr>
        <w:jc w:val="both"/>
        <w:rPr>
          <w:rFonts w:ascii="Times New Roman" w:hAnsi="Times New Roman" w:cs="Times New Roman"/>
          <w:color w:val="FF0000"/>
          <w:sz w:val="24"/>
          <w:szCs w:val="24"/>
        </w:rPr>
        <w:sectPr w:rsidR="007B1360" w:rsidRPr="00513738" w:rsidSect="00F0507F">
          <w:headerReference w:type="default" r:id="rId15"/>
          <w:pgSz w:w="11906" w:h="16838"/>
          <w:pgMar w:top="1134" w:right="1841" w:bottom="1134" w:left="1701" w:header="709" w:footer="709" w:gutter="0"/>
          <w:cols w:space="708"/>
          <w:titlePg/>
          <w:docGrid w:linePitch="360"/>
        </w:sectPr>
      </w:pPr>
    </w:p>
    <w:p w14:paraId="38E4F515" w14:textId="62F0C383" w:rsidR="006952E1" w:rsidRPr="00513738" w:rsidRDefault="00BC0624" w:rsidP="006952E1">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 p</w:t>
      </w:r>
      <w:r w:rsidR="006952E1" w:rsidRPr="00513738">
        <w:rPr>
          <w:rFonts w:ascii="Times New Roman" w:hAnsi="Times New Roman" w:cs="Times New Roman"/>
          <w:color w:val="000000" w:themeColor="text1"/>
          <w:sz w:val="24"/>
          <w:szCs w:val="24"/>
        </w:rPr>
        <w:t>ielikums</w:t>
      </w:r>
    </w:p>
    <w:p w14:paraId="429AE5C2" w14:textId="77777777" w:rsidR="006952E1" w:rsidRPr="00513738" w:rsidRDefault="006952E1" w:rsidP="006952E1">
      <w:pPr>
        <w:spacing w:after="0" w:line="240" w:lineRule="auto"/>
        <w:jc w:val="right"/>
        <w:rPr>
          <w:rFonts w:ascii="Times New Roman" w:hAnsi="Times New Roman" w:cs="Times New Roman"/>
          <w:color w:val="000000" w:themeColor="text1"/>
          <w:sz w:val="24"/>
          <w:szCs w:val="24"/>
        </w:rPr>
      </w:pPr>
      <w:r w:rsidRPr="00513738">
        <w:rPr>
          <w:rFonts w:ascii="Times New Roman" w:hAnsi="Times New Roman" w:cs="Times New Roman"/>
          <w:color w:val="000000" w:themeColor="text1"/>
          <w:sz w:val="24"/>
          <w:szCs w:val="24"/>
        </w:rPr>
        <w:t>Latvijas Bankas noteikumu projekta anotācijai</w:t>
      </w:r>
    </w:p>
    <w:p w14:paraId="4B6D0B68" w14:textId="77777777" w:rsidR="006952E1" w:rsidRPr="00513738" w:rsidRDefault="006952E1" w:rsidP="006952E1">
      <w:pPr>
        <w:spacing w:after="0" w:line="240" w:lineRule="auto"/>
        <w:jc w:val="right"/>
        <w:rPr>
          <w:rFonts w:ascii="Times New Roman" w:hAnsi="Times New Roman" w:cs="Times New Roman"/>
          <w:color w:val="000000" w:themeColor="text1"/>
          <w:sz w:val="24"/>
          <w:szCs w:val="24"/>
        </w:rPr>
      </w:pPr>
    </w:p>
    <w:p w14:paraId="1DD7829B" w14:textId="77777777" w:rsidR="006952E1" w:rsidRPr="00513738" w:rsidRDefault="006952E1" w:rsidP="006952E1">
      <w:pPr>
        <w:spacing w:after="0" w:line="240" w:lineRule="auto"/>
        <w:jc w:val="center"/>
        <w:rPr>
          <w:rFonts w:ascii="Times New Roman" w:hAnsi="Times New Roman" w:cs="Times New Roman"/>
          <w:b/>
          <w:color w:val="000000" w:themeColor="text1"/>
          <w:sz w:val="24"/>
          <w:szCs w:val="24"/>
        </w:rPr>
      </w:pPr>
      <w:r w:rsidRPr="00513738">
        <w:rPr>
          <w:rFonts w:ascii="Times New Roman" w:hAnsi="Times New Roman" w:cs="Times New Roman"/>
          <w:b/>
          <w:color w:val="000000" w:themeColor="text1"/>
          <w:sz w:val="24"/>
          <w:szCs w:val="24"/>
        </w:rPr>
        <w:t>Eiropas Savienības tiesību aktu pārņemšanas/ieviešanas tabula</w:t>
      </w:r>
    </w:p>
    <w:p w14:paraId="61158E4F" w14:textId="77777777" w:rsidR="006952E1" w:rsidRPr="00513738" w:rsidRDefault="006952E1" w:rsidP="006952E1">
      <w:pPr>
        <w:spacing w:after="0" w:line="240" w:lineRule="auto"/>
        <w:jc w:val="center"/>
        <w:rPr>
          <w:rFonts w:ascii="Times New Roman" w:hAnsi="Times New Roman" w:cs="Times New Roman"/>
          <w:b/>
          <w:color w:val="000000" w:themeColor="text1"/>
          <w:sz w:val="24"/>
          <w:szCs w:val="24"/>
        </w:rPr>
      </w:pPr>
    </w:p>
    <w:p w14:paraId="55ABC3A3" w14:textId="6DB59C0F" w:rsidR="006952E1" w:rsidRPr="00513738" w:rsidRDefault="006952E1" w:rsidP="00921BDC">
      <w:pPr>
        <w:spacing w:after="0" w:line="240" w:lineRule="auto"/>
        <w:jc w:val="both"/>
        <w:rPr>
          <w:rFonts w:ascii="Times New Roman" w:hAnsi="Times New Roman" w:cs="Times New Roman"/>
          <w:bCs/>
          <w:color w:val="000000" w:themeColor="text1"/>
          <w:sz w:val="24"/>
          <w:szCs w:val="24"/>
        </w:rPr>
      </w:pPr>
      <w:r w:rsidRPr="00513738">
        <w:rPr>
          <w:rFonts w:ascii="Times New Roman" w:hAnsi="Times New Roman" w:cs="Times New Roman"/>
          <w:b/>
          <w:color w:val="000000" w:themeColor="text1"/>
          <w:sz w:val="24"/>
          <w:szCs w:val="24"/>
        </w:rPr>
        <w:t>Latvijas Bankas noteikumu projekta nosaukums:</w:t>
      </w:r>
      <w:r w:rsidRPr="00513738">
        <w:rPr>
          <w:rFonts w:ascii="Times New Roman" w:hAnsi="Times New Roman" w:cs="Times New Roman"/>
          <w:bCs/>
          <w:color w:val="000000" w:themeColor="text1"/>
          <w:sz w:val="24"/>
          <w:szCs w:val="24"/>
        </w:rPr>
        <w:t xml:space="preserve"> </w:t>
      </w:r>
      <w:r w:rsidR="00A33C75" w:rsidRPr="00513738">
        <w:rPr>
          <w:rFonts w:ascii="Times New Roman" w:eastAsia="Times New Roman" w:hAnsi="Times New Roman" w:cs="Times New Roman"/>
          <w:sz w:val="24"/>
          <w:szCs w:val="24"/>
          <w:lang w:eastAsia="lv-LV"/>
        </w:rPr>
        <w:t>"</w:t>
      </w:r>
      <w:r w:rsidR="007B665D" w:rsidRPr="00513738">
        <w:rPr>
          <w:rFonts w:ascii="Times New Roman" w:eastAsia="Times New Roman" w:hAnsi="Times New Roman" w:cs="Times New Roman"/>
          <w:sz w:val="24"/>
          <w:lang w:eastAsia="lv-LV"/>
        </w:rPr>
        <w:t xml:space="preserve">Apdrošināšanas un pārapdrošināšanas sabiedrību un ārvalsts apdrošinātāju filiāļu </w:t>
      </w:r>
      <w:r w:rsidR="00FB1B6F">
        <w:rPr>
          <w:rFonts w:ascii="Times New Roman" w:eastAsia="Times New Roman" w:hAnsi="Times New Roman" w:cs="Times New Roman"/>
          <w:sz w:val="24"/>
          <w:lang w:eastAsia="lv-LV"/>
        </w:rPr>
        <w:t xml:space="preserve">grāmatvedības, </w:t>
      </w:r>
      <w:r w:rsidR="007B665D" w:rsidRPr="00513738">
        <w:rPr>
          <w:rFonts w:ascii="Times New Roman" w:eastAsia="Times New Roman" w:hAnsi="Times New Roman" w:cs="Times New Roman"/>
          <w:sz w:val="24"/>
          <w:lang w:eastAsia="lv-LV"/>
        </w:rPr>
        <w:t xml:space="preserve">gada pārskata un konsolidētā gada pārskata </w:t>
      </w:r>
      <w:r w:rsidR="00351990">
        <w:rPr>
          <w:rFonts w:ascii="Times New Roman" w:eastAsia="Times New Roman" w:hAnsi="Times New Roman" w:cs="Times New Roman"/>
          <w:sz w:val="24"/>
          <w:lang w:eastAsia="lv-LV"/>
        </w:rPr>
        <w:t xml:space="preserve">sagatavošanas </w:t>
      </w:r>
      <w:r w:rsidR="007B665D" w:rsidRPr="00513738">
        <w:rPr>
          <w:rFonts w:ascii="Times New Roman" w:eastAsia="Times New Roman" w:hAnsi="Times New Roman" w:cs="Times New Roman"/>
          <w:sz w:val="24"/>
          <w:lang w:eastAsia="lv-LV"/>
        </w:rPr>
        <w:t>noteikumi</w:t>
      </w:r>
      <w:r w:rsidR="00A33C75" w:rsidRPr="00513738">
        <w:rPr>
          <w:rFonts w:ascii="Times New Roman" w:eastAsia="Times New Roman" w:hAnsi="Times New Roman" w:cs="Times New Roman"/>
          <w:sz w:val="24"/>
          <w:szCs w:val="24"/>
          <w:lang w:eastAsia="lv-LV"/>
        </w:rPr>
        <w:t>"</w:t>
      </w:r>
      <w:r w:rsidRPr="00513738">
        <w:rPr>
          <w:rFonts w:ascii="Times New Roman" w:hAnsi="Times New Roman" w:cs="Times New Roman"/>
          <w:bCs/>
          <w:color w:val="000000" w:themeColor="text1"/>
          <w:sz w:val="24"/>
          <w:szCs w:val="24"/>
        </w:rPr>
        <w:t xml:space="preserve"> (turpmāk</w:t>
      </w:r>
      <w:r w:rsidR="004F756C" w:rsidRPr="00513738">
        <w:rPr>
          <w:rFonts w:ascii="Times New Roman" w:hAnsi="Times New Roman" w:cs="Times New Roman"/>
          <w:bCs/>
          <w:color w:val="000000" w:themeColor="text1"/>
          <w:sz w:val="24"/>
          <w:szCs w:val="24"/>
        </w:rPr>
        <w:t> </w:t>
      </w:r>
      <w:r w:rsidRPr="00513738">
        <w:rPr>
          <w:rFonts w:ascii="Times New Roman" w:hAnsi="Times New Roman" w:cs="Times New Roman"/>
          <w:bCs/>
          <w:color w:val="000000" w:themeColor="text1"/>
          <w:sz w:val="24"/>
          <w:szCs w:val="24"/>
        </w:rPr>
        <w:t>– projekts)</w:t>
      </w:r>
    </w:p>
    <w:p w14:paraId="01C9352D" w14:textId="77777777" w:rsidR="006952E1" w:rsidRPr="00513738" w:rsidRDefault="006952E1" w:rsidP="006952E1">
      <w:pPr>
        <w:spacing w:after="0" w:line="240" w:lineRule="auto"/>
        <w:rPr>
          <w:rFonts w:ascii="Times New Roman" w:hAnsi="Times New Roman" w:cs="Times New Roman"/>
          <w:bCs/>
          <w:color w:val="000000" w:themeColor="text1"/>
          <w:sz w:val="24"/>
          <w:szCs w:val="24"/>
        </w:rPr>
      </w:pPr>
    </w:p>
    <w:p w14:paraId="51C74CE7" w14:textId="17F88262" w:rsidR="003B64AC" w:rsidRPr="00513738" w:rsidRDefault="006952E1" w:rsidP="00C2758D">
      <w:pPr>
        <w:spacing w:after="0" w:line="240" w:lineRule="auto"/>
        <w:jc w:val="both"/>
        <w:rPr>
          <w:rFonts w:ascii="Times New Roman" w:hAnsi="Times New Roman" w:cs="Times New Roman"/>
          <w:b/>
          <w:color w:val="000000" w:themeColor="text1"/>
          <w:sz w:val="24"/>
          <w:szCs w:val="24"/>
        </w:rPr>
      </w:pPr>
      <w:r w:rsidRPr="00513738">
        <w:rPr>
          <w:rFonts w:ascii="Times New Roman" w:hAnsi="Times New Roman" w:cs="Times New Roman"/>
          <w:b/>
          <w:color w:val="000000" w:themeColor="text1"/>
          <w:sz w:val="24"/>
          <w:szCs w:val="24"/>
        </w:rPr>
        <w:t>Eiropas Savienības tiesību akt</w:t>
      </w:r>
      <w:r w:rsidR="00AF562C" w:rsidRPr="00513738">
        <w:rPr>
          <w:rFonts w:ascii="Times New Roman" w:hAnsi="Times New Roman" w:cs="Times New Roman"/>
          <w:b/>
          <w:color w:val="000000" w:themeColor="text1"/>
          <w:sz w:val="24"/>
          <w:szCs w:val="24"/>
        </w:rPr>
        <w:t>u</w:t>
      </w:r>
      <w:r w:rsidRPr="00513738">
        <w:rPr>
          <w:rFonts w:ascii="Times New Roman" w:hAnsi="Times New Roman" w:cs="Times New Roman"/>
          <w:b/>
          <w:color w:val="000000" w:themeColor="text1"/>
          <w:sz w:val="24"/>
          <w:szCs w:val="24"/>
        </w:rPr>
        <w:t xml:space="preserve"> nosaukum</w:t>
      </w:r>
      <w:r w:rsidR="00AF562C" w:rsidRPr="00513738">
        <w:rPr>
          <w:rFonts w:ascii="Times New Roman" w:hAnsi="Times New Roman" w:cs="Times New Roman"/>
          <w:b/>
          <w:color w:val="000000" w:themeColor="text1"/>
          <w:sz w:val="24"/>
          <w:szCs w:val="24"/>
        </w:rPr>
        <w:t>i</w:t>
      </w:r>
      <w:r w:rsidRPr="00513738">
        <w:rPr>
          <w:rFonts w:ascii="Times New Roman" w:hAnsi="Times New Roman" w:cs="Times New Roman"/>
          <w:b/>
          <w:color w:val="000000" w:themeColor="text1"/>
          <w:sz w:val="24"/>
          <w:szCs w:val="24"/>
        </w:rPr>
        <w:t xml:space="preserve">: </w:t>
      </w:r>
    </w:p>
    <w:p w14:paraId="1002503E" w14:textId="0B82A30F" w:rsidR="006952E1" w:rsidRPr="00513738" w:rsidRDefault="003B64AC" w:rsidP="003B64AC">
      <w:pPr>
        <w:pStyle w:val="ListParagraph"/>
        <w:numPr>
          <w:ilvl w:val="0"/>
          <w:numId w:val="6"/>
        </w:numPr>
        <w:spacing w:after="0" w:line="240" w:lineRule="auto"/>
        <w:jc w:val="both"/>
        <w:rPr>
          <w:rFonts w:ascii="Times New Roman" w:eastAsia="Times New Roman" w:hAnsi="Times New Roman" w:cs="Times New Roman"/>
          <w:sz w:val="24"/>
          <w:szCs w:val="24"/>
        </w:rPr>
      </w:pPr>
      <w:r w:rsidRPr="00513738">
        <w:rPr>
          <w:rFonts w:ascii="Times New Roman" w:eastAsia="Times New Roman" w:hAnsi="Times New Roman" w:cs="Times New Roman"/>
          <w:sz w:val="24"/>
          <w:szCs w:val="24"/>
          <w:lang w:eastAsia="lv-LV"/>
        </w:rPr>
        <w:t>Padomes 19</w:t>
      </w:r>
      <w:r w:rsidR="007B665D" w:rsidRPr="00513738">
        <w:rPr>
          <w:rFonts w:ascii="Times New Roman" w:eastAsia="Times New Roman" w:hAnsi="Times New Roman" w:cs="Times New Roman"/>
          <w:sz w:val="24"/>
          <w:szCs w:val="24"/>
          <w:lang w:eastAsia="lv-LV"/>
        </w:rPr>
        <w:t>91</w:t>
      </w:r>
      <w:r w:rsidRPr="00513738">
        <w:rPr>
          <w:rFonts w:ascii="Times New Roman" w:eastAsia="Times New Roman" w:hAnsi="Times New Roman" w:cs="Times New Roman"/>
          <w:sz w:val="24"/>
          <w:szCs w:val="24"/>
          <w:lang w:eastAsia="lv-LV"/>
        </w:rPr>
        <w:t xml:space="preserve">. gada </w:t>
      </w:r>
      <w:r w:rsidR="007B665D" w:rsidRPr="00513738">
        <w:rPr>
          <w:rFonts w:ascii="Times New Roman" w:eastAsia="Times New Roman" w:hAnsi="Times New Roman" w:cs="Times New Roman"/>
          <w:sz w:val="24"/>
          <w:szCs w:val="24"/>
          <w:lang w:eastAsia="lv-LV"/>
        </w:rPr>
        <w:t>19</w:t>
      </w:r>
      <w:r w:rsidRPr="00513738">
        <w:rPr>
          <w:rFonts w:ascii="Times New Roman" w:eastAsia="Times New Roman" w:hAnsi="Times New Roman" w:cs="Times New Roman"/>
          <w:sz w:val="24"/>
          <w:szCs w:val="24"/>
          <w:lang w:eastAsia="lv-LV"/>
        </w:rPr>
        <w:t xml:space="preserve">. decembra </w:t>
      </w:r>
      <w:r w:rsidR="00DC30B4" w:rsidRPr="00513738">
        <w:rPr>
          <w:rFonts w:ascii="Times New Roman" w:eastAsia="Times New Roman" w:hAnsi="Times New Roman" w:cs="Times New Roman"/>
          <w:sz w:val="24"/>
          <w:szCs w:val="24"/>
          <w:lang w:eastAsia="lv-LV"/>
        </w:rPr>
        <w:t xml:space="preserve">direktīva </w:t>
      </w:r>
      <w:r w:rsidR="007B665D" w:rsidRPr="00513738">
        <w:rPr>
          <w:rFonts w:ascii="Times New Roman" w:eastAsia="Times New Roman" w:hAnsi="Times New Roman" w:cs="Times New Roman"/>
          <w:sz w:val="24"/>
          <w:szCs w:val="24"/>
          <w:lang w:eastAsia="lv-LV"/>
        </w:rPr>
        <w:t>91/674</w:t>
      </w:r>
      <w:r w:rsidR="00DC30B4" w:rsidRPr="00513738">
        <w:rPr>
          <w:rFonts w:ascii="Times New Roman" w:eastAsia="Times New Roman" w:hAnsi="Times New Roman" w:cs="Times New Roman"/>
          <w:sz w:val="24"/>
          <w:szCs w:val="24"/>
          <w:lang w:eastAsia="lv-LV"/>
        </w:rPr>
        <w:t xml:space="preserve">/EEK par </w:t>
      </w:r>
      <w:r w:rsidR="007B665D" w:rsidRPr="00513738">
        <w:rPr>
          <w:rFonts w:ascii="Times New Roman" w:eastAsia="Times New Roman" w:hAnsi="Times New Roman" w:cs="Times New Roman"/>
          <w:sz w:val="24"/>
          <w:szCs w:val="24"/>
          <w:lang w:eastAsia="lv-LV"/>
        </w:rPr>
        <w:t>apdrošin</w:t>
      </w:r>
      <w:r w:rsidR="00513738">
        <w:rPr>
          <w:rFonts w:ascii="Times New Roman" w:eastAsia="Times New Roman" w:hAnsi="Times New Roman" w:cs="Times New Roman"/>
          <w:sz w:val="24"/>
          <w:szCs w:val="24"/>
          <w:lang w:eastAsia="lv-LV"/>
        </w:rPr>
        <w:t>ā</w:t>
      </w:r>
      <w:r w:rsidR="007B665D" w:rsidRPr="000C4FCD">
        <w:rPr>
          <w:rFonts w:ascii="Times New Roman" w:eastAsia="Times New Roman" w:hAnsi="Times New Roman" w:cs="Times New Roman"/>
          <w:sz w:val="24"/>
          <w:szCs w:val="24"/>
          <w:lang w:eastAsia="lv-LV"/>
        </w:rPr>
        <w:t>šanas uzņēmumu</w:t>
      </w:r>
      <w:r w:rsidR="00DC30B4" w:rsidRPr="000C4FCD">
        <w:rPr>
          <w:rFonts w:ascii="Times New Roman" w:eastAsia="Times New Roman" w:hAnsi="Times New Roman" w:cs="Times New Roman"/>
          <w:sz w:val="24"/>
          <w:szCs w:val="24"/>
          <w:lang w:eastAsia="lv-LV"/>
        </w:rPr>
        <w:t xml:space="preserve"> gada pārskatiem un konsolidētajiem pārskatiem</w:t>
      </w:r>
      <w:r w:rsidRPr="00513738">
        <w:rPr>
          <w:rFonts w:ascii="Times New Roman" w:eastAsia="Times New Roman" w:hAnsi="Times New Roman" w:cs="Times New Roman"/>
          <w:sz w:val="24"/>
          <w:szCs w:val="24"/>
          <w:lang w:eastAsia="lv-LV"/>
        </w:rPr>
        <w:t xml:space="preserve"> </w:t>
      </w:r>
      <w:r w:rsidR="00A33C75" w:rsidRPr="00513738">
        <w:rPr>
          <w:rFonts w:ascii="Times New Roman" w:eastAsia="Times New Roman" w:hAnsi="Times New Roman" w:cs="Times New Roman"/>
          <w:sz w:val="24"/>
          <w:szCs w:val="24"/>
          <w:lang w:eastAsia="lv-LV"/>
        </w:rPr>
        <w:t>(turpmāk – Direktīva</w:t>
      </w:r>
      <w:r w:rsidR="00BF0572" w:rsidRPr="00513738">
        <w:rPr>
          <w:rFonts w:ascii="Times New Roman" w:eastAsia="Times New Roman" w:hAnsi="Times New Roman" w:cs="Times New Roman"/>
          <w:sz w:val="24"/>
          <w:szCs w:val="24"/>
          <w:lang w:eastAsia="lv-LV"/>
        </w:rPr>
        <w:t> </w:t>
      </w:r>
      <w:r w:rsidR="007B665D" w:rsidRPr="00513738">
        <w:rPr>
          <w:rFonts w:ascii="Times New Roman" w:eastAsia="Times New Roman" w:hAnsi="Times New Roman" w:cs="Times New Roman"/>
          <w:sz w:val="24"/>
          <w:szCs w:val="24"/>
          <w:lang w:eastAsia="lv-LV"/>
        </w:rPr>
        <w:t>91/674</w:t>
      </w:r>
      <w:r w:rsidR="00665096" w:rsidRPr="00513738">
        <w:rPr>
          <w:rFonts w:ascii="Times New Roman" w:eastAsia="Times New Roman" w:hAnsi="Times New Roman" w:cs="Times New Roman"/>
          <w:sz w:val="24"/>
          <w:szCs w:val="24"/>
        </w:rPr>
        <w:t>)</w:t>
      </w:r>
      <w:r w:rsidRPr="00513738">
        <w:rPr>
          <w:rFonts w:ascii="Times New Roman" w:eastAsia="Times New Roman" w:hAnsi="Times New Roman" w:cs="Times New Roman"/>
          <w:sz w:val="24"/>
          <w:szCs w:val="24"/>
        </w:rPr>
        <w:t>;</w:t>
      </w:r>
    </w:p>
    <w:p w14:paraId="0D342B61" w14:textId="578F12ED" w:rsidR="003B64AC" w:rsidRPr="00513738" w:rsidRDefault="003B64AC" w:rsidP="003B64AC">
      <w:pPr>
        <w:pStyle w:val="ListParagraph"/>
        <w:numPr>
          <w:ilvl w:val="0"/>
          <w:numId w:val="6"/>
        </w:numPr>
        <w:spacing w:after="0" w:line="240" w:lineRule="auto"/>
        <w:jc w:val="both"/>
        <w:rPr>
          <w:rFonts w:ascii="Times New Roman" w:eastAsia="Times New Roman" w:hAnsi="Times New Roman" w:cs="Times New Roman"/>
          <w:sz w:val="24"/>
          <w:szCs w:val="24"/>
        </w:rPr>
      </w:pPr>
      <w:r w:rsidRPr="00513738">
        <w:rPr>
          <w:rFonts w:ascii="Times New Roman" w:eastAsia="Times New Roman" w:hAnsi="Times New Roman" w:cs="Times New Roman"/>
          <w:sz w:val="24"/>
          <w:szCs w:val="24"/>
          <w:lang w:eastAsia="lv-LV"/>
        </w:rPr>
        <w:t>Eiropas Parlamenta un Padomes 2013. gada 26. jūnija direktīva </w:t>
      </w:r>
      <w:hyperlink r:id="rId16" w:tgtFrame="_blank" w:history="1">
        <w:r w:rsidRPr="00513738">
          <w:rPr>
            <w:rFonts w:ascii="Times New Roman" w:eastAsia="Times New Roman" w:hAnsi="Times New Roman" w:cs="Times New Roman"/>
            <w:sz w:val="24"/>
            <w:szCs w:val="24"/>
            <w:lang w:eastAsia="lv-LV"/>
          </w:rPr>
          <w:t>2013/34/ES</w:t>
        </w:r>
      </w:hyperlink>
      <w:r w:rsidRPr="00513738">
        <w:rPr>
          <w:rFonts w:ascii="Times New Roman" w:eastAsia="Times New Roman" w:hAnsi="Times New Roman" w:cs="Times New Roman"/>
          <w:sz w:val="24"/>
          <w:szCs w:val="24"/>
          <w:lang w:eastAsia="lv-LV"/>
        </w:rPr>
        <w:t xml:space="preserve"> par noteiktu veidu uzņēmumu gada finanšu pārskatiem, konsolidētajiem finanšu pārskatiem un saistītiem ziņojumiem, ar ko groza Eiropas Parlamenta un Padomes direktīvu </w:t>
      </w:r>
      <w:hyperlink r:id="rId17" w:tgtFrame="_blank" w:history="1">
        <w:r w:rsidRPr="00513738">
          <w:rPr>
            <w:rFonts w:ascii="Times New Roman" w:eastAsia="Times New Roman" w:hAnsi="Times New Roman" w:cs="Times New Roman"/>
            <w:sz w:val="24"/>
            <w:szCs w:val="24"/>
            <w:lang w:eastAsia="lv-LV"/>
          </w:rPr>
          <w:t>2006/43/EK</w:t>
        </w:r>
      </w:hyperlink>
      <w:r w:rsidRPr="00513738">
        <w:rPr>
          <w:rFonts w:ascii="Times New Roman" w:eastAsia="Times New Roman" w:hAnsi="Times New Roman" w:cs="Times New Roman"/>
          <w:sz w:val="24"/>
          <w:szCs w:val="24"/>
          <w:lang w:eastAsia="lv-LV"/>
        </w:rPr>
        <w:t xml:space="preserve"> un atceļ Padomes direktīv</w:t>
      </w:r>
      <w:r w:rsidR="00DC30B4" w:rsidRPr="00513738">
        <w:rPr>
          <w:rFonts w:ascii="Times New Roman" w:eastAsia="Times New Roman" w:hAnsi="Times New Roman" w:cs="Times New Roman"/>
          <w:sz w:val="24"/>
          <w:szCs w:val="24"/>
          <w:lang w:eastAsia="lv-LV"/>
        </w:rPr>
        <w:t>as</w:t>
      </w:r>
      <w:r w:rsidRPr="00513738">
        <w:rPr>
          <w:rFonts w:ascii="Times New Roman" w:eastAsia="Times New Roman" w:hAnsi="Times New Roman" w:cs="Times New Roman"/>
          <w:sz w:val="24"/>
          <w:szCs w:val="24"/>
          <w:lang w:eastAsia="lv-LV"/>
        </w:rPr>
        <w:t> </w:t>
      </w:r>
      <w:hyperlink r:id="rId18" w:tgtFrame="_blank" w:history="1">
        <w:r w:rsidRPr="00513738">
          <w:rPr>
            <w:rFonts w:ascii="Times New Roman" w:eastAsia="Times New Roman" w:hAnsi="Times New Roman" w:cs="Times New Roman"/>
            <w:sz w:val="24"/>
            <w:szCs w:val="24"/>
            <w:lang w:eastAsia="lv-LV"/>
          </w:rPr>
          <w:t>78/660/EEK</w:t>
        </w:r>
      </w:hyperlink>
      <w:r w:rsidRPr="00513738">
        <w:rPr>
          <w:rFonts w:ascii="Times New Roman" w:eastAsia="Times New Roman" w:hAnsi="Times New Roman" w:cs="Times New Roman"/>
          <w:sz w:val="24"/>
          <w:szCs w:val="24"/>
          <w:lang w:eastAsia="lv-LV"/>
        </w:rPr>
        <w:t xml:space="preserve"> un </w:t>
      </w:r>
      <w:hyperlink r:id="rId19" w:tgtFrame="_blank" w:history="1">
        <w:r w:rsidRPr="00513738">
          <w:rPr>
            <w:rFonts w:ascii="Times New Roman" w:eastAsia="Times New Roman" w:hAnsi="Times New Roman" w:cs="Times New Roman"/>
            <w:sz w:val="24"/>
            <w:szCs w:val="24"/>
            <w:lang w:eastAsia="lv-LV"/>
          </w:rPr>
          <w:t>83/349/EEK</w:t>
        </w:r>
      </w:hyperlink>
      <w:r w:rsidRPr="00513738">
        <w:rPr>
          <w:rFonts w:ascii="Times New Roman" w:eastAsia="Times New Roman" w:hAnsi="Times New Roman" w:cs="Times New Roman"/>
          <w:sz w:val="24"/>
          <w:szCs w:val="24"/>
          <w:lang w:eastAsia="lv-LV"/>
        </w:rPr>
        <w:t xml:space="preserve"> (turpmāk</w:t>
      </w:r>
      <w:bookmarkStart w:id="1" w:name="_Hlk162339376"/>
      <w:r w:rsidRPr="00513738">
        <w:rPr>
          <w:rFonts w:ascii="Times New Roman" w:eastAsia="Times New Roman" w:hAnsi="Times New Roman" w:cs="Times New Roman"/>
          <w:sz w:val="24"/>
          <w:szCs w:val="24"/>
          <w:lang w:eastAsia="lv-LV"/>
        </w:rPr>
        <w:t> –</w:t>
      </w:r>
      <w:bookmarkEnd w:id="1"/>
      <w:r w:rsidRPr="00513738">
        <w:rPr>
          <w:rFonts w:ascii="Times New Roman" w:eastAsia="Times New Roman" w:hAnsi="Times New Roman" w:cs="Times New Roman"/>
          <w:sz w:val="24"/>
          <w:szCs w:val="24"/>
          <w:lang w:eastAsia="lv-LV"/>
        </w:rPr>
        <w:t xml:space="preserve"> Direktīva</w:t>
      </w:r>
      <w:r w:rsidR="00BF0572" w:rsidRPr="00513738">
        <w:rPr>
          <w:rFonts w:ascii="Times New Roman" w:eastAsia="Times New Roman" w:hAnsi="Times New Roman" w:cs="Times New Roman"/>
          <w:sz w:val="24"/>
          <w:szCs w:val="24"/>
          <w:lang w:eastAsia="lv-LV"/>
        </w:rPr>
        <w:t> </w:t>
      </w:r>
      <w:r w:rsidRPr="00513738">
        <w:rPr>
          <w:rFonts w:ascii="Times New Roman" w:eastAsia="Times New Roman" w:hAnsi="Times New Roman" w:cs="Times New Roman"/>
          <w:sz w:val="24"/>
          <w:szCs w:val="24"/>
          <w:lang w:eastAsia="lv-LV"/>
        </w:rPr>
        <w:t>2013/34)</w:t>
      </w:r>
      <w:r w:rsidR="007B665D" w:rsidRPr="00513738">
        <w:rPr>
          <w:rFonts w:ascii="Times New Roman" w:eastAsia="Times New Roman" w:hAnsi="Times New Roman" w:cs="Times New Roman"/>
          <w:sz w:val="24"/>
          <w:szCs w:val="24"/>
          <w:lang w:eastAsia="lv-LV"/>
        </w:rPr>
        <w:t>.</w:t>
      </w:r>
    </w:p>
    <w:p w14:paraId="0A548DFD" w14:textId="77777777" w:rsidR="006952E1" w:rsidRPr="00513738" w:rsidRDefault="006952E1" w:rsidP="006952E1">
      <w:pPr>
        <w:spacing w:after="0" w:line="240" w:lineRule="auto"/>
        <w:rPr>
          <w:rFonts w:ascii="Times New Roman" w:hAnsi="Times New Roman" w:cs="Times New Roman"/>
          <w:bCs/>
          <w:color w:val="000000" w:themeColor="text1"/>
          <w:sz w:val="24"/>
          <w:szCs w:val="24"/>
        </w:rPr>
      </w:pPr>
    </w:p>
    <w:tbl>
      <w:tblPr>
        <w:tblStyle w:val="TableGrid"/>
        <w:tblW w:w="14029" w:type="dxa"/>
        <w:tblLook w:val="04A0" w:firstRow="1" w:lastRow="0" w:firstColumn="1" w:lastColumn="0" w:noHBand="0" w:noVBand="1"/>
      </w:tblPr>
      <w:tblGrid>
        <w:gridCol w:w="2263"/>
        <w:gridCol w:w="2127"/>
        <w:gridCol w:w="2126"/>
        <w:gridCol w:w="2551"/>
        <w:gridCol w:w="2410"/>
        <w:gridCol w:w="2552"/>
      </w:tblGrid>
      <w:tr w:rsidR="006952E1" w:rsidRPr="00513738" w14:paraId="5202C1D1" w14:textId="77777777" w:rsidTr="00F0507F">
        <w:tc>
          <w:tcPr>
            <w:tcW w:w="2263" w:type="dxa"/>
          </w:tcPr>
          <w:p w14:paraId="2FD502B0" w14:textId="77777777" w:rsidR="006952E1" w:rsidRPr="00513738" w:rsidRDefault="006952E1" w:rsidP="006952E1">
            <w:pPr>
              <w:rPr>
                <w:rFonts w:ascii="Times New Roman" w:hAnsi="Times New Roman" w:cs="Times New Roman"/>
                <w:color w:val="000000" w:themeColor="text1"/>
                <w:sz w:val="24"/>
                <w:szCs w:val="24"/>
              </w:rPr>
            </w:pPr>
            <w:r w:rsidRPr="00513738">
              <w:rPr>
                <w:rFonts w:ascii="Times New Roman" w:hAnsi="Times New Roman" w:cs="Times New Roman"/>
                <w:b/>
                <w:bCs/>
                <w:color w:val="000000" w:themeColor="text1"/>
                <w:sz w:val="24"/>
                <w:szCs w:val="24"/>
              </w:rPr>
              <w:t xml:space="preserve">Eiropas Savienības tiesību akta pants, punkts vai apakšpunkts, kurā paredzētās prasības Latvijā jāizpilda </w:t>
            </w:r>
            <w:r w:rsidRPr="00513738">
              <w:rPr>
                <w:rFonts w:ascii="Times New Roman" w:hAnsi="Times New Roman" w:cs="Times New Roman"/>
                <w:i/>
                <w:iCs/>
                <w:color w:val="000000" w:themeColor="text1"/>
                <w:sz w:val="24"/>
                <w:szCs w:val="24"/>
              </w:rPr>
              <w:t>(Norāda pēc iespējas konkrētāku teksta vienību)</w:t>
            </w:r>
          </w:p>
        </w:tc>
        <w:tc>
          <w:tcPr>
            <w:tcW w:w="2127" w:type="dxa"/>
          </w:tcPr>
          <w:p w14:paraId="19D4D79B" w14:textId="77777777" w:rsidR="006952E1" w:rsidRPr="00513738" w:rsidRDefault="006952E1" w:rsidP="006952E1">
            <w:pPr>
              <w:rPr>
                <w:rFonts w:ascii="Times New Roman" w:hAnsi="Times New Roman" w:cs="Times New Roman"/>
                <w:b/>
                <w:bCs/>
                <w:color w:val="000000" w:themeColor="text1"/>
                <w:sz w:val="24"/>
                <w:szCs w:val="24"/>
              </w:rPr>
            </w:pPr>
            <w:r w:rsidRPr="00513738">
              <w:rPr>
                <w:rFonts w:ascii="Times New Roman" w:hAnsi="Times New Roman" w:cs="Times New Roman"/>
                <w:b/>
                <w:bCs/>
                <w:color w:val="000000" w:themeColor="text1"/>
                <w:sz w:val="24"/>
                <w:szCs w:val="24"/>
              </w:rPr>
              <w:t xml:space="preserve">Projekta punkts vai apakšpunkts, kas izpilda A ailē minēto prasību </w:t>
            </w:r>
          </w:p>
          <w:p w14:paraId="15601B98" w14:textId="77777777" w:rsidR="006952E1" w:rsidRPr="00513738" w:rsidRDefault="006952E1" w:rsidP="006952E1">
            <w:pPr>
              <w:rPr>
                <w:rFonts w:ascii="Times New Roman" w:hAnsi="Times New Roman" w:cs="Times New Roman"/>
                <w:b/>
                <w:bCs/>
                <w:color w:val="000000" w:themeColor="text1"/>
                <w:sz w:val="24"/>
                <w:szCs w:val="24"/>
              </w:rPr>
            </w:pPr>
            <w:r w:rsidRPr="00513738">
              <w:rPr>
                <w:rFonts w:ascii="Times New Roman" w:hAnsi="Times New Roman" w:cs="Times New Roman"/>
                <w:i/>
                <w:iCs/>
                <w:color w:val="000000" w:themeColor="text1"/>
                <w:sz w:val="24"/>
                <w:szCs w:val="24"/>
              </w:rPr>
              <w:t>(Norāda pēc iespējas konkrētāku teksta vienību)</w:t>
            </w:r>
          </w:p>
        </w:tc>
        <w:tc>
          <w:tcPr>
            <w:tcW w:w="2126" w:type="dxa"/>
          </w:tcPr>
          <w:p w14:paraId="230F583C" w14:textId="77777777" w:rsidR="006952E1" w:rsidRPr="00513738" w:rsidRDefault="006952E1" w:rsidP="006952E1">
            <w:pPr>
              <w:rPr>
                <w:rFonts w:ascii="Times New Roman" w:hAnsi="Times New Roman" w:cs="Times New Roman"/>
                <w:b/>
                <w:bCs/>
                <w:color w:val="000000" w:themeColor="text1"/>
                <w:sz w:val="24"/>
                <w:szCs w:val="24"/>
              </w:rPr>
            </w:pPr>
            <w:r w:rsidRPr="00513738">
              <w:rPr>
                <w:rFonts w:ascii="Times New Roman" w:hAnsi="Times New Roman" w:cs="Times New Roman"/>
                <w:b/>
                <w:bCs/>
                <w:color w:val="000000" w:themeColor="text1"/>
                <w:sz w:val="24"/>
                <w:szCs w:val="24"/>
              </w:rPr>
              <w:t xml:space="preserve">Vai A ailē minētā prasība ar B ailē minēto projekta punktu vai apakšpunktu tiek izpildīta pilnībā vai daļēji? </w:t>
            </w:r>
          </w:p>
          <w:p w14:paraId="1EB8AA40" w14:textId="77777777" w:rsidR="006952E1" w:rsidRPr="00513738" w:rsidRDefault="006952E1" w:rsidP="006952E1">
            <w:pPr>
              <w:rPr>
                <w:rFonts w:ascii="Times New Roman" w:hAnsi="Times New Roman" w:cs="Times New Roman"/>
                <w:b/>
                <w:bCs/>
                <w:color w:val="000000" w:themeColor="text1"/>
                <w:sz w:val="24"/>
                <w:szCs w:val="24"/>
              </w:rPr>
            </w:pPr>
            <w:r w:rsidRPr="00513738">
              <w:rPr>
                <w:rFonts w:ascii="Times New Roman" w:hAnsi="Times New Roman" w:cs="Times New Roman"/>
                <w:i/>
                <w:iCs/>
                <w:color w:val="000000" w:themeColor="text1"/>
                <w:sz w:val="24"/>
                <w:szCs w:val="24"/>
              </w:rPr>
              <w:t>(Ja daļēji, norāda, kur un kā ir vai tiks nodrošināta prasības pilnīga izpilde)</w:t>
            </w:r>
          </w:p>
        </w:tc>
        <w:tc>
          <w:tcPr>
            <w:tcW w:w="2551" w:type="dxa"/>
          </w:tcPr>
          <w:p w14:paraId="2D68126C" w14:textId="00644C2C" w:rsidR="006952E1" w:rsidRPr="00513738" w:rsidRDefault="006952E1" w:rsidP="006952E1">
            <w:pPr>
              <w:rPr>
                <w:rFonts w:ascii="Times New Roman" w:hAnsi="Times New Roman" w:cs="Times New Roman"/>
                <w:b/>
                <w:bCs/>
                <w:color w:val="000000" w:themeColor="text1"/>
                <w:sz w:val="24"/>
                <w:szCs w:val="24"/>
              </w:rPr>
            </w:pPr>
            <w:r w:rsidRPr="00513738">
              <w:rPr>
                <w:rFonts w:ascii="Times New Roman" w:hAnsi="Times New Roman" w:cs="Times New Roman"/>
                <w:b/>
                <w:bCs/>
                <w:color w:val="000000" w:themeColor="text1"/>
                <w:sz w:val="24"/>
                <w:szCs w:val="24"/>
              </w:rPr>
              <w:t>Vai B ailē norādītais projekta punkts vai apakšpunkts paredz stingrākas prasības, nekā A ailē minētā prasība</w:t>
            </w:r>
            <w:r w:rsidR="00E40F63">
              <w:rPr>
                <w:rFonts w:ascii="Times New Roman" w:hAnsi="Times New Roman" w:cs="Times New Roman"/>
                <w:b/>
                <w:bCs/>
                <w:color w:val="000000" w:themeColor="text1"/>
                <w:sz w:val="24"/>
                <w:szCs w:val="24"/>
              </w:rPr>
              <w:t>?</w:t>
            </w:r>
            <w:r w:rsidRPr="00513738">
              <w:rPr>
                <w:rFonts w:ascii="Times New Roman" w:hAnsi="Times New Roman" w:cs="Times New Roman"/>
                <w:b/>
                <w:bCs/>
                <w:color w:val="000000" w:themeColor="text1"/>
                <w:sz w:val="24"/>
                <w:szCs w:val="24"/>
              </w:rPr>
              <w:t xml:space="preserve"> </w:t>
            </w:r>
          </w:p>
          <w:p w14:paraId="0C97836B" w14:textId="77777777" w:rsidR="006952E1" w:rsidRPr="00513738" w:rsidRDefault="006952E1" w:rsidP="006952E1">
            <w:pPr>
              <w:rPr>
                <w:rFonts w:ascii="Times New Roman" w:hAnsi="Times New Roman" w:cs="Times New Roman"/>
                <w:b/>
                <w:bCs/>
                <w:color w:val="000000" w:themeColor="text1"/>
                <w:sz w:val="24"/>
                <w:szCs w:val="24"/>
              </w:rPr>
            </w:pPr>
            <w:r w:rsidRPr="00513738">
              <w:rPr>
                <w:rFonts w:ascii="Times New Roman" w:hAnsi="Times New Roman" w:cs="Times New Roman"/>
                <w:i/>
                <w:iCs/>
                <w:color w:val="000000" w:themeColor="text1"/>
                <w:sz w:val="24"/>
                <w:szCs w:val="24"/>
              </w:rPr>
              <w:t>(Ja paredz stingrākas prasības, norāda pamatojumu šādu stingrāku prasību nepieciešamībai)</w:t>
            </w:r>
          </w:p>
        </w:tc>
        <w:tc>
          <w:tcPr>
            <w:tcW w:w="2410" w:type="dxa"/>
          </w:tcPr>
          <w:p w14:paraId="2B994C9B" w14:textId="77777777" w:rsidR="006952E1" w:rsidRPr="00513738" w:rsidRDefault="006952E1" w:rsidP="006952E1">
            <w:pPr>
              <w:rPr>
                <w:rFonts w:ascii="Times New Roman" w:hAnsi="Times New Roman" w:cs="Times New Roman"/>
                <w:b/>
                <w:bCs/>
                <w:color w:val="000000" w:themeColor="text1"/>
                <w:sz w:val="24"/>
                <w:szCs w:val="24"/>
              </w:rPr>
            </w:pPr>
            <w:r w:rsidRPr="00513738">
              <w:rPr>
                <w:rFonts w:ascii="Times New Roman" w:hAnsi="Times New Roman" w:cs="Times New Roman"/>
                <w:b/>
                <w:bCs/>
                <w:color w:val="000000" w:themeColor="text1"/>
                <w:sz w:val="24"/>
                <w:szCs w:val="24"/>
              </w:rPr>
              <w:t xml:space="preserve">Vai A ailē minētā prasība ir jāizpilda obligāti? </w:t>
            </w:r>
          </w:p>
          <w:p w14:paraId="331C9AA5" w14:textId="77777777" w:rsidR="006952E1" w:rsidRPr="00513738" w:rsidRDefault="006952E1" w:rsidP="006952E1">
            <w:pPr>
              <w:rPr>
                <w:rFonts w:ascii="Times New Roman" w:hAnsi="Times New Roman" w:cs="Times New Roman"/>
                <w:i/>
                <w:iCs/>
                <w:color w:val="000000" w:themeColor="text1"/>
                <w:sz w:val="24"/>
                <w:szCs w:val="24"/>
              </w:rPr>
            </w:pPr>
            <w:r w:rsidRPr="00513738">
              <w:rPr>
                <w:rFonts w:ascii="Times New Roman" w:hAnsi="Times New Roman" w:cs="Times New Roman"/>
                <w:i/>
                <w:iCs/>
                <w:color w:val="000000" w:themeColor="text1"/>
                <w:sz w:val="24"/>
                <w:szCs w:val="24"/>
              </w:rPr>
              <w:t>(Ja Eiropas Savienības tiesību akts paredz izvēles iespēju, norāda, vai un kādēļ šī rīcības brīvība Latvijā ir vai nav jāizmanto)</w:t>
            </w:r>
          </w:p>
          <w:p w14:paraId="6B657897" w14:textId="77777777" w:rsidR="006952E1" w:rsidRPr="00513738" w:rsidRDefault="006952E1" w:rsidP="006952E1">
            <w:pPr>
              <w:rPr>
                <w:rFonts w:ascii="Times New Roman" w:hAnsi="Times New Roman" w:cs="Times New Roman"/>
                <w:b/>
                <w:bCs/>
                <w:color w:val="000000" w:themeColor="text1"/>
                <w:sz w:val="24"/>
                <w:szCs w:val="24"/>
              </w:rPr>
            </w:pPr>
          </w:p>
          <w:p w14:paraId="2ED03217" w14:textId="77777777" w:rsidR="006952E1" w:rsidRPr="00513738" w:rsidRDefault="006952E1" w:rsidP="006952E1">
            <w:pPr>
              <w:rPr>
                <w:rFonts w:ascii="Times New Roman" w:hAnsi="Times New Roman" w:cs="Times New Roman"/>
                <w:b/>
                <w:bCs/>
                <w:color w:val="000000" w:themeColor="text1"/>
                <w:sz w:val="24"/>
                <w:szCs w:val="24"/>
              </w:rPr>
            </w:pPr>
          </w:p>
        </w:tc>
        <w:tc>
          <w:tcPr>
            <w:tcW w:w="2552" w:type="dxa"/>
          </w:tcPr>
          <w:p w14:paraId="041E724D" w14:textId="77777777" w:rsidR="006952E1" w:rsidRPr="00513738" w:rsidRDefault="006952E1" w:rsidP="006952E1">
            <w:pPr>
              <w:rPr>
                <w:rStyle w:val="cf01"/>
                <w:rFonts w:ascii="Times New Roman" w:hAnsi="Times New Roman" w:cs="Times New Roman"/>
                <w:b/>
                <w:bCs/>
                <w:sz w:val="24"/>
                <w:szCs w:val="24"/>
              </w:rPr>
            </w:pPr>
            <w:r w:rsidRPr="00513738">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1F13B490" w14:textId="77777777" w:rsidR="006952E1" w:rsidRPr="00513738" w:rsidRDefault="006952E1" w:rsidP="006952E1">
            <w:pPr>
              <w:rPr>
                <w:rFonts w:ascii="Times New Roman" w:hAnsi="Times New Roman" w:cs="Times New Roman"/>
                <w:b/>
                <w:bCs/>
                <w:color w:val="000000" w:themeColor="text1"/>
                <w:sz w:val="24"/>
                <w:szCs w:val="24"/>
              </w:rPr>
            </w:pPr>
            <w:r w:rsidRPr="00513738">
              <w:rPr>
                <w:rStyle w:val="cf01"/>
                <w:rFonts w:ascii="Times New Roman" w:hAnsi="Times New Roman" w:cs="Times New Roman"/>
                <w:i/>
                <w:iCs/>
                <w:sz w:val="24"/>
                <w:szCs w:val="24"/>
              </w:rPr>
              <w:t>(Ja paredz, norāda, kas un kādā termiņā šo paziņošanas pienākumu izpildīs)</w:t>
            </w:r>
          </w:p>
        </w:tc>
      </w:tr>
      <w:tr w:rsidR="006952E1" w:rsidRPr="00513738" w14:paraId="60C4D2D9" w14:textId="77777777" w:rsidTr="00F0507F">
        <w:tc>
          <w:tcPr>
            <w:tcW w:w="2263" w:type="dxa"/>
          </w:tcPr>
          <w:p w14:paraId="4ED25008" w14:textId="77777777" w:rsidR="006952E1" w:rsidRPr="00513738" w:rsidRDefault="006952E1" w:rsidP="00CA5C85">
            <w:pPr>
              <w:jc w:val="center"/>
              <w:rPr>
                <w:rFonts w:ascii="Times New Roman" w:hAnsi="Times New Roman" w:cs="Times New Roman"/>
                <w:color w:val="000000" w:themeColor="text1"/>
                <w:sz w:val="24"/>
                <w:szCs w:val="24"/>
              </w:rPr>
            </w:pPr>
            <w:r w:rsidRPr="00513738">
              <w:rPr>
                <w:rFonts w:ascii="Times New Roman" w:hAnsi="Times New Roman" w:cs="Times New Roman"/>
                <w:color w:val="000000" w:themeColor="text1"/>
                <w:sz w:val="24"/>
                <w:szCs w:val="24"/>
              </w:rPr>
              <w:t>A</w:t>
            </w:r>
          </w:p>
        </w:tc>
        <w:tc>
          <w:tcPr>
            <w:tcW w:w="2127" w:type="dxa"/>
          </w:tcPr>
          <w:p w14:paraId="75552C54" w14:textId="77777777" w:rsidR="006952E1" w:rsidRPr="00513738" w:rsidRDefault="006952E1" w:rsidP="00CA5C85">
            <w:pPr>
              <w:jc w:val="center"/>
              <w:rPr>
                <w:rFonts w:ascii="Times New Roman" w:hAnsi="Times New Roman" w:cs="Times New Roman"/>
                <w:color w:val="000000" w:themeColor="text1"/>
                <w:sz w:val="24"/>
                <w:szCs w:val="24"/>
              </w:rPr>
            </w:pPr>
            <w:r w:rsidRPr="00513738">
              <w:rPr>
                <w:rFonts w:ascii="Times New Roman" w:hAnsi="Times New Roman" w:cs="Times New Roman"/>
                <w:color w:val="000000" w:themeColor="text1"/>
                <w:sz w:val="24"/>
                <w:szCs w:val="24"/>
              </w:rPr>
              <w:t>B</w:t>
            </w:r>
          </w:p>
        </w:tc>
        <w:tc>
          <w:tcPr>
            <w:tcW w:w="2126" w:type="dxa"/>
          </w:tcPr>
          <w:p w14:paraId="5F928228" w14:textId="77777777" w:rsidR="006952E1" w:rsidRPr="00513738" w:rsidRDefault="006952E1" w:rsidP="00CA5C85">
            <w:pPr>
              <w:jc w:val="center"/>
              <w:rPr>
                <w:rFonts w:ascii="Times New Roman" w:hAnsi="Times New Roman" w:cs="Times New Roman"/>
                <w:color w:val="000000" w:themeColor="text1"/>
                <w:sz w:val="24"/>
                <w:szCs w:val="24"/>
              </w:rPr>
            </w:pPr>
            <w:r w:rsidRPr="00513738">
              <w:rPr>
                <w:rFonts w:ascii="Times New Roman" w:hAnsi="Times New Roman" w:cs="Times New Roman"/>
                <w:color w:val="000000" w:themeColor="text1"/>
                <w:sz w:val="24"/>
                <w:szCs w:val="24"/>
              </w:rPr>
              <w:t>C</w:t>
            </w:r>
          </w:p>
        </w:tc>
        <w:tc>
          <w:tcPr>
            <w:tcW w:w="2551" w:type="dxa"/>
          </w:tcPr>
          <w:p w14:paraId="12982B40" w14:textId="77777777" w:rsidR="006952E1" w:rsidRPr="00513738" w:rsidRDefault="006952E1" w:rsidP="00CA5C85">
            <w:pPr>
              <w:jc w:val="center"/>
              <w:rPr>
                <w:rFonts w:ascii="Times New Roman" w:hAnsi="Times New Roman" w:cs="Times New Roman"/>
                <w:color w:val="000000" w:themeColor="text1"/>
                <w:sz w:val="24"/>
                <w:szCs w:val="24"/>
              </w:rPr>
            </w:pPr>
            <w:r w:rsidRPr="00513738">
              <w:rPr>
                <w:rFonts w:ascii="Times New Roman" w:hAnsi="Times New Roman" w:cs="Times New Roman"/>
                <w:color w:val="000000" w:themeColor="text1"/>
                <w:sz w:val="24"/>
                <w:szCs w:val="24"/>
              </w:rPr>
              <w:t>D</w:t>
            </w:r>
          </w:p>
        </w:tc>
        <w:tc>
          <w:tcPr>
            <w:tcW w:w="2410" w:type="dxa"/>
            <w:tcBorders>
              <w:bottom w:val="single" w:sz="4" w:space="0" w:color="auto"/>
            </w:tcBorders>
          </w:tcPr>
          <w:p w14:paraId="72BFED3F" w14:textId="77777777" w:rsidR="006952E1" w:rsidRPr="00513738" w:rsidRDefault="006952E1" w:rsidP="00CA5C85">
            <w:pPr>
              <w:jc w:val="center"/>
              <w:rPr>
                <w:rFonts w:ascii="Times New Roman" w:hAnsi="Times New Roman" w:cs="Times New Roman"/>
                <w:color w:val="000000" w:themeColor="text1"/>
                <w:sz w:val="24"/>
                <w:szCs w:val="24"/>
              </w:rPr>
            </w:pPr>
            <w:r w:rsidRPr="00513738">
              <w:rPr>
                <w:rFonts w:ascii="Times New Roman" w:hAnsi="Times New Roman" w:cs="Times New Roman"/>
                <w:color w:val="000000" w:themeColor="text1"/>
                <w:sz w:val="24"/>
                <w:szCs w:val="24"/>
              </w:rPr>
              <w:t>E</w:t>
            </w:r>
          </w:p>
        </w:tc>
        <w:tc>
          <w:tcPr>
            <w:tcW w:w="2552" w:type="dxa"/>
            <w:tcBorders>
              <w:bottom w:val="single" w:sz="4" w:space="0" w:color="auto"/>
            </w:tcBorders>
          </w:tcPr>
          <w:p w14:paraId="47FD702A" w14:textId="77777777" w:rsidR="006952E1" w:rsidRPr="00513738" w:rsidRDefault="006952E1" w:rsidP="00CA5C85">
            <w:pPr>
              <w:jc w:val="center"/>
              <w:rPr>
                <w:rFonts w:ascii="Times New Roman" w:hAnsi="Times New Roman" w:cs="Times New Roman"/>
                <w:color w:val="000000" w:themeColor="text1"/>
                <w:sz w:val="24"/>
                <w:szCs w:val="24"/>
              </w:rPr>
            </w:pPr>
            <w:r w:rsidRPr="00513738">
              <w:rPr>
                <w:rFonts w:ascii="Times New Roman" w:hAnsi="Times New Roman" w:cs="Times New Roman"/>
                <w:color w:val="000000" w:themeColor="text1"/>
                <w:sz w:val="24"/>
                <w:szCs w:val="24"/>
              </w:rPr>
              <w:t>F</w:t>
            </w:r>
          </w:p>
        </w:tc>
      </w:tr>
      <w:tr w:rsidR="000D4B57" w:rsidRPr="000D4B57" w14:paraId="111A3F51" w14:textId="77777777" w:rsidTr="00F0507F">
        <w:trPr>
          <w:trHeight w:val="562"/>
        </w:trPr>
        <w:tc>
          <w:tcPr>
            <w:tcW w:w="2263" w:type="dxa"/>
            <w:tcBorders>
              <w:top w:val="single" w:sz="4" w:space="0" w:color="auto"/>
              <w:left w:val="single" w:sz="4" w:space="0" w:color="auto"/>
              <w:bottom w:val="single" w:sz="4" w:space="0" w:color="auto"/>
              <w:right w:val="single" w:sz="4" w:space="0" w:color="auto"/>
            </w:tcBorders>
          </w:tcPr>
          <w:p w14:paraId="1A6DD810" w14:textId="2DB626DB" w:rsidR="000F752E" w:rsidRPr="001676C9" w:rsidRDefault="00F31EE6" w:rsidP="00CA5C85">
            <w:pPr>
              <w:rPr>
                <w:rStyle w:val="cf01"/>
                <w:rFonts w:ascii="Times New Roman" w:hAnsi="Times New Roman" w:cs="Times New Roman"/>
                <w:color w:val="000000" w:themeColor="text1"/>
                <w:sz w:val="24"/>
                <w:szCs w:val="24"/>
              </w:rPr>
            </w:pPr>
            <w:r w:rsidRPr="001676C9">
              <w:rPr>
                <w:rFonts w:ascii="Times New Roman" w:eastAsia="Times New Roman" w:hAnsi="Times New Roman" w:cs="Times New Roman"/>
                <w:color w:val="000000" w:themeColor="text1"/>
                <w:sz w:val="24"/>
                <w:szCs w:val="24"/>
                <w:lang w:eastAsia="lv-LV"/>
              </w:rPr>
              <w:lastRenderedPageBreak/>
              <w:t>Direktīvas</w:t>
            </w:r>
            <w:r w:rsidR="00773392" w:rsidRPr="001676C9">
              <w:rPr>
                <w:rFonts w:ascii="Times New Roman" w:eastAsia="Times New Roman" w:hAnsi="Times New Roman" w:cs="Times New Roman"/>
                <w:color w:val="000000" w:themeColor="text1"/>
                <w:sz w:val="24"/>
                <w:szCs w:val="24"/>
                <w:lang w:eastAsia="lv-LV"/>
              </w:rPr>
              <w:t> </w:t>
            </w:r>
            <w:r w:rsidR="003C1FF9" w:rsidRPr="001676C9">
              <w:rPr>
                <w:rFonts w:ascii="Times New Roman" w:eastAsia="Times New Roman" w:hAnsi="Times New Roman" w:cs="Times New Roman"/>
                <w:color w:val="000000" w:themeColor="text1"/>
                <w:sz w:val="24"/>
                <w:szCs w:val="24"/>
                <w:lang w:eastAsia="lv-LV"/>
              </w:rPr>
              <w:t>91</w:t>
            </w:r>
            <w:r w:rsidR="004B1DE5" w:rsidRPr="001676C9">
              <w:rPr>
                <w:rFonts w:ascii="Times New Roman" w:eastAsia="Times New Roman" w:hAnsi="Times New Roman" w:cs="Times New Roman"/>
                <w:color w:val="000000" w:themeColor="text1"/>
                <w:sz w:val="24"/>
                <w:szCs w:val="24"/>
                <w:lang w:eastAsia="lv-LV"/>
              </w:rPr>
              <w:t>/</w:t>
            </w:r>
            <w:r w:rsidR="003C1FF9" w:rsidRPr="001676C9">
              <w:rPr>
                <w:rFonts w:ascii="Times New Roman" w:eastAsia="Times New Roman" w:hAnsi="Times New Roman" w:cs="Times New Roman"/>
                <w:color w:val="000000" w:themeColor="text1"/>
                <w:sz w:val="24"/>
                <w:szCs w:val="24"/>
                <w:lang w:eastAsia="lv-LV"/>
              </w:rPr>
              <w:t>674</w:t>
            </w:r>
            <w:r w:rsidR="004B1DE5" w:rsidRPr="001676C9">
              <w:rPr>
                <w:rFonts w:ascii="Times New Roman" w:eastAsia="Times New Roman" w:hAnsi="Times New Roman" w:cs="Times New Roman"/>
                <w:color w:val="000000" w:themeColor="text1"/>
                <w:sz w:val="24"/>
                <w:szCs w:val="24"/>
                <w:lang w:eastAsia="lv-LV"/>
              </w:rPr>
              <w:t xml:space="preserve"> </w:t>
            </w:r>
            <w:r w:rsidR="003C1FF9" w:rsidRPr="001676C9">
              <w:rPr>
                <w:rFonts w:ascii="Times New Roman" w:eastAsia="Times New Roman" w:hAnsi="Times New Roman" w:cs="Times New Roman"/>
                <w:color w:val="000000" w:themeColor="text1"/>
                <w:sz w:val="24"/>
                <w:szCs w:val="24"/>
                <w:lang w:eastAsia="lv-LV"/>
              </w:rPr>
              <w:t>63</w:t>
            </w:r>
            <w:r w:rsidR="004B1DE5" w:rsidRPr="001676C9">
              <w:rPr>
                <w:rFonts w:ascii="Times New Roman" w:eastAsia="Times New Roman" w:hAnsi="Times New Roman" w:cs="Times New Roman"/>
                <w:color w:val="000000" w:themeColor="text1"/>
                <w:sz w:val="24"/>
                <w:szCs w:val="24"/>
                <w:lang w:eastAsia="lv-LV"/>
              </w:rPr>
              <w:t xml:space="preserve">. panta </w:t>
            </w:r>
            <w:r w:rsidR="003C1FF9" w:rsidRPr="001676C9">
              <w:rPr>
                <w:rFonts w:ascii="Times New Roman" w:eastAsia="Times New Roman" w:hAnsi="Times New Roman" w:cs="Times New Roman"/>
                <w:color w:val="000000" w:themeColor="text1"/>
                <w:sz w:val="24"/>
                <w:szCs w:val="24"/>
                <w:lang w:eastAsia="lv-LV"/>
              </w:rPr>
              <w:t>IV</w:t>
            </w:r>
            <w:r w:rsidR="004B1DE5" w:rsidRPr="001676C9">
              <w:rPr>
                <w:rFonts w:ascii="Times New Roman" w:eastAsia="Times New Roman" w:hAnsi="Times New Roman" w:cs="Times New Roman"/>
                <w:color w:val="000000" w:themeColor="text1"/>
                <w:sz w:val="24"/>
                <w:szCs w:val="24"/>
                <w:lang w:eastAsia="lv-LV"/>
              </w:rPr>
              <w:t> punkts</w:t>
            </w:r>
          </w:p>
        </w:tc>
        <w:tc>
          <w:tcPr>
            <w:tcW w:w="2127" w:type="dxa"/>
            <w:tcBorders>
              <w:top w:val="single" w:sz="4" w:space="0" w:color="auto"/>
              <w:left w:val="single" w:sz="4" w:space="0" w:color="auto"/>
              <w:bottom w:val="single" w:sz="4" w:space="0" w:color="auto"/>
              <w:right w:val="single" w:sz="4" w:space="0" w:color="auto"/>
            </w:tcBorders>
          </w:tcPr>
          <w:p w14:paraId="03068D65" w14:textId="765B7B70" w:rsidR="000F752E" w:rsidRPr="001676C9" w:rsidRDefault="004B1DE5"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 xml:space="preserve">Projekta </w:t>
            </w:r>
            <w:r w:rsidR="00D250B9" w:rsidRPr="001676C9">
              <w:rPr>
                <w:rStyle w:val="cf01"/>
                <w:rFonts w:ascii="Times New Roman" w:hAnsi="Times New Roman" w:cs="Times New Roman"/>
                <w:color w:val="000000" w:themeColor="text1"/>
                <w:sz w:val="24"/>
                <w:szCs w:val="24"/>
              </w:rPr>
              <w:t>3</w:t>
            </w:r>
            <w:r w:rsidR="00482CE0" w:rsidRPr="001676C9">
              <w:rPr>
                <w:rStyle w:val="cf01"/>
                <w:rFonts w:ascii="Times New Roman" w:hAnsi="Times New Roman" w:cs="Times New Roman"/>
                <w:color w:val="000000" w:themeColor="text1"/>
                <w:sz w:val="24"/>
                <w:szCs w:val="24"/>
              </w:rPr>
              <w:t>2</w:t>
            </w:r>
            <w:r w:rsidRPr="001676C9">
              <w:rPr>
                <w:rStyle w:val="cf01"/>
                <w:rFonts w:ascii="Times New Roman" w:hAnsi="Times New Roman" w:cs="Times New Roman"/>
                <w:color w:val="000000" w:themeColor="text1"/>
                <w:sz w:val="24"/>
                <w:szCs w:val="24"/>
              </w:rPr>
              <w:t>. punkts</w:t>
            </w:r>
          </w:p>
        </w:tc>
        <w:tc>
          <w:tcPr>
            <w:tcW w:w="2126" w:type="dxa"/>
            <w:tcBorders>
              <w:top w:val="single" w:sz="4" w:space="0" w:color="auto"/>
              <w:left w:val="single" w:sz="4" w:space="0" w:color="auto"/>
              <w:bottom w:val="single" w:sz="4" w:space="0" w:color="auto"/>
              <w:right w:val="single" w:sz="4" w:space="0" w:color="auto"/>
            </w:tcBorders>
          </w:tcPr>
          <w:p w14:paraId="2D6B1C48" w14:textId="20F4F2BC" w:rsidR="000F752E" w:rsidRPr="001676C9" w:rsidRDefault="009004C9"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0128BFAB" w14:textId="4BA20453" w:rsidR="000F752E" w:rsidRPr="001676C9" w:rsidRDefault="009004C9"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134DAE82" w14:textId="2E2DF8C9" w:rsidR="000F752E" w:rsidRPr="001676C9" w:rsidRDefault="009004C9"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tcBorders>
              <w:top w:val="single" w:sz="4" w:space="0" w:color="auto"/>
              <w:left w:val="single" w:sz="4" w:space="0" w:color="auto"/>
              <w:bottom w:val="single" w:sz="4" w:space="0" w:color="auto"/>
              <w:right w:val="single" w:sz="4" w:space="0" w:color="auto"/>
            </w:tcBorders>
          </w:tcPr>
          <w:p w14:paraId="494D9355" w14:textId="69E41CC7" w:rsidR="000E0289" w:rsidRPr="001676C9" w:rsidRDefault="000E0289" w:rsidP="000E0289">
            <w:pPr>
              <w:rPr>
                <w:rStyle w:val="cf01"/>
                <w:rFonts w:ascii="Times New Roman" w:hAnsi="Times New Roman" w:cs="Times New Roman"/>
                <w:color w:val="000000" w:themeColor="text1"/>
                <w:sz w:val="24"/>
                <w:szCs w:val="24"/>
                <w:highlight w:val="yellow"/>
              </w:rPr>
            </w:pPr>
            <w:r w:rsidRPr="001676C9">
              <w:rPr>
                <w:rStyle w:val="cf01"/>
                <w:rFonts w:ascii="Times New Roman" w:hAnsi="Times New Roman" w:cs="Times New Roman"/>
                <w:color w:val="000000" w:themeColor="text1"/>
                <w:sz w:val="24"/>
                <w:szCs w:val="24"/>
              </w:rPr>
              <w:t>Direktīvas</w:t>
            </w:r>
            <w:r w:rsidR="00773392" w:rsidRPr="001676C9">
              <w:rPr>
                <w:rStyle w:val="cf01"/>
                <w:rFonts w:ascii="Times New Roman" w:hAnsi="Times New Roman" w:cs="Times New Roman"/>
                <w:color w:val="000000" w:themeColor="text1"/>
                <w:sz w:val="24"/>
                <w:szCs w:val="24"/>
              </w:rPr>
              <w:t> </w:t>
            </w:r>
            <w:r w:rsidR="003C1FF9" w:rsidRPr="001676C9">
              <w:rPr>
                <w:rStyle w:val="cf01"/>
                <w:rFonts w:ascii="Times New Roman" w:hAnsi="Times New Roman" w:cs="Times New Roman"/>
                <w:color w:val="000000" w:themeColor="text1"/>
                <w:sz w:val="24"/>
                <w:szCs w:val="24"/>
              </w:rPr>
              <w:t>91</w:t>
            </w:r>
            <w:r w:rsidR="007A62CE" w:rsidRPr="001676C9">
              <w:rPr>
                <w:rStyle w:val="cf11"/>
                <w:rFonts w:ascii="Times New Roman" w:hAnsi="Times New Roman" w:cs="Times New Roman"/>
                <w:color w:val="000000" w:themeColor="text1"/>
                <w:sz w:val="24"/>
                <w:szCs w:val="24"/>
              </w:rPr>
              <w:t>/</w:t>
            </w:r>
            <w:r w:rsidR="003C1FF9" w:rsidRPr="001676C9">
              <w:rPr>
                <w:rStyle w:val="cf11"/>
                <w:rFonts w:ascii="Times New Roman" w:hAnsi="Times New Roman" w:cs="Times New Roman"/>
                <w:color w:val="000000" w:themeColor="text1"/>
                <w:sz w:val="24"/>
                <w:szCs w:val="24"/>
              </w:rPr>
              <w:t>674</w:t>
            </w:r>
            <w:r w:rsidRPr="001676C9">
              <w:rPr>
                <w:rStyle w:val="cf11"/>
                <w:rFonts w:ascii="Times New Roman" w:hAnsi="Times New Roman" w:cs="Times New Roman"/>
                <w:color w:val="000000" w:themeColor="text1"/>
                <w:sz w:val="24"/>
                <w:szCs w:val="24"/>
              </w:rPr>
              <w:t xml:space="preserve"> </w:t>
            </w:r>
            <w:r w:rsidR="003C1FF9" w:rsidRPr="001676C9">
              <w:rPr>
                <w:rStyle w:val="cf11"/>
                <w:rFonts w:ascii="Times New Roman" w:hAnsi="Times New Roman" w:cs="Times New Roman"/>
                <w:color w:val="000000" w:themeColor="text1"/>
                <w:sz w:val="24"/>
                <w:szCs w:val="24"/>
              </w:rPr>
              <w:t>70</w:t>
            </w:r>
            <w:r w:rsidRPr="001676C9">
              <w:rPr>
                <w:rStyle w:val="cf01"/>
                <w:rFonts w:ascii="Times New Roman" w:hAnsi="Times New Roman" w:cs="Times New Roman"/>
                <w:color w:val="000000" w:themeColor="text1"/>
                <w:sz w:val="24"/>
                <w:szCs w:val="24"/>
              </w:rPr>
              <w:t xml:space="preserve">. panta </w:t>
            </w:r>
            <w:r w:rsidR="007A62CE" w:rsidRPr="001676C9">
              <w:rPr>
                <w:rStyle w:val="cf01"/>
                <w:rFonts w:ascii="Times New Roman" w:hAnsi="Times New Roman" w:cs="Times New Roman"/>
                <w:color w:val="000000" w:themeColor="text1"/>
                <w:sz w:val="24"/>
                <w:szCs w:val="24"/>
              </w:rPr>
              <w:t>1</w:t>
            </w:r>
            <w:r w:rsidRPr="001676C9">
              <w:rPr>
                <w:rStyle w:val="cf01"/>
                <w:rFonts w:ascii="Times New Roman" w:hAnsi="Times New Roman" w:cs="Times New Roman"/>
                <w:color w:val="000000" w:themeColor="text1"/>
                <w:sz w:val="24"/>
                <w:szCs w:val="24"/>
              </w:rPr>
              <w:t xml:space="preserve">. punkts paredz, ka dalībvalstis paziņo Eiropas Komisijai par šīs direktīvas prasību pārņemšanu. </w:t>
            </w:r>
          </w:p>
          <w:p w14:paraId="262C6B39" w14:textId="3DC02931" w:rsidR="000F752E" w:rsidRPr="001676C9" w:rsidRDefault="000E0289" w:rsidP="000E0289">
            <w:pPr>
              <w:rPr>
                <w:rStyle w:val="cf01"/>
                <w:rFonts w:ascii="Times New Roman" w:hAnsi="Times New Roman" w:cs="Times New Roman"/>
                <w:color w:val="000000" w:themeColor="text1"/>
                <w:sz w:val="24"/>
                <w:szCs w:val="24"/>
                <w:highlight w:val="yellow"/>
              </w:rPr>
            </w:pPr>
            <w:r w:rsidRPr="001676C9">
              <w:rPr>
                <w:rStyle w:val="cf01"/>
                <w:rFonts w:ascii="Times New Roman" w:hAnsi="Times New Roman" w:cs="Times New Roman"/>
                <w:color w:val="000000" w:themeColor="text1"/>
                <w:sz w:val="24"/>
                <w:szCs w:val="24"/>
              </w:rPr>
              <w:t>Minēto paziņošanas pienākumu izpildīs Finanšu ministrija, sniedzot paziņojumu Eiropas Komisijai pēc projekta apstiprināšanas Latvijas Bankas padomē.</w:t>
            </w:r>
          </w:p>
        </w:tc>
      </w:tr>
      <w:tr w:rsidR="00F93FA8" w:rsidRPr="000D4B57" w14:paraId="45B68C9B" w14:textId="77777777" w:rsidTr="00320F82">
        <w:trPr>
          <w:trHeight w:val="562"/>
        </w:trPr>
        <w:tc>
          <w:tcPr>
            <w:tcW w:w="2263" w:type="dxa"/>
            <w:tcBorders>
              <w:top w:val="single" w:sz="4" w:space="0" w:color="auto"/>
              <w:left w:val="single" w:sz="4" w:space="0" w:color="auto"/>
              <w:bottom w:val="single" w:sz="4" w:space="0" w:color="auto"/>
              <w:right w:val="single" w:sz="4" w:space="0" w:color="auto"/>
            </w:tcBorders>
          </w:tcPr>
          <w:p w14:paraId="1F924384" w14:textId="179FCEC8"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6. panta 1. punkts</w:t>
            </w:r>
          </w:p>
        </w:tc>
        <w:tc>
          <w:tcPr>
            <w:tcW w:w="2127" w:type="dxa"/>
            <w:tcBorders>
              <w:top w:val="single" w:sz="4" w:space="0" w:color="auto"/>
              <w:left w:val="single" w:sz="4" w:space="0" w:color="auto"/>
              <w:bottom w:val="single" w:sz="4" w:space="0" w:color="auto"/>
              <w:right w:val="single" w:sz="4" w:space="0" w:color="auto"/>
            </w:tcBorders>
          </w:tcPr>
          <w:p w14:paraId="4934D906" w14:textId="68CC9011"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16. punkts</w:t>
            </w:r>
          </w:p>
        </w:tc>
        <w:tc>
          <w:tcPr>
            <w:tcW w:w="2126" w:type="dxa"/>
            <w:tcBorders>
              <w:top w:val="single" w:sz="4" w:space="0" w:color="auto"/>
              <w:left w:val="single" w:sz="4" w:space="0" w:color="auto"/>
              <w:bottom w:val="single" w:sz="4" w:space="0" w:color="auto"/>
              <w:right w:val="single" w:sz="4" w:space="0" w:color="auto"/>
            </w:tcBorders>
          </w:tcPr>
          <w:p w14:paraId="0B768C41" w14:textId="15EF4660"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r>
              <w:rPr>
                <w:rStyle w:val="cf01"/>
                <w:rFonts w:ascii="Times New Roman" w:hAnsi="Times New Roman" w:cs="Times New Roman"/>
                <w:color w:val="000000" w:themeColor="text1"/>
                <w:sz w:val="24"/>
                <w:szCs w:val="24"/>
              </w:rPr>
              <w:t xml:space="preserve">, izņemot </w:t>
            </w:r>
            <w:r w:rsidRPr="002F11BB">
              <w:rPr>
                <w:rFonts w:ascii="Times New Roman" w:hAnsi="Times New Roman" w:cs="Times New Roman"/>
                <w:color w:val="000000" w:themeColor="text1"/>
                <w:sz w:val="24"/>
                <w:szCs w:val="24"/>
              </w:rPr>
              <w:t>Direktīvas 2013/34 6. panta 1. punkta g), h) un i) apakšpunkt</w:t>
            </w:r>
            <w:r>
              <w:rPr>
                <w:rFonts w:ascii="Times New Roman" w:hAnsi="Times New Roman" w:cs="Times New Roman"/>
                <w:color w:val="000000" w:themeColor="text1"/>
                <w:sz w:val="24"/>
                <w:szCs w:val="24"/>
              </w:rPr>
              <w:t xml:space="preserve">u. Minētajos apakšpunktos paredzētās prasības netiek pārņemtas, jo attiecīgajos jautājumos piemērojamas </w:t>
            </w:r>
            <w:r w:rsidRPr="002F11BB">
              <w:rPr>
                <w:rFonts w:ascii="Times New Roman" w:hAnsi="Times New Roman" w:cs="Times New Roman"/>
                <w:color w:val="000000" w:themeColor="text1"/>
                <w:sz w:val="24"/>
                <w:szCs w:val="24"/>
              </w:rPr>
              <w:t xml:space="preserve">Komisijas </w:t>
            </w:r>
            <w:r w:rsidRPr="002F11BB">
              <w:rPr>
                <w:rFonts w:ascii="Times New Roman" w:hAnsi="Times New Roman" w:cs="Times New Roman"/>
                <w:color w:val="000000" w:themeColor="text1"/>
                <w:sz w:val="24"/>
                <w:szCs w:val="24"/>
              </w:rPr>
              <w:lastRenderedPageBreak/>
              <w:t>2023.</w:t>
            </w:r>
            <w:r>
              <w:rPr>
                <w:rFonts w:ascii="Times New Roman" w:hAnsi="Times New Roman" w:cs="Times New Roman"/>
                <w:color w:val="000000" w:themeColor="text1"/>
                <w:sz w:val="24"/>
                <w:szCs w:val="24"/>
              </w:rPr>
              <w:t> </w:t>
            </w:r>
            <w:r w:rsidRPr="002F11BB">
              <w:rPr>
                <w:rFonts w:ascii="Times New Roman" w:hAnsi="Times New Roman" w:cs="Times New Roman"/>
                <w:color w:val="000000" w:themeColor="text1"/>
                <w:sz w:val="24"/>
                <w:szCs w:val="24"/>
              </w:rPr>
              <w:t>gada 13.</w:t>
            </w:r>
            <w:r>
              <w:rPr>
                <w:rFonts w:ascii="Times New Roman" w:hAnsi="Times New Roman" w:cs="Times New Roman"/>
                <w:color w:val="000000" w:themeColor="text1"/>
                <w:sz w:val="24"/>
                <w:szCs w:val="24"/>
              </w:rPr>
              <w:t> </w:t>
            </w:r>
            <w:r w:rsidRPr="002F11BB">
              <w:rPr>
                <w:rFonts w:ascii="Times New Roman" w:hAnsi="Times New Roman" w:cs="Times New Roman"/>
                <w:color w:val="000000" w:themeColor="text1"/>
                <w:sz w:val="24"/>
                <w:szCs w:val="24"/>
              </w:rPr>
              <w:t>septembra regul</w:t>
            </w:r>
            <w:r>
              <w:rPr>
                <w:rFonts w:ascii="Times New Roman" w:hAnsi="Times New Roman" w:cs="Times New Roman"/>
                <w:color w:val="000000" w:themeColor="text1"/>
                <w:sz w:val="24"/>
                <w:szCs w:val="24"/>
              </w:rPr>
              <w:t>as</w:t>
            </w:r>
            <w:r w:rsidRPr="002F11BB">
              <w:rPr>
                <w:rFonts w:ascii="Times New Roman" w:hAnsi="Times New Roman" w:cs="Times New Roman"/>
                <w:color w:val="000000" w:themeColor="text1"/>
                <w:sz w:val="24"/>
                <w:szCs w:val="24"/>
              </w:rPr>
              <w:t xml:space="preserve"> (ES) Nr.</w:t>
            </w:r>
            <w:r>
              <w:rPr>
                <w:rFonts w:ascii="Times New Roman" w:hAnsi="Times New Roman" w:cs="Times New Roman"/>
                <w:color w:val="000000" w:themeColor="text1"/>
                <w:sz w:val="24"/>
                <w:szCs w:val="24"/>
              </w:rPr>
              <w:t> </w:t>
            </w:r>
            <w:r w:rsidRPr="002F11BB">
              <w:rPr>
                <w:rFonts w:ascii="Times New Roman" w:hAnsi="Times New Roman" w:cs="Times New Roman"/>
                <w:color w:val="000000" w:themeColor="text1"/>
                <w:sz w:val="24"/>
                <w:szCs w:val="24"/>
              </w:rPr>
              <w:t>2023/1803, ar ko pieņem vairākus starptautiskos grāmatvedības standartus saskaņā ar Eiropas Parlamenta un Padomes regulu (EK) Nr.</w:t>
            </w:r>
            <w:r>
              <w:rPr>
                <w:rFonts w:ascii="Times New Roman" w:hAnsi="Times New Roman" w:cs="Times New Roman"/>
                <w:color w:val="000000" w:themeColor="text1"/>
                <w:sz w:val="24"/>
                <w:szCs w:val="24"/>
              </w:rPr>
              <w:t> </w:t>
            </w:r>
            <w:r w:rsidRPr="002F11BB">
              <w:rPr>
                <w:rFonts w:ascii="Times New Roman" w:hAnsi="Times New Roman" w:cs="Times New Roman"/>
                <w:color w:val="000000" w:themeColor="text1"/>
                <w:sz w:val="24"/>
                <w:szCs w:val="24"/>
              </w:rPr>
              <w:t>1606/2002 (turpmāk – Starptautiskie grāmatvedības standarti)</w:t>
            </w:r>
            <w:r>
              <w:rPr>
                <w:rFonts w:ascii="Times New Roman" w:hAnsi="Times New Roman" w:cs="Times New Roman"/>
                <w:color w:val="000000" w:themeColor="text1"/>
                <w:sz w:val="24"/>
                <w:szCs w:val="24"/>
              </w:rPr>
              <w:t>, prasības.</w:t>
            </w:r>
          </w:p>
        </w:tc>
        <w:tc>
          <w:tcPr>
            <w:tcW w:w="2551" w:type="dxa"/>
            <w:tcBorders>
              <w:top w:val="single" w:sz="4" w:space="0" w:color="auto"/>
              <w:left w:val="single" w:sz="4" w:space="0" w:color="auto"/>
              <w:bottom w:val="single" w:sz="4" w:space="0" w:color="auto"/>
              <w:right w:val="single" w:sz="4" w:space="0" w:color="auto"/>
            </w:tcBorders>
          </w:tcPr>
          <w:p w14:paraId="5DEF619E" w14:textId="41A3DC7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lastRenderedPageBreak/>
              <w:t>Nē</w:t>
            </w:r>
          </w:p>
        </w:tc>
        <w:tc>
          <w:tcPr>
            <w:tcW w:w="2410" w:type="dxa"/>
            <w:tcBorders>
              <w:top w:val="single" w:sz="4" w:space="0" w:color="auto"/>
              <w:left w:val="single" w:sz="4" w:space="0" w:color="auto"/>
              <w:bottom w:val="single" w:sz="4" w:space="0" w:color="auto"/>
              <w:right w:val="single" w:sz="4" w:space="0" w:color="auto"/>
            </w:tcBorders>
          </w:tcPr>
          <w:p w14:paraId="4380D998" w14:textId="3EBB0773"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val="restart"/>
            <w:tcBorders>
              <w:top w:val="single" w:sz="4" w:space="0" w:color="auto"/>
              <w:left w:val="single" w:sz="4" w:space="0" w:color="auto"/>
              <w:right w:val="single" w:sz="4" w:space="0" w:color="auto"/>
            </w:tcBorders>
          </w:tcPr>
          <w:p w14:paraId="2B05A86E" w14:textId="7766ED13" w:rsidR="00F93FA8" w:rsidRPr="001676C9" w:rsidRDefault="00F93FA8" w:rsidP="000064B0">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 xml:space="preserve">Direktīvas 2013/34 53. panta 1. punkts paredz, ka dalībvalstis paziņo Eiropas Komisijai par šīs direktīvas prasību pārņemšanu. </w:t>
            </w:r>
          </w:p>
          <w:p w14:paraId="412864F9" w14:textId="1946D18A" w:rsidR="00F93FA8" w:rsidRPr="001676C9" w:rsidRDefault="00F93FA8" w:rsidP="000064B0">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 xml:space="preserve">Minēto paziņošanas pienākumu izpildīs Finanšu ministrija, sniedzot paziņojumu Eiropas Komisijai pēc projekta apstiprināšanas </w:t>
            </w:r>
            <w:r w:rsidRPr="001676C9">
              <w:rPr>
                <w:rStyle w:val="cf01"/>
                <w:rFonts w:ascii="Times New Roman" w:hAnsi="Times New Roman" w:cs="Times New Roman"/>
                <w:color w:val="000000" w:themeColor="text1"/>
                <w:sz w:val="24"/>
                <w:szCs w:val="24"/>
              </w:rPr>
              <w:lastRenderedPageBreak/>
              <w:t>Latvijas Bankas padomē.</w:t>
            </w:r>
          </w:p>
        </w:tc>
      </w:tr>
      <w:tr w:rsidR="00F93FA8" w:rsidRPr="000D4B57" w14:paraId="5634A79A" w14:textId="77777777" w:rsidTr="00320F82">
        <w:trPr>
          <w:trHeight w:val="562"/>
        </w:trPr>
        <w:tc>
          <w:tcPr>
            <w:tcW w:w="2263" w:type="dxa"/>
            <w:tcBorders>
              <w:top w:val="single" w:sz="4" w:space="0" w:color="auto"/>
              <w:left w:val="single" w:sz="4" w:space="0" w:color="auto"/>
              <w:bottom w:val="single" w:sz="4" w:space="0" w:color="auto"/>
              <w:right w:val="single" w:sz="4" w:space="0" w:color="auto"/>
            </w:tcBorders>
          </w:tcPr>
          <w:p w14:paraId="51F1664E" w14:textId="0ABFCBF9"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lastRenderedPageBreak/>
              <w:t>Direktīvas 2013/34 16. panta 1. punkta a) apakšpunkts</w:t>
            </w:r>
          </w:p>
        </w:tc>
        <w:tc>
          <w:tcPr>
            <w:tcW w:w="2127" w:type="dxa"/>
            <w:tcBorders>
              <w:top w:val="single" w:sz="4" w:space="0" w:color="auto"/>
              <w:left w:val="single" w:sz="4" w:space="0" w:color="auto"/>
              <w:bottom w:val="single" w:sz="4" w:space="0" w:color="auto"/>
              <w:right w:val="single" w:sz="4" w:space="0" w:color="auto"/>
            </w:tcBorders>
          </w:tcPr>
          <w:p w14:paraId="34EEB10D" w14:textId="7B00C33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23.2. apakšpunkts un 24. punkts</w:t>
            </w:r>
          </w:p>
        </w:tc>
        <w:tc>
          <w:tcPr>
            <w:tcW w:w="2126" w:type="dxa"/>
            <w:tcBorders>
              <w:top w:val="single" w:sz="4" w:space="0" w:color="auto"/>
              <w:left w:val="single" w:sz="4" w:space="0" w:color="auto"/>
              <w:bottom w:val="single" w:sz="4" w:space="0" w:color="auto"/>
              <w:right w:val="single" w:sz="4" w:space="0" w:color="auto"/>
            </w:tcBorders>
          </w:tcPr>
          <w:p w14:paraId="440B1D15" w14:textId="641F3663"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796794E7" w14:textId="05CC78E3"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15C85FCD" w14:textId="72257CDC"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430FF4F1" w14:textId="2B7144C1" w:rsidR="00F93FA8" w:rsidRPr="001676C9" w:rsidRDefault="00F93FA8" w:rsidP="000064B0">
            <w:pPr>
              <w:rPr>
                <w:rStyle w:val="cf01"/>
                <w:rFonts w:ascii="Times New Roman" w:hAnsi="Times New Roman" w:cs="Times New Roman"/>
                <w:color w:val="000000" w:themeColor="text1"/>
                <w:sz w:val="24"/>
                <w:szCs w:val="24"/>
              </w:rPr>
            </w:pPr>
          </w:p>
        </w:tc>
      </w:tr>
      <w:tr w:rsidR="00F93FA8" w:rsidRPr="000D4B57" w14:paraId="3D8B6C32" w14:textId="77777777" w:rsidTr="00320F82">
        <w:trPr>
          <w:trHeight w:val="562"/>
        </w:trPr>
        <w:tc>
          <w:tcPr>
            <w:tcW w:w="2263" w:type="dxa"/>
            <w:tcBorders>
              <w:top w:val="single" w:sz="4" w:space="0" w:color="auto"/>
              <w:left w:val="single" w:sz="4" w:space="0" w:color="auto"/>
              <w:bottom w:val="single" w:sz="4" w:space="0" w:color="auto"/>
              <w:right w:val="single" w:sz="4" w:space="0" w:color="auto"/>
            </w:tcBorders>
          </w:tcPr>
          <w:p w14:paraId="7BD5254E" w14:textId="1B85E8D8"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16. panta 1. punkta g) apakšpunkts</w:t>
            </w:r>
          </w:p>
        </w:tc>
        <w:tc>
          <w:tcPr>
            <w:tcW w:w="2127" w:type="dxa"/>
            <w:tcBorders>
              <w:top w:val="single" w:sz="4" w:space="0" w:color="auto"/>
              <w:left w:val="single" w:sz="4" w:space="0" w:color="auto"/>
              <w:bottom w:val="single" w:sz="4" w:space="0" w:color="auto"/>
              <w:right w:val="single" w:sz="4" w:space="0" w:color="auto"/>
            </w:tcBorders>
          </w:tcPr>
          <w:p w14:paraId="3B0508AA" w14:textId="528C458E"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31. punkts</w:t>
            </w:r>
          </w:p>
        </w:tc>
        <w:tc>
          <w:tcPr>
            <w:tcW w:w="2126" w:type="dxa"/>
            <w:tcBorders>
              <w:top w:val="single" w:sz="4" w:space="0" w:color="auto"/>
              <w:left w:val="single" w:sz="4" w:space="0" w:color="auto"/>
              <w:bottom w:val="single" w:sz="4" w:space="0" w:color="auto"/>
              <w:right w:val="single" w:sz="4" w:space="0" w:color="auto"/>
            </w:tcBorders>
          </w:tcPr>
          <w:p w14:paraId="4B2A27D1" w14:textId="52C311D0"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2B465066" w14:textId="146885A7"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438719DE" w14:textId="7C26BBAD"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30F8380F" w14:textId="3C95E915" w:rsidR="00F93FA8" w:rsidRPr="001676C9" w:rsidRDefault="00F93FA8" w:rsidP="00D02B7F">
            <w:pPr>
              <w:rPr>
                <w:rStyle w:val="cf01"/>
                <w:rFonts w:ascii="Times New Roman" w:hAnsi="Times New Roman" w:cs="Times New Roman"/>
                <w:color w:val="000000" w:themeColor="text1"/>
                <w:sz w:val="24"/>
                <w:szCs w:val="24"/>
              </w:rPr>
            </w:pPr>
          </w:p>
        </w:tc>
      </w:tr>
      <w:tr w:rsidR="00F93FA8" w:rsidRPr="000D4B57" w14:paraId="54732CD1" w14:textId="77777777" w:rsidTr="00320F82">
        <w:trPr>
          <w:trHeight w:val="562"/>
        </w:trPr>
        <w:tc>
          <w:tcPr>
            <w:tcW w:w="2263" w:type="dxa"/>
            <w:tcBorders>
              <w:top w:val="single" w:sz="4" w:space="0" w:color="auto"/>
              <w:left w:val="single" w:sz="4" w:space="0" w:color="auto"/>
              <w:bottom w:val="single" w:sz="4" w:space="0" w:color="auto"/>
              <w:right w:val="single" w:sz="4" w:space="0" w:color="auto"/>
            </w:tcBorders>
          </w:tcPr>
          <w:p w14:paraId="1180C634" w14:textId="674E9BFA"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16. panta 1. punkta d) apakšpunkts</w:t>
            </w:r>
          </w:p>
        </w:tc>
        <w:tc>
          <w:tcPr>
            <w:tcW w:w="2127" w:type="dxa"/>
            <w:tcBorders>
              <w:top w:val="single" w:sz="4" w:space="0" w:color="auto"/>
              <w:left w:val="single" w:sz="4" w:space="0" w:color="auto"/>
              <w:bottom w:val="single" w:sz="4" w:space="0" w:color="auto"/>
              <w:right w:val="single" w:sz="4" w:space="0" w:color="auto"/>
            </w:tcBorders>
          </w:tcPr>
          <w:p w14:paraId="1440713D" w14:textId="0ED1CE14"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30. punkts</w:t>
            </w:r>
          </w:p>
        </w:tc>
        <w:tc>
          <w:tcPr>
            <w:tcW w:w="2126" w:type="dxa"/>
            <w:tcBorders>
              <w:top w:val="single" w:sz="4" w:space="0" w:color="auto"/>
              <w:left w:val="single" w:sz="4" w:space="0" w:color="auto"/>
              <w:bottom w:val="single" w:sz="4" w:space="0" w:color="auto"/>
              <w:right w:val="single" w:sz="4" w:space="0" w:color="auto"/>
            </w:tcBorders>
          </w:tcPr>
          <w:p w14:paraId="0744FB6B" w14:textId="2928CD06"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7C6DEB91" w14:textId="1EA6A17D"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1FF3269E" w14:textId="7557AF50"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4E1D4880" w14:textId="5E1BA8D0" w:rsidR="00F93FA8" w:rsidRPr="001676C9" w:rsidRDefault="00F93FA8" w:rsidP="000064B0">
            <w:pPr>
              <w:rPr>
                <w:rStyle w:val="cf01"/>
                <w:rFonts w:ascii="Times New Roman" w:hAnsi="Times New Roman" w:cs="Times New Roman"/>
                <w:color w:val="000000" w:themeColor="text1"/>
                <w:sz w:val="24"/>
                <w:szCs w:val="24"/>
              </w:rPr>
            </w:pPr>
          </w:p>
        </w:tc>
      </w:tr>
      <w:tr w:rsidR="00F93FA8" w:rsidRPr="000D4B57" w14:paraId="1C22D068"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25ED3E29" w14:textId="21DB9C4D"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16. panta 1. punkta h) apakšpunkts</w:t>
            </w:r>
          </w:p>
        </w:tc>
        <w:tc>
          <w:tcPr>
            <w:tcW w:w="2127" w:type="dxa"/>
            <w:tcBorders>
              <w:top w:val="single" w:sz="4" w:space="0" w:color="auto"/>
              <w:left w:val="single" w:sz="4" w:space="0" w:color="auto"/>
              <w:bottom w:val="single" w:sz="4" w:space="0" w:color="auto"/>
              <w:right w:val="single" w:sz="4" w:space="0" w:color="auto"/>
            </w:tcBorders>
          </w:tcPr>
          <w:p w14:paraId="197662A5" w14:textId="7BB31C3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38. punkts</w:t>
            </w:r>
          </w:p>
        </w:tc>
        <w:tc>
          <w:tcPr>
            <w:tcW w:w="2126" w:type="dxa"/>
            <w:tcBorders>
              <w:top w:val="single" w:sz="4" w:space="0" w:color="auto"/>
              <w:left w:val="single" w:sz="4" w:space="0" w:color="auto"/>
              <w:bottom w:val="single" w:sz="4" w:space="0" w:color="auto"/>
              <w:right w:val="single" w:sz="4" w:space="0" w:color="auto"/>
            </w:tcBorders>
          </w:tcPr>
          <w:p w14:paraId="6DB30CCF" w14:textId="622960B8"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08FF5C3C" w14:textId="4EFCEE23"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4782272A" w14:textId="14A25676"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67254707" w14:textId="662819C3" w:rsidR="00F93FA8" w:rsidRPr="001676C9" w:rsidRDefault="00F93FA8" w:rsidP="000064B0">
            <w:pPr>
              <w:rPr>
                <w:rStyle w:val="cf01"/>
                <w:rFonts w:ascii="Times New Roman" w:hAnsi="Times New Roman" w:cs="Times New Roman"/>
                <w:color w:val="000000" w:themeColor="text1"/>
                <w:sz w:val="24"/>
                <w:szCs w:val="24"/>
              </w:rPr>
            </w:pPr>
          </w:p>
        </w:tc>
      </w:tr>
      <w:tr w:rsidR="00F93FA8" w:rsidRPr="000D4B57" w14:paraId="25CEA38A"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003F6878" w14:textId="214F02A0"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lastRenderedPageBreak/>
              <w:t>Direktīvas 2013/34 16. panta 1. punkta e) apakšpunkts</w:t>
            </w:r>
          </w:p>
        </w:tc>
        <w:tc>
          <w:tcPr>
            <w:tcW w:w="2127" w:type="dxa"/>
            <w:tcBorders>
              <w:top w:val="single" w:sz="4" w:space="0" w:color="auto"/>
              <w:left w:val="single" w:sz="4" w:space="0" w:color="auto"/>
              <w:bottom w:val="single" w:sz="4" w:space="0" w:color="auto"/>
              <w:right w:val="single" w:sz="4" w:space="0" w:color="auto"/>
            </w:tcBorders>
          </w:tcPr>
          <w:p w14:paraId="1B978323" w14:textId="296EBA8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4</w:t>
            </w:r>
            <w:r>
              <w:rPr>
                <w:rStyle w:val="cf01"/>
                <w:rFonts w:ascii="Times New Roman" w:hAnsi="Times New Roman" w:cs="Times New Roman"/>
                <w:color w:val="000000" w:themeColor="text1"/>
                <w:sz w:val="24"/>
                <w:szCs w:val="24"/>
              </w:rPr>
              <w:t>1</w:t>
            </w:r>
            <w:r w:rsidRPr="001676C9">
              <w:rPr>
                <w:rStyle w:val="cf01"/>
                <w:rFonts w:ascii="Times New Roman" w:hAnsi="Times New Roman" w:cs="Times New Roman"/>
                <w:color w:val="000000" w:themeColor="text1"/>
                <w:sz w:val="24"/>
                <w:szCs w:val="24"/>
              </w:rPr>
              <w:t>. punkts</w:t>
            </w:r>
          </w:p>
        </w:tc>
        <w:tc>
          <w:tcPr>
            <w:tcW w:w="2126" w:type="dxa"/>
            <w:tcBorders>
              <w:top w:val="single" w:sz="4" w:space="0" w:color="auto"/>
              <w:left w:val="single" w:sz="4" w:space="0" w:color="auto"/>
              <w:bottom w:val="single" w:sz="4" w:space="0" w:color="auto"/>
              <w:right w:val="single" w:sz="4" w:space="0" w:color="auto"/>
            </w:tcBorders>
          </w:tcPr>
          <w:p w14:paraId="1E8E8A65" w14:textId="1F78E2A2"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5D5FFACA" w14:textId="28444750"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4624F6C4" w14:textId="7B6FF0EC"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131B9FD0" w14:textId="2AF9640A"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7D072183"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0DF0801C" w14:textId="125D6823" w:rsidR="00F93FA8" w:rsidRPr="001676C9" w:rsidRDefault="00F93FA8" w:rsidP="00CA5C85">
            <w:pPr>
              <w:rPr>
                <w:rFonts w:ascii="Times New Roman" w:eastAsia="Times New Roman" w:hAnsi="Times New Roman" w:cs="Times New Roman"/>
                <w:color w:val="000000" w:themeColor="text1"/>
                <w:sz w:val="24"/>
                <w:szCs w:val="24"/>
                <w:highlight w:val="yellow"/>
                <w:lang w:eastAsia="lv-LV"/>
              </w:rPr>
            </w:pPr>
            <w:r w:rsidRPr="001676C9">
              <w:rPr>
                <w:rFonts w:ascii="Times New Roman" w:eastAsia="Times New Roman" w:hAnsi="Times New Roman" w:cs="Times New Roman"/>
                <w:color w:val="000000" w:themeColor="text1"/>
                <w:sz w:val="24"/>
                <w:szCs w:val="24"/>
                <w:lang w:eastAsia="lv-LV"/>
              </w:rPr>
              <w:t>Direktīvas 2013/34 16. panta 1. punkta f) apakšpunkts</w:t>
            </w:r>
          </w:p>
        </w:tc>
        <w:tc>
          <w:tcPr>
            <w:tcW w:w="2127" w:type="dxa"/>
            <w:tcBorders>
              <w:top w:val="single" w:sz="4" w:space="0" w:color="auto"/>
              <w:left w:val="single" w:sz="4" w:space="0" w:color="auto"/>
              <w:bottom w:val="single" w:sz="4" w:space="0" w:color="auto"/>
              <w:right w:val="single" w:sz="4" w:space="0" w:color="auto"/>
            </w:tcBorders>
          </w:tcPr>
          <w:p w14:paraId="5E6F674B" w14:textId="79833721"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35. punkts</w:t>
            </w:r>
          </w:p>
        </w:tc>
        <w:tc>
          <w:tcPr>
            <w:tcW w:w="2126" w:type="dxa"/>
            <w:tcBorders>
              <w:top w:val="single" w:sz="4" w:space="0" w:color="auto"/>
              <w:left w:val="single" w:sz="4" w:space="0" w:color="auto"/>
              <w:bottom w:val="single" w:sz="4" w:space="0" w:color="auto"/>
              <w:right w:val="single" w:sz="4" w:space="0" w:color="auto"/>
            </w:tcBorders>
          </w:tcPr>
          <w:p w14:paraId="72DAA021" w14:textId="606D817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483E03CE" w14:textId="67B013FD"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0E24CC62" w14:textId="46284FC7"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w:t>
            </w:r>
            <w:r w:rsidRPr="001676C9">
              <w:rPr>
                <w:rStyle w:val="cf01"/>
                <w:color w:val="000000" w:themeColor="text1"/>
              </w:rPr>
              <w:t>ā</w:t>
            </w:r>
          </w:p>
        </w:tc>
        <w:tc>
          <w:tcPr>
            <w:tcW w:w="2552" w:type="dxa"/>
            <w:vMerge/>
            <w:tcBorders>
              <w:left w:val="single" w:sz="4" w:space="0" w:color="auto"/>
              <w:right w:val="single" w:sz="4" w:space="0" w:color="auto"/>
            </w:tcBorders>
          </w:tcPr>
          <w:p w14:paraId="34C17736" w14:textId="3C7FA0BC" w:rsidR="00F93FA8" w:rsidRPr="001676C9" w:rsidRDefault="00F93FA8" w:rsidP="00800C26">
            <w:pPr>
              <w:rPr>
                <w:rStyle w:val="cf01"/>
                <w:rFonts w:ascii="Times New Roman" w:hAnsi="Times New Roman" w:cs="Times New Roman"/>
                <w:color w:val="000000" w:themeColor="text1"/>
                <w:sz w:val="24"/>
                <w:szCs w:val="24"/>
              </w:rPr>
            </w:pPr>
          </w:p>
        </w:tc>
      </w:tr>
      <w:tr w:rsidR="00F93FA8" w:rsidRPr="000D4B57" w14:paraId="573BFACB"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341E10C4" w14:textId="39E6D3F1"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17. panta 1. punkta r) apakšpunkts</w:t>
            </w:r>
          </w:p>
        </w:tc>
        <w:tc>
          <w:tcPr>
            <w:tcW w:w="2127" w:type="dxa"/>
            <w:tcBorders>
              <w:top w:val="single" w:sz="4" w:space="0" w:color="auto"/>
              <w:left w:val="single" w:sz="4" w:space="0" w:color="auto"/>
              <w:bottom w:val="single" w:sz="4" w:space="0" w:color="auto"/>
              <w:right w:val="single" w:sz="4" w:space="0" w:color="auto"/>
            </w:tcBorders>
          </w:tcPr>
          <w:p w14:paraId="0075F08B" w14:textId="675D8E34"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26. punkts</w:t>
            </w:r>
          </w:p>
        </w:tc>
        <w:tc>
          <w:tcPr>
            <w:tcW w:w="2126" w:type="dxa"/>
            <w:tcBorders>
              <w:top w:val="single" w:sz="4" w:space="0" w:color="auto"/>
              <w:left w:val="single" w:sz="4" w:space="0" w:color="auto"/>
              <w:bottom w:val="single" w:sz="4" w:space="0" w:color="auto"/>
              <w:right w:val="single" w:sz="4" w:space="0" w:color="auto"/>
            </w:tcBorders>
          </w:tcPr>
          <w:p w14:paraId="4799C6F5" w14:textId="3889C0EF"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71728343" w14:textId="2198713F"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512299F9" w14:textId="48988274"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3779D061" w14:textId="0746229E"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00F1F551"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4FBC90C7" w14:textId="0B254FF0"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17. panta 1. punkta h) un i) apakšpunkts</w:t>
            </w:r>
          </w:p>
        </w:tc>
        <w:tc>
          <w:tcPr>
            <w:tcW w:w="2127" w:type="dxa"/>
            <w:tcBorders>
              <w:top w:val="single" w:sz="4" w:space="0" w:color="auto"/>
              <w:left w:val="single" w:sz="4" w:space="0" w:color="auto"/>
              <w:bottom w:val="single" w:sz="4" w:space="0" w:color="auto"/>
              <w:right w:val="single" w:sz="4" w:space="0" w:color="auto"/>
            </w:tcBorders>
          </w:tcPr>
          <w:p w14:paraId="100B037A" w14:textId="31786502"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27. punkts</w:t>
            </w:r>
          </w:p>
        </w:tc>
        <w:tc>
          <w:tcPr>
            <w:tcW w:w="2126" w:type="dxa"/>
            <w:tcBorders>
              <w:top w:val="single" w:sz="4" w:space="0" w:color="auto"/>
              <w:left w:val="single" w:sz="4" w:space="0" w:color="auto"/>
              <w:bottom w:val="single" w:sz="4" w:space="0" w:color="auto"/>
              <w:right w:val="single" w:sz="4" w:space="0" w:color="auto"/>
            </w:tcBorders>
          </w:tcPr>
          <w:p w14:paraId="1191295A" w14:textId="0BE30B72"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08EC26DC" w14:textId="7B8695CF"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669B6C22" w14:textId="055AAA5F"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7390469D" w14:textId="28AAC477"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73071376"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3D2782CA" w14:textId="72C7C7C1"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17. panta 1. punkta g) apakšpunkts</w:t>
            </w:r>
          </w:p>
        </w:tc>
        <w:tc>
          <w:tcPr>
            <w:tcW w:w="2127" w:type="dxa"/>
            <w:tcBorders>
              <w:top w:val="single" w:sz="4" w:space="0" w:color="auto"/>
              <w:left w:val="single" w:sz="4" w:space="0" w:color="auto"/>
              <w:bottom w:val="single" w:sz="4" w:space="0" w:color="auto"/>
              <w:right w:val="single" w:sz="4" w:space="0" w:color="auto"/>
            </w:tcBorders>
          </w:tcPr>
          <w:p w14:paraId="2FD15A46" w14:textId="754722A2"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28. punkts</w:t>
            </w:r>
          </w:p>
        </w:tc>
        <w:tc>
          <w:tcPr>
            <w:tcW w:w="2126" w:type="dxa"/>
            <w:tcBorders>
              <w:top w:val="single" w:sz="4" w:space="0" w:color="auto"/>
              <w:left w:val="single" w:sz="4" w:space="0" w:color="auto"/>
              <w:bottom w:val="single" w:sz="4" w:space="0" w:color="auto"/>
              <w:right w:val="single" w:sz="4" w:space="0" w:color="auto"/>
            </w:tcBorders>
          </w:tcPr>
          <w:p w14:paraId="0D80EF92" w14:textId="4C5520E6"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26737A19" w14:textId="2DB8B6E3"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6C5A2445" w14:textId="3696D318" w:rsidR="00F93FA8" w:rsidRPr="001676C9" w:rsidRDefault="00F93FA8" w:rsidP="00171D0D">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 xml:space="preserve">Direktīvas 2013/34 17. panta 1. punkta g) apakšpunkta otrā daļa paredz, ka dalībvalstis var atļaut šā apakšpunkta pirmajā daļā prasīto informāciju sniegt pārskata veidā, kuru reģistrē saskaņā ar Direktīvas 2009/101/EK 3. panta 1. un 3. punktu, šādu pārskatu reģistrēšanu atspoguļojot finanšu pārskatu piezīmēs. Minētā izvēles iespēja </w:t>
            </w:r>
            <w:r w:rsidRPr="001676C9">
              <w:rPr>
                <w:rStyle w:val="cf01"/>
                <w:rFonts w:ascii="Times New Roman" w:hAnsi="Times New Roman" w:cs="Times New Roman"/>
                <w:color w:val="000000" w:themeColor="text1"/>
                <w:sz w:val="24"/>
                <w:szCs w:val="24"/>
              </w:rPr>
              <w:lastRenderedPageBreak/>
              <w:t xml:space="preserve">netiek izmantota, jo </w:t>
            </w:r>
            <w:r w:rsidRPr="001676C9">
              <w:rPr>
                <w:rFonts w:ascii="Times New Roman" w:eastAsia="Times New Roman" w:hAnsi="Times New Roman" w:cs="Times New Roman"/>
                <w:color w:val="000000" w:themeColor="text1"/>
                <w:sz w:val="24"/>
                <w:szCs w:val="24"/>
                <w:lang w:eastAsia="lv-LV"/>
              </w:rPr>
              <w:t>projekta 28. punkta otrais teikums atļauj atkāpties no informācijas atklāšanas finanšu pārskatu pielikumā tādai mātes sabiedrībai, kura pati vai tās mātes sabiedrība sagatavo konsolidēto gada pārskatu un savā konsolidēt</w:t>
            </w:r>
            <w:r>
              <w:rPr>
                <w:rFonts w:ascii="Times New Roman" w:eastAsia="Times New Roman" w:hAnsi="Times New Roman" w:cs="Times New Roman"/>
                <w:color w:val="000000" w:themeColor="text1"/>
                <w:sz w:val="24"/>
                <w:szCs w:val="24"/>
                <w:lang w:eastAsia="lv-LV"/>
              </w:rPr>
              <w:t>o</w:t>
            </w:r>
            <w:r w:rsidRPr="001676C9">
              <w:rPr>
                <w:rFonts w:ascii="Times New Roman" w:eastAsia="Times New Roman" w:hAnsi="Times New Roman" w:cs="Times New Roman"/>
                <w:color w:val="000000" w:themeColor="text1"/>
                <w:sz w:val="24"/>
                <w:szCs w:val="24"/>
                <w:lang w:eastAsia="lv-LV"/>
              </w:rPr>
              <w:t xml:space="preserve"> finanšu pārskatu pielikumā atklāj informāciju par attiecīgajām meitas sabiedrībām un asociētajām sabiedrībām.</w:t>
            </w:r>
            <w:r w:rsidRPr="001676C9">
              <w:rPr>
                <w:rStyle w:val="cf01"/>
                <w:rFonts w:ascii="Times New Roman" w:hAnsi="Times New Roman" w:cs="Times New Roman"/>
                <w:color w:val="000000" w:themeColor="text1"/>
                <w:sz w:val="24"/>
                <w:szCs w:val="24"/>
              </w:rPr>
              <w:t xml:space="preserve"> </w:t>
            </w:r>
          </w:p>
          <w:p w14:paraId="592E632D" w14:textId="77777777" w:rsidR="00F93FA8" w:rsidRPr="001676C9" w:rsidRDefault="00F93FA8" w:rsidP="00171D0D">
            <w:pPr>
              <w:rPr>
                <w:rStyle w:val="cf01"/>
                <w:rFonts w:ascii="Times New Roman" w:hAnsi="Times New Roman" w:cs="Times New Roman"/>
                <w:color w:val="000000" w:themeColor="text1"/>
                <w:sz w:val="24"/>
                <w:szCs w:val="24"/>
              </w:rPr>
            </w:pPr>
          </w:p>
          <w:p w14:paraId="639F95C7" w14:textId="2F0D66BF" w:rsidR="00F93FA8" w:rsidRPr="001676C9" w:rsidRDefault="00F93FA8" w:rsidP="00171D0D">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 xml:space="preserve">Direktīvas 2013/34 17. panta 1. punkta g) apakšpunkta otrā daļa vienlaikus paredz, ka dalībvalstis var arī atļaut nenorādīt šādu informāciju, ja tās būtība ir tāda, ka tās atklāšana varētu </w:t>
            </w:r>
            <w:r w:rsidRPr="001676C9">
              <w:rPr>
                <w:rStyle w:val="cf01"/>
                <w:rFonts w:ascii="Times New Roman" w:hAnsi="Times New Roman" w:cs="Times New Roman"/>
                <w:color w:val="000000" w:themeColor="text1"/>
                <w:sz w:val="24"/>
                <w:szCs w:val="24"/>
              </w:rPr>
              <w:lastRenderedPageBreak/>
              <w:t>radīt nopietnu kaitējumu ikvienam uzņēmumam, uz kuru tā attiecas; katru šādas informācijas nesniegšanas gadījumu norāda finanšu pārskatu piezīmēs. Minētā izvēles iespēja tiek izmantota projekta 28. punktā, paredzot, ka izņēmuma gadījumā var nenorādīt informāciju, kuras atklāšana varētu nopietni kaitēt attiecīgās sabiedrības interesēm, vienlaikus finanšu pārskatu pielikumā norādot, ka šāda informācija netiek sniegta minētā iemesla dēļ.</w:t>
            </w:r>
          </w:p>
          <w:p w14:paraId="7C41EABA" w14:textId="77777777" w:rsidR="00F93FA8" w:rsidRPr="001676C9" w:rsidRDefault="00F93FA8" w:rsidP="00171D0D">
            <w:pPr>
              <w:rPr>
                <w:rStyle w:val="cf01"/>
                <w:rFonts w:ascii="Times New Roman" w:hAnsi="Times New Roman" w:cs="Times New Roman"/>
                <w:color w:val="000000" w:themeColor="text1"/>
                <w:sz w:val="24"/>
                <w:szCs w:val="24"/>
              </w:rPr>
            </w:pPr>
          </w:p>
          <w:p w14:paraId="371FE48E" w14:textId="01FC2E19" w:rsidR="00F93FA8" w:rsidRPr="001676C9" w:rsidRDefault="00F93FA8" w:rsidP="00171D0D">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 xml:space="preserve">Vienlaikus minētā Direktīvas 2013/34  norma paredz, ka dalībvalstis var padarīt šāda izņēmuma </w:t>
            </w:r>
            <w:r w:rsidRPr="001676C9">
              <w:rPr>
                <w:rStyle w:val="cf01"/>
                <w:rFonts w:ascii="Times New Roman" w:hAnsi="Times New Roman" w:cs="Times New Roman"/>
                <w:color w:val="000000" w:themeColor="text1"/>
                <w:sz w:val="24"/>
                <w:szCs w:val="24"/>
              </w:rPr>
              <w:lastRenderedPageBreak/>
              <w:t>izmantošanas iespēju atkarīgu no iepriekšējas administratīvas vai tiesas atļaujas. Minētā izvēles iespēja projektā netiek izmantota, jo tā radītu papildu administratīvo slogu gan attiecīgiem finanšu tirgus dalībniekiem, gan Latvijas Bankai un tiesu sistēmai. Turklāt līdzīgā situācijā Gada pārskatu un konsolidēto gada pārskatu likuma 53. panta trešajā daļā netiek paredzēta iepriekšējas atļaujas nepieciešamība.</w:t>
            </w:r>
          </w:p>
        </w:tc>
        <w:tc>
          <w:tcPr>
            <w:tcW w:w="2552" w:type="dxa"/>
            <w:vMerge/>
            <w:tcBorders>
              <w:left w:val="single" w:sz="4" w:space="0" w:color="auto"/>
              <w:right w:val="single" w:sz="4" w:space="0" w:color="auto"/>
            </w:tcBorders>
          </w:tcPr>
          <w:p w14:paraId="5D8FDC66" w14:textId="402D98C1"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3D03E118"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48605FC7" w14:textId="078E69FC"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lastRenderedPageBreak/>
              <w:t>Direktīvas 2013/34 17. panta 1. punkta l) un m) apakšpunkts</w:t>
            </w:r>
          </w:p>
        </w:tc>
        <w:tc>
          <w:tcPr>
            <w:tcW w:w="2127" w:type="dxa"/>
            <w:tcBorders>
              <w:top w:val="single" w:sz="4" w:space="0" w:color="auto"/>
              <w:left w:val="single" w:sz="4" w:space="0" w:color="auto"/>
              <w:bottom w:val="single" w:sz="4" w:space="0" w:color="auto"/>
              <w:right w:val="single" w:sz="4" w:space="0" w:color="auto"/>
            </w:tcBorders>
          </w:tcPr>
          <w:p w14:paraId="34472AA3" w14:textId="7D849739"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29. punkts</w:t>
            </w:r>
          </w:p>
        </w:tc>
        <w:tc>
          <w:tcPr>
            <w:tcW w:w="2126" w:type="dxa"/>
            <w:tcBorders>
              <w:top w:val="single" w:sz="4" w:space="0" w:color="auto"/>
              <w:left w:val="single" w:sz="4" w:space="0" w:color="auto"/>
              <w:bottom w:val="single" w:sz="4" w:space="0" w:color="auto"/>
              <w:right w:val="single" w:sz="4" w:space="0" w:color="auto"/>
            </w:tcBorders>
          </w:tcPr>
          <w:p w14:paraId="293B84C9" w14:textId="2681A4B7"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6B61D721" w14:textId="3C8440EF"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2386EB1A" w14:textId="1AAADE81"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09F5FD52" w14:textId="3049FBEE"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6690661C"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0945B0BA" w14:textId="4B1723F7"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17. panta 1. punkta o) apakšpunkts</w:t>
            </w:r>
          </w:p>
        </w:tc>
        <w:tc>
          <w:tcPr>
            <w:tcW w:w="2127" w:type="dxa"/>
            <w:tcBorders>
              <w:top w:val="single" w:sz="4" w:space="0" w:color="auto"/>
              <w:left w:val="single" w:sz="4" w:space="0" w:color="auto"/>
              <w:bottom w:val="single" w:sz="4" w:space="0" w:color="auto"/>
              <w:right w:val="single" w:sz="4" w:space="0" w:color="auto"/>
            </w:tcBorders>
          </w:tcPr>
          <w:p w14:paraId="5199763C" w14:textId="25A8764C"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23.5. apakšpunkts</w:t>
            </w:r>
          </w:p>
        </w:tc>
        <w:tc>
          <w:tcPr>
            <w:tcW w:w="2126" w:type="dxa"/>
            <w:tcBorders>
              <w:top w:val="single" w:sz="4" w:space="0" w:color="auto"/>
              <w:left w:val="single" w:sz="4" w:space="0" w:color="auto"/>
              <w:bottom w:val="single" w:sz="4" w:space="0" w:color="auto"/>
              <w:right w:val="single" w:sz="4" w:space="0" w:color="auto"/>
            </w:tcBorders>
          </w:tcPr>
          <w:p w14:paraId="0759AB26" w14:textId="643E97C4"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160791FF" w14:textId="57C50B05"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3B789829" w14:textId="7905911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1C724366" w14:textId="2152AECE" w:rsidR="00F93FA8" w:rsidRPr="001676C9" w:rsidRDefault="00F93FA8" w:rsidP="00F2511A">
            <w:pPr>
              <w:rPr>
                <w:rStyle w:val="cf01"/>
                <w:rFonts w:ascii="Times New Roman" w:hAnsi="Times New Roman" w:cs="Times New Roman"/>
                <w:color w:val="000000" w:themeColor="text1"/>
                <w:sz w:val="24"/>
                <w:szCs w:val="24"/>
              </w:rPr>
            </w:pPr>
          </w:p>
        </w:tc>
      </w:tr>
      <w:tr w:rsidR="00F93FA8" w:rsidRPr="000D4B57" w14:paraId="080F077F"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5A17885E" w14:textId="62AA6C20"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lastRenderedPageBreak/>
              <w:t>Direktīvas 2013/34 17. panta 1. punkta p) apakšpunkts</w:t>
            </w:r>
          </w:p>
        </w:tc>
        <w:tc>
          <w:tcPr>
            <w:tcW w:w="2127" w:type="dxa"/>
            <w:tcBorders>
              <w:top w:val="single" w:sz="4" w:space="0" w:color="auto"/>
              <w:left w:val="single" w:sz="4" w:space="0" w:color="auto"/>
              <w:bottom w:val="single" w:sz="4" w:space="0" w:color="auto"/>
              <w:right w:val="single" w:sz="4" w:space="0" w:color="auto"/>
            </w:tcBorders>
          </w:tcPr>
          <w:p w14:paraId="53D75D62" w14:textId="718CAA7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Projekts 30. punkts</w:t>
            </w:r>
          </w:p>
        </w:tc>
        <w:tc>
          <w:tcPr>
            <w:tcW w:w="2126" w:type="dxa"/>
            <w:tcBorders>
              <w:top w:val="single" w:sz="4" w:space="0" w:color="auto"/>
              <w:left w:val="single" w:sz="4" w:space="0" w:color="auto"/>
              <w:bottom w:val="single" w:sz="4" w:space="0" w:color="auto"/>
              <w:right w:val="single" w:sz="4" w:space="0" w:color="auto"/>
            </w:tcBorders>
          </w:tcPr>
          <w:p w14:paraId="08264D46" w14:textId="3C7A3CC8"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406F33A5" w14:textId="140D457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051D2A25" w14:textId="2C9295F2"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4AE681D1" w14:textId="7C08EA67"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4113CC44"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4D62B992" w14:textId="3C7515C3"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17. panta 1. punkta e) apakšpunkts</w:t>
            </w:r>
          </w:p>
        </w:tc>
        <w:tc>
          <w:tcPr>
            <w:tcW w:w="2127" w:type="dxa"/>
            <w:tcBorders>
              <w:top w:val="single" w:sz="4" w:space="0" w:color="auto"/>
              <w:left w:val="single" w:sz="4" w:space="0" w:color="auto"/>
              <w:bottom w:val="single" w:sz="4" w:space="0" w:color="auto"/>
              <w:right w:val="single" w:sz="4" w:space="0" w:color="auto"/>
            </w:tcBorders>
          </w:tcPr>
          <w:p w14:paraId="5F760588" w14:textId="7BD5E9A2"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34. </w:t>
            </w:r>
            <w:r>
              <w:rPr>
                <w:rStyle w:val="cf01"/>
                <w:rFonts w:ascii="Times New Roman" w:hAnsi="Times New Roman" w:cs="Times New Roman"/>
                <w:color w:val="000000" w:themeColor="text1"/>
                <w:sz w:val="24"/>
                <w:szCs w:val="24"/>
              </w:rPr>
              <w:t>u</w:t>
            </w:r>
            <w:r w:rsidRPr="00D349F1">
              <w:rPr>
                <w:rStyle w:val="cf01"/>
                <w:rFonts w:ascii="Times New Roman" w:hAnsi="Times New Roman" w:cs="Times New Roman"/>
                <w:color w:val="000000" w:themeColor="text1"/>
                <w:sz w:val="24"/>
                <w:szCs w:val="24"/>
              </w:rPr>
              <w:t>n 38. </w:t>
            </w:r>
            <w:r w:rsidRPr="001676C9">
              <w:rPr>
                <w:rStyle w:val="cf01"/>
                <w:rFonts w:ascii="Times New Roman" w:hAnsi="Times New Roman" w:cs="Times New Roman"/>
                <w:color w:val="000000" w:themeColor="text1"/>
                <w:sz w:val="24"/>
                <w:szCs w:val="24"/>
              </w:rPr>
              <w:t>punkts</w:t>
            </w:r>
          </w:p>
        </w:tc>
        <w:tc>
          <w:tcPr>
            <w:tcW w:w="2126" w:type="dxa"/>
            <w:tcBorders>
              <w:top w:val="single" w:sz="4" w:space="0" w:color="auto"/>
              <w:left w:val="single" w:sz="4" w:space="0" w:color="auto"/>
              <w:bottom w:val="single" w:sz="4" w:space="0" w:color="auto"/>
              <w:right w:val="single" w:sz="4" w:space="0" w:color="auto"/>
            </w:tcBorders>
          </w:tcPr>
          <w:p w14:paraId="4DBF1709" w14:textId="47F62364"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36E38BF0" w14:textId="18DBE84E"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527C3D98" w14:textId="254827BD"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0353CE08" w14:textId="7D155BE3"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4B942165"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264E4F6C" w14:textId="461E8886"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17. panta 1. punkta f) apakšpunkts</w:t>
            </w:r>
          </w:p>
        </w:tc>
        <w:tc>
          <w:tcPr>
            <w:tcW w:w="2127" w:type="dxa"/>
            <w:tcBorders>
              <w:top w:val="single" w:sz="4" w:space="0" w:color="auto"/>
              <w:left w:val="single" w:sz="4" w:space="0" w:color="auto"/>
              <w:bottom w:val="single" w:sz="4" w:space="0" w:color="auto"/>
              <w:right w:val="single" w:sz="4" w:space="0" w:color="auto"/>
            </w:tcBorders>
          </w:tcPr>
          <w:p w14:paraId="2549AA9E" w14:textId="69112664"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37. punkts</w:t>
            </w:r>
          </w:p>
        </w:tc>
        <w:tc>
          <w:tcPr>
            <w:tcW w:w="2126" w:type="dxa"/>
            <w:tcBorders>
              <w:top w:val="single" w:sz="4" w:space="0" w:color="auto"/>
              <w:left w:val="single" w:sz="4" w:space="0" w:color="auto"/>
              <w:bottom w:val="single" w:sz="4" w:space="0" w:color="auto"/>
              <w:right w:val="single" w:sz="4" w:space="0" w:color="auto"/>
            </w:tcBorders>
          </w:tcPr>
          <w:p w14:paraId="162334B6" w14:textId="6E5246A8"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5FA9DE44" w14:textId="081E4293"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12C0C0BB" w14:textId="38342500"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07AE7A3D" w14:textId="37731804"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64BA8E95"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1E0FF607" w14:textId="51FAC968"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17. panta 1. punkta q) apakšpunkts</w:t>
            </w:r>
          </w:p>
        </w:tc>
        <w:tc>
          <w:tcPr>
            <w:tcW w:w="2127" w:type="dxa"/>
            <w:tcBorders>
              <w:top w:val="single" w:sz="4" w:space="0" w:color="auto"/>
              <w:left w:val="single" w:sz="4" w:space="0" w:color="auto"/>
              <w:bottom w:val="single" w:sz="4" w:space="0" w:color="auto"/>
              <w:right w:val="single" w:sz="4" w:space="0" w:color="auto"/>
            </w:tcBorders>
          </w:tcPr>
          <w:p w14:paraId="655E1EEA" w14:textId="7AECBD36"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42. punkts</w:t>
            </w:r>
          </w:p>
        </w:tc>
        <w:tc>
          <w:tcPr>
            <w:tcW w:w="2126" w:type="dxa"/>
            <w:tcBorders>
              <w:top w:val="single" w:sz="4" w:space="0" w:color="auto"/>
              <w:left w:val="single" w:sz="4" w:space="0" w:color="auto"/>
              <w:bottom w:val="single" w:sz="4" w:space="0" w:color="auto"/>
              <w:right w:val="single" w:sz="4" w:space="0" w:color="auto"/>
            </w:tcBorders>
          </w:tcPr>
          <w:p w14:paraId="66D4F5EF" w14:textId="0BD84A1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12EBC67E" w14:textId="1456BCB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7A2A7C21" w14:textId="133021B1"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4AE8EC35" w14:textId="556D115E"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622BFB53"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46DA21FF" w14:textId="6723C131"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18. panta 1. punkta b) apakšpunkts</w:t>
            </w:r>
          </w:p>
        </w:tc>
        <w:tc>
          <w:tcPr>
            <w:tcW w:w="2127" w:type="dxa"/>
            <w:tcBorders>
              <w:top w:val="single" w:sz="4" w:space="0" w:color="auto"/>
              <w:left w:val="single" w:sz="4" w:space="0" w:color="auto"/>
              <w:bottom w:val="single" w:sz="4" w:space="0" w:color="auto"/>
              <w:right w:val="single" w:sz="4" w:space="0" w:color="auto"/>
            </w:tcBorders>
          </w:tcPr>
          <w:p w14:paraId="39570D2D" w14:textId="54500D36"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39. punkts</w:t>
            </w:r>
          </w:p>
        </w:tc>
        <w:tc>
          <w:tcPr>
            <w:tcW w:w="2126" w:type="dxa"/>
            <w:tcBorders>
              <w:top w:val="single" w:sz="4" w:space="0" w:color="auto"/>
              <w:left w:val="single" w:sz="4" w:space="0" w:color="auto"/>
              <w:bottom w:val="single" w:sz="4" w:space="0" w:color="auto"/>
              <w:right w:val="single" w:sz="4" w:space="0" w:color="auto"/>
            </w:tcBorders>
          </w:tcPr>
          <w:p w14:paraId="5BA15382" w14:textId="04A1020C"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570D8C19" w14:textId="49CA5C3C"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3DC48E2C" w14:textId="22AD84C1"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388F07D3" w14:textId="54401AAA" w:rsidR="00F93FA8" w:rsidRPr="001676C9" w:rsidRDefault="00F93FA8" w:rsidP="00BF0572">
            <w:pPr>
              <w:rPr>
                <w:rStyle w:val="cf01"/>
                <w:rFonts w:ascii="Times New Roman" w:hAnsi="Times New Roman" w:cs="Times New Roman"/>
                <w:color w:val="000000" w:themeColor="text1"/>
                <w:sz w:val="24"/>
                <w:szCs w:val="24"/>
                <w:highlight w:val="yellow"/>
              </w:rPr>
            </w:pPr>
          </w:p>
        </w:tc>
      </w:tr>
      <w:tr w:rsidR="00F93FA8" w:rsidRPr="000D4B57" w14:paraId="21B7ED8D"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3434DDB0" w14:textId="3DC25EDF" w:rsidR="00F93FA8" w:rsidRPr="001676C9" w:rsidRDefault="00F93FA8" w:rsidP="00CA5C85">
            <w:pPr>
              <w:rPr>
                <w:rFonts w:ascii="Times New Roman" w:eastAsia="Times New Roman" w:hAnsi="Times New Roman" w:cs="Times New Roman"/>
                <w:color w:val="000000" w:themeColor="text1"/>
                <w:sz w:val="24"/>
                <w:szCs w:val="24"/>
                <w:lang w:eastAsia="lv-LV"/>
              </w:rPr>
            </w:pPr>
            <w:r w:rsidRPr="001676C9">
              <w:rPr>
                <w:rFonts w:ascii="Times New Roman" w:eastAsia="Times New Roman" w:hAnsi="Times New Roman" w:cs="Times New Roman"/>
                <w:color w:val="000000" w:themeColor="text1"/>
                <w:sz w:val="24"/>
                <w:szCs w:val="24"/>
                <w:lang w:eastAsia="lv-LV"/>
              </w:rPr>
              <w:t>Direktīvas 2013/34 18. panta 1. punkta a) apakšpunkts</w:t>
            </w:r>
          </w:p>
        </w:tc>
        <w:tc>
          <w:tcPr>
            <w:tcW w:w="2127" w:type="dxa"/>
            <w:tcBorders>
              <w:top w:val="single" w:sz="4" w:space="0" w:color="auto"/>
              <w:left w:val="single" w:sz="4" w:space="0" w:color="auto"/>
              <w:bottom w:val="single" w:sz="4" w:space="0" w:color="auto"/>
              <w:right w:val="single" w:sz="4" w:space="0" w:color="auto"/>
            </w:tcBorders>
          </w:tcPr>
          <w:p w14:paraId="6B297044" w14:textId="28BA3A29"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40. punkts</w:t>
            </w:r>
          </w:p>
        </w:tc>
        <w:tc>
          <w:tcPr>
            <w:tcW w:w="2126" w:type="dxa"/>
            <w:tcBorders>
              <w:top w:val="single" w:sz="4" w:space="0" w:color="auto"/>
              <w:left w:val="single" w:sz="4" w:space="0" w:color="auto"/>
              <w:bottom w:val="single" w:sz="4" w:space="0" w:color="auto"/>
              <w:right w:val="single" w:sz="4" w:space="0" w:color="auto"/>
            </w:tcBorders>
          </w:tcPr>
          <w:p w14:paraId="2FC4DDE9" w14:textId="5A4B924A"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2E81FB34" w14:textId="165AC510"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4B8EBF46" w14:textId="167152A2"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3E4CC1E9" w14:textId="08CE45E9" w:rsidR="00F93FA8" w:rsidRPr="001676C9" w:rsidRDefault="00F93FA8" w:rsidP="00061E26">
            <w:pPr>
              <w:rPr>
                <w:rStyle w:val="cf01"/>
                <w:rFonts w:ascii="Times New Roman" w:hAnsi="Times New Roman" w:cs="Times New Roman"/>
                <w:color w:val="000000" w:themeColor="text1"/>
                <w:sz w:val="24"/>
                <w:szCs w:val="24"/>
              </w:rPr>
            </w:pPr>
          </w:p>
        </w:tc>
      </w:tr>
      <w:tr w:rsidR="00F93FA8" w:rsidRPr="000D4B57" w14:paraId="2F3B4DC3"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70EE58B8" w14:textId="532D1A9B" w:rsidR="00F93FA8" w:rsidRPr="001676C9" w:rsidRDefault="00F93FA8" w:rsidP="00CA5C85">
            <w:pPr>
              <w:rPr>
                <w:rFonts w:ascii="Times New Roman" w:eastAsia="Times New Roman" w:hAnsi="Times New Roman" w:cs="Times New Roman"/>
                <w:color w:val="000000" w:themeColor="text1"/>
                <w:sz w:val="24"/>
                <w:szCs w:val="24"/>
                <w:highlight w:val="yellow"/>
                <w:lang w:eastAsia="lv-LV"/>
              </w:rPr>
            </w:pPr>
            <w:r w:rsidRPr="00B41A1C">
              <w:rPr>
                <w:rFonts w:ascii="Times New Roman" w:eastAsia="Times New Roman" w:hAnsi="Times New Roman" w:cs="Times New Roman"/>
                <w:color w:val="000000" w:themeColor="text1"/>
                <w:sz w:val="24"/>
                <w:szCs w:val="24"/>
                <w:lang w:eastAsia="lv-LV"/>
              </w:rPr>
              <w:t>Direktīvas 2013/34 19. panta 1. punkt</w:t>
            </w:r>
            <w:r>
              <w:rPr>
                <w:rFonts w:ascii="Times New Roman" w:eastAsia="Times New Roman" w:hAnsi="Times New Roman" w:cs="Times New Roman"/>
                <w:color w:val="000000" w:themeColor="text1"/>
                <w:sz w:val="24"/>
                <w:szCs w:val="24"/>
                <w:lang w:eastAsia="lv-LV"/>
              </w:rPr>
              <w:t>a</w:t>
            </w:r>
            <w:r w:rsidRPr="007C6C40">
              <w:rPr>
                <w:rFonts w:ascii="Times New Roman" w:eastAsia="Times New Roman" w:hAnsi="Times New Roman" w:cs="Times New Roman"/>
                <w:color w:val="000000" w:themeColor="text1"/>
                <w:sz w:val="24"/>
                <w:szCs w:val="24"/>
                <w:lang w:eastAsia="lv-LV"/>
              </w:rPr>
              <w:t xml:space="preserve"> pirmā, otrā un trešā daļa</w:t>
            </w:r>
          </w:p>
        </w:tc>
        <w:tc>
          <w:tcPr>
            <w:tcW w:w="2127" w:type="dxa"/>
            <w:tcBorders>
              <w:top w:val="single" w:sz="4" w:space="0" w:color="auto"/>
              <w:left w:val="single" w:sz="4" w:space="0" w:color="auto"/>
              <w:bottom w:val="single" w:sz="4" w:space="0" w:color="auto"/>
              <w:right w:val="single" w:sz="4" w:space="0" w:color="auto"/>
            </w:tcBorders>
          </w:tcPr>
          <w:p w14:paraId="02CE7A6B" w14:textId="66F56D18"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w:t>
            </w:r>
            <w:r>
              <w:rPr>
                <w:rStyle w:val="cf01"/>
                <w:rFonts w:ascii="Times New Roman" w:hAnsi="Times New Roman" w:cs="Times New Roman"/>
                <w:color w:val="000000" w:themeColor="text1"/>
                <w:sz w:val="24"/>
                <w:szCs w:val="24"/>
              </w:rPr>
              <w:t xml:space="preserve"> 8.3. un </w:t>
            </w:r>
            <w:r w:rsidRPr="001676C9">
              <w:rPr>
                <w:rStyle w:val="cf01"/>
                <w:rFonts w:ascii="Times New Roman" w:hAnsi="Times New Roman" w:cs="Times New Roman"/>
                <w:color w:val="000000" w:themeColor="text1"/>
                <w:sz w:val="24"/>
                <w:szCs w:val="24"/>
              </w:rPr>
              <w:t>8.4. apakšpunkts</w:t>
            </w:r>
          </w:p>
        </w:tc>
        <w:tc>
          <w:tcPr>
            <w:tcW w:w="2126" w:type="dxa"/>
            <w:tcBorders>
              <w:top w:val="single" w:sz="4" w:space="0" w:color="auto"/>
              <w:left w:val="single" w:sz="4" w:space="0" w:color="auto"/>
              <w:bottom w:val="single" w:sz="4" w:space="0" w:color="auto"/>
              <w:right w:val="single" w:sz="4" w:space="0" w:color="auto"/>
            </w:tcBorders>
          </w:tcPr>
          <w:p w14:paraId="463AF9D1" w14:textId="4E2ACE61"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5F8EA171" w14:textId="5795DC17"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7DD446B6" w14:textId="69B66CCE"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53A9AC14" w14:textId="6C5CBE41" w:rsidR="00F93FA8" w:rsidRPr="001676C9" w:rsidRDefault="00F93FA8" w:rsidP="0062235E">
            <w:pPr>
              <w:rPr>
                <w:rStyle w:val="cf01"/>
                <w:rFonts w:ascii="Times New Roman" w:hAnsi="Times New Roman" w:cs="Times New Roman"/>
                <w:color w:val="000000" w:themeColor="text1"/>
                <w:sz w:val="24"/>
                <w:szCs w:val="24"/>
              </w:rPr>
            </w:pPr>
          </w:p>
        </w:tc>
      </w:tr>
      <w:tr w:rsidR="00F93FA8" w:rsidRPr="000D4B57" w14:paraId="2A944A66"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2D914B28" w14:textId="65CAFDF3" w:rsidR="00F93FA8" w:rsidRPr="001676C9" w:rsidRDefault="00F93FA8" w:rsidP="00CA5C85">
            <w:pPr>
              <w:rPr>
                <w:rFonts w:ascii="Times New Roman" w:eastAsia="Times New Roman" w:hAnsi="Times New Roman" w:cs="Times New Roman"/>
                <w:color w:val="000000" w:themeColor="text1"/>
                <w:sz w:val="24"/>
                <w:szCs w:val="24"/>
                <w:highlight w:val="yellow"/>
                <w:lang w:eastAsia="lv-LV"/>
              </w:rPr>
            </w:pPr>
            <w:r w:rsidRPr="001676C9">
              <w:rPr>
                <w:rFonts w:ascii="Times New Roman" w:eastAsia="Times New Roman" w:hAnsi="Times New Roman" w:cs="Times New Roman"/>
                <w:color w:val="000000" w:themeColor="text1"/>
                <w:sz w:val="24"/>
                <w:szCs w:val="24"/>
                <w:lang w:eastAsia="lv-LV"/>
              </w:rPr>
              <w:t>Direktīvas 2013/34 19. panta 2. punkta a) apakšpunkts</w:t>
            </w:r>
          </w:p>
        </w:tc>
        <w:tc>
          <w:tcPr>
            <w:tcW w:w="2127" w:type="dxa"/>
            <w:tcBorders>
              <w:top w:val="single" w:sz="4" w:space="0" w:color="auto"/>
              <w:left w:val="single" w:sz="4" w:space="0" w:color="auto"/>
              <w:bottom w:val="single" w:sz="4" w:space="0" w:color="auto"/>
              <w:right w:val="single" w:sz="4" w:space="0" w:color="auto"/>
            </w:tcBorders>
          </w:tcPr>
          <w:p w14:paraId="39FD1A38" w14:textId="377D3D87"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8.5. apakšpunkts</w:t>
            </w:r>
          </w:p>
        </w:tc>
        <w:tc>
          <w:tcPr>
            <w:tcW w:w="2126" w:type="dxa"/>
            <w:tcBorders>
              <w:top w:val="single" w:sz="4" w:space="0" w:color="auto"/>
              <w:left w:val="single" w:sz="4" w:space="0" w:color="auto"/>
              <w:bottom w:val="single" w:sz="4" w:space="0" w:color="auto"/>
              <w:right w:val="single" w:sz="4" w:space="0" w:color="auto"/>
            </w:tcBorders>
          </w:tcPr>
          <w:p w14:paraId="3DE3A445" w14:textId="0388491E"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6121C14F" w14:textId="3C65DEF5"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6701D029" w14:textId="174252BE"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4B9B9447" w14:textId="3CFBAFCF" w:rsidR="00F93FA8" w:rsidRPr="001676C9" w:rsidRDefault="00F93FA8" w:rsidP="0062235E">
            <w:pPr>
              <w:rPr>
                <w:rStyle w:val="cf01"/>
                <w:rFonts w:ascii="Times New Roman" w:hAnsi="Times New Roman" w:cs="Times New Roman"/>
                <w:color w:val="000000" w:themeColor="text1"/>
                <w:sz w:val="24"/>
                <w:szCs w:val="24"/>
              </w:rPr>
            </w:pPr>
          </w:p>
        </w:tc>
      </w:tr>
      <w:tr w:rsidR="00F93FA8" w:rsidRPr="000D4B57" w14:paraId="0DFD7A17"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298495D9" w14:textId="5AAE2D3F" w:rsidR="00F93FA8" w:rsidRPr="001676C9" w:rsidRDefault="00F93FA8" w:rsidP="00CA5C85">
            <w:pPr>
              <w:rPr>
                <w:rFonts w:ascii="Times New Roman" w:eastAsia="Times New Roman" w:hAnsi="Times New Roman" w:cs="Times New Roman"/>
                <w:color w:val="000000" w:themeColor="text1"/>
                <w:sz w:val="24"/>
                <w:szCs w:val="24"/>
                <w:highlight w:val="yellow"/>
                <w:lang w:eastAsia="lv-LV"/>
              </w:rPr>
            </w:pPr>
            <w:r w:rsidRPr="001676C9">
              <w:rPr>
                <w:rFonts w:ascii="Times New Roman" w:eastAsia="Times New Roman" w:hAnsi="Times New Roman" w:cs="Times New Roman"/>
                <w:color w:val="000000" w:themeColor="text1"/>
                <w:sz w:val="24"/>
                <w:szCs w:val="24"/>
                <w:lang w:eastAsia="lv-LV"/>
              </w:rPr>
              <w:t>Direktīvas 2013/34 19. panta 2. punkta b) apakšpunkts</w:t>
            </w:r>
          </w:p>
        </w:tc>
        <w:tc>
          <w:tcPr>
            <w:tcW w:w="2127" w:type="dxa"/>
            <w:tcBorders>
              <w:top w:val="single" w:sz="4" w:space="0" w:color="auto"/>
              <w:left w:val="single" w:sz="4" w:space="0" w:color="auto"/>
              <w:bottom w:val="single" w:sz="4" w:space="0" w:color="auto"/>
              <w:right w:val="single" w:sz="4" w:space="0" w:color="auto"/>
            </w:tcBorders>
          </w:tcPr>
          <w:p w14:paraId="5E758165" w14:textId="670AB57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8.6. apakšpunkts</w:t>
            </w:r>
          </w:p>
        </w:tc>
        <w:tc>
          <w:tcPr>
            <w:tcW w:w="2126" w:type="dxa"/>
            <w:tcBorders>
              <w:top w:val="single" w:sz="4" w:space="0" w:color="auto"/>
              <w:left w:val="single" w:sz="4" w:space="0" w:color="auto"/>
              <w:bottom w:val="single" w:sz="4" w:space="0" w:color="auto"/>
              <w:right w:val="single" w:sz="4" w:space="0" w:color="auto"/>
            </w:tcBorders>
          </w:tcPr>
          <w:p w14:paraId="5CF1D82E" w14:textId="3894CA56"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44FF4A68" w14:textId="398FCF98"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10D64EA0" w14:textId="53EF9F2C"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0893179C" w14:textId="1E947D21" w:rsidR="00F93FA8" w:rsidRPr="001676C9" w:rsidRDefault="00F93FA8" w:rsidP="00091E2D">
            <w:pPr>
              <w:rPr>
                <w:rStyle w:val="cf01"/>
                <w:rFonts w:ascii="Times New Roman" w:hAnsi="Times New Roman" w:cs="Times New Roman"/>
                <w:color w:val="000000" w:themeColor="text1"/>
                <w:sz w:val="24"/>
                <w:szCs w:val="24"/>
              </w:rPr>
            </w:pPr>
          </w:p>
        </w:tc>
      </w:tr>
      <w:tr w:rsidR="00F93FA8" w:rsidRPr="000D4B57" w14:paraId="6E94011E"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339044C7" w14:textId="20E12998" w:rsidR="00F93FA8" w:rsidRPr="001676C9" w:rsidRDefault="00F93FA8" w:rsidP="00CA5C85">
            <w:pPr>
              <w:rPr>
                <w:rFonts w:ascii="Times New Roman" w:eastAsia="Times New Roman" w:hAnsi="Times New Roman" w:cs="Times New Roman"/>
                <w:color w:val="000000" w:themeColor="text1"/>
                <w:sz w:val="24"/>
                <w:szCs w:val="24"/>
                <w:highlight w:val="yellow"/>
                <w:lang w:eastAsia="lv-LV"/>
              </w:rPr>
            </w:pPr>
            <w:r w:rsidRPr="001676C9">
              <w:rPr>
                <w:rFonts w:ascii="Times New Roman" w:eastAsia="Times New Roman" w:hAnsi="Times New Roman" w:cs="Times New Roman"/>
                <w:color w:val="000000" w:themeColor="text1"/>
                <w:sz w:val="24"/>
                <w:szCs w:val="24"/>
                <w:lang w:eastAsia="lv-LV"/>
              </w:rPr>
              <w:lastRenderedPageBreak/>
              <w:t>Direktīvas 2013/34 19. panta 2. punkta c) apakšpunkts</w:t>
            </w:r>
          </w:p>
        </w:tc>
        <w:tc>
          <w:tcPr>
            <w:tcW w:w="2127" w:type="dxa"/>
            <w:tcBorders>
              <w:top w:val="single" w:sz="4" w:space="0" w:color="auto"/>
              <w:left w:val="single" w:sz="4" w:space="0" w:color="auto"/>
              <w:bottom w:val="single" w:sz="4" w:space="0" w:color="auto"/>
              <w:right w:val="single" w:sz="4" w:space="0" w:color="auto"/>
            </w:tcBorders>
          </w:tcPr>
          <w:p w14:paraId="40AB586A" w14:textId="790573FF"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8.7. apakšpunkts</w:t>
            </w:r>
          </w:p>
        </w:tc>
        <w:tc>
          <w:tcPr>
            <w:tcW w:w="2126" w:type="dxa"/>
            <w:tcBorders>
              <w:top w:val="single" w:sz="4" w:space="0" w:color="auto"/>
              <w:left w:val="single" w:sz="4" w:space="0" w:color="auto"/>
              <w:bottom w:val="single" w:sz="4" w:space="0" w:color="auto"/>
              <w:right w:val="single" w:sz="4" w:space="0" w:color="auto"/>
            </w:tcBorders>
          </w:tcPr>
          <w:p w14:paraId="086BB759" w14:textId="3F420CB2"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276586D5" w14:textId="0F277AAF"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7CF26760" w14:textId="47E1EDC9"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7A74D172" w14:textId="4191282A" w:rsidR="00F93FA8" w:rsidRPr="001676C9" w:rsidRDefault="00F93FA8" w:rsidP="00091E2D">
            <w:pPr>
              <w:rPr>
                <w:rStyle w:val="cf01"/>
                <w:rFonts w:ascii="Times New Roman" w:hAnsi="Times New Roman" w:cs="Times New Roman"/>
                <w:color w:val="000000" w:themeColor="text1"/>
                <w:sz w:val="24"/>
                <w:szCs w:val="24"/>
              </w:rPr>
            </w:pPr>
          </w:p>
        </w:tc>
      </w:tr>
      <w:tr w:rsidR="00F93FA8" w:rsidRPr="000D4B57" w14:paraId="629B631E"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563B1F19" w14:textId="613FFE49" w:rsidR="00F93FA8" w:rsidRPr="001676C9" w:rsidRDefault="00F93FA8" w:rsidP="00CA5C85">
            <w:pPr>
              <w:rPr>
                <w:rFonts w:ascii="Times New Roman" w:eastAsia="Times New Roman" w:hAnsi="Times New Roman" w:cs="Times New Roman"/>
                <w:color w:val="000000" w:themeColor="text1"/>
                <w:sz w:val="24"/>
                <w:szCs w:val="24"/>
                <w:highlight w:val="yellow"/>
                <w:lang w:eastAsia="lv-LV"/>
              </w:rPr>
            </w:pPr>
            <w:r w:rsidRPr="001676C9">
              <w:rPr>
                <w:rFonts w:ascii="Times New Roman" w:eastAsia="Times New Roman" w:hAnsi="Times New Roman" w:cs="Times New Roman"/>
                <w:color w:val="000000" w:themeColor="text1"/>
                <w:sz w:val="24"/>
                <w:szCs w:val="24"/>
                <w:lang w:eastAsia="lv-LV"/>
              </w:rPr>
              <w:t>Direktīvas 2013/34 19. panta 2. punkta d) apakšpunkts</w:t>
            </w:r>
          </w:p>
        </w:tc>
        <w:tc>
          <w:tcPr>
            <w:tcW w:w="2127" w:type="dxa"/>
            <w:tcBorders>
              <w:top w:val="single" w:sz="4" w:space="0" w:color="auto"/>
              <w:left w:val="single" w:sz="4" w:space="0" w:color="auto"/>
              <w:bottom w:val="single" w:sz="4" w:space="0" w:color="auto"/>
              <w:right w:val="single" w:sz="4" w:space="0" w:color="auto"/>
            </w:tcBorders>
          </w:tcPr>
          <w:p w14:paraId="3524F5D9" w14:textId="6F0B3213"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8.8. apakšpunkts</w:t>
            </w:r>
          </w:p>
        </w:tc>
        <w:tc>
          <w:tcPr>
            <w:tcW w:w="2126" w:type="dxa"/>
            <w:tcBorders>
              <w:top w:val="single" w:sz="4" w:space="0" w:color="auto"/>
              <w:left w:val="single" w:sz="4" w:space="0" w:color="auto"/>
              <w:bottom w:val="single" w:sz="4" w:space="0" w:color="auto"/>
              <w:right w:val="single" w:sz="4" w:space="0" w:color="auto"/>
            </w:tcBorders>
          </w:tcPr>
          <w:p w14:paraId="65F851A8" w14:textId="1C4707F7"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02619358" w14:textId="60933846"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745E4D5D" w14:textId="49DFDDCF"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right w:val="single" w:sz="4" w:space="0" w:color="auto"/>
            </w:tcBorders>
          </w:tcPr>
          <w:p w14:paraId="60CAE40B" w14:textId="78BEB08A" w:rsidR="00F93FA8" w:rsidRPr="001676C9" w:rsidRDefault="00F93FA8" w:rsidP="00091E2D">
            <w:pPr>
              <w:rPr>
                <w:rStyle w:val="cf01"/>
                <w:rFonts w:ascii="Times New Roman" w:hAnsi="Times New Roman" w:cs="Times New Roman"/>
                <w:color w:val="000000" w:themeColor="text1"/>
                <w:sz w:val="24"/>
                <w:szCs w:val="24"/>
              </w:rPr>
            </w:pPr>
          </w:p>
        </w:tc>
      </w:tr>
      <w:tr w:rsidR="00F93FA8" w:rsidRPr="000D4B57" w14:paraId="02754306" w14:textId="77777777" w:rsidTr="005E5ACD">
        <w:trPr>
          <w:trHeight w:val="562"/>
        </w:trPr>
        <w:tc>
          <w:tcPr>
            <w:tcW w:w="2263" w:type="dxa"/>
            <w:tcBorders>
              <w:top w:val="single" w:sz="4" w:space="0" w:color="auto"/>
              <w:left w:val="single" w:sz="4" w:space="0" w:color="auto"/>
              <w:bottom w:val="single" w:sz="4" w:space="0" w:color="auto"/>
              <w:right w:val="single" w:sz="4" w:space="0" w:color="auto"/>
            </w:tcBorders>
          </w:tcPr>
          <w:p w14:paraId="67ABBBA4" w14:textId="1B8CF0E6" w:rsidR="00F93FA8" w:rsidRPr="001676C9" w:rsidRDefault="00F93FA8" w:rsidP="00CA5C85">
            <w:pPr>
              <w:rPr>
                <w:rFonts w:ascii="Times New Roman" w:eastAsia="Times New Roman" w:hAnsi="Times New Roman" w:cs="Times New Roman"/>
                <w:color w:val="000000" w:themeColor="text1"/>
                <w:sz w:val="24"/>
                <w:szCs w:val="24"/>
                <w:highlight w:val="yellow"/>
                <w:lang w:eastAsia="lv-LV"/>
              </w:rPr>
            </w:pPr>
            <w:r w:rsidRPr="001676C9">
              <w:rPr>
                <w:rFonts w:ascii="Times New Roman" w:eastAsia="Times New Roman" w:hAnsi="Times New Roman" w:cs="Times New Roman"/>
                <w:color w:val="000000" w:themeColor="text1"/>
                <w:sz w:val="24"/>
                <w:szCs w:val="24"/>
                <w:lang w:eastAsia="lv-LV"/>
              </w:rPr>
              <w:t>Direktīvas 2013/34 19. panta 2. punkta e) apakšpunkts</w:t>
            </w:r>
          </w:p>
        </w:tc>
        <w:tc>
          <w:tcPr>
            <w:tcW w:w="2127" w:type="dxa"/>
            <w:tcBorders>
              <w:top w:val="single" w:sz="4" w:space="0" w:color="auto"/>
              <w:left w:val="single" w:sz="4" w:space="0" w:color="auto"/>
              <w:bottom w:val="single" w:sz="4" w:space="0" w:color="auto"/>
              <w:right w:val="single" w:sz="4" w:space="0" w:color="auto"/>
            </w:tcBorders>
          </w:tcPr>
          <w:p w14:paraId="424A6FAD" w14:textId="090273E9"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Projekta 8.9. apakšpunkts</w:t>
            </w:r>
          </w:p>
        </w:tc>
        <w:tc>
          <w:tcPr>
            <w:tcW w:w="2126" w:type="dxa"/>
            <w:tcBorders>
              <w:top w:val="single" w:sz="4" w:space="0" w:color="auto"/>
              <w:left w:val="single" w:sz="4" w:space="0" w:color="auto"/>
              <w:bottom w:val="single" w:sz="4" w:space="0" w:color="auto"/>
              <w:right w:val="single" w:sz="4" w:space="0" w:color="auto"/>
            </w:tcBorders>
          </w:tcPr>
          <w:p w14:paraId="3CAB054F" w14:textId="3550C83B"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Izpilda pilnībā</w:t>
            </w:r>
          </w:p>
        </w:tc>
        <w:tc>
          <w:tcPr>
            <w:tcW w:w="2551" w:type="dxa"/>
            <w:tcBorders>
              <w:top w:val="single" w:sz="4" w:space="0" w:color="auto"/>
              <w:left w:val="single" w:sz="4" w:space="0" w:color="auto"/>
              <w:bottom w:val="single" w:sz="4" w:space="0" w:color="auto"/>
              <w:right w:val="single" w:sz="4" w:space="0" w:color="auto"/>
            </w:tcBorders>
          </w:tcPr>
          <w:p w14:paraId="07F769CA" w14:textId="39BA8A14"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Nē</w:t>
            </w:r>
          </w:p>
        </w:tc>
        <w:tc>
          <w:tcPr>
            <w:tcW w:w="2410" w:type="dxa"/>
            <w:tcBorders>
              <w:top w:val="single" w:sz="4" w:space="0" w:color="auto"/>
              <w:left w:val="single" w:sz="4" w:space="0" w:color="auto"/>
              <w:bottom w:val="single" w:sz="4" w:space="0" w:color="auto"/>
              <w:right w:val="single" w:sz="4" w:space="0" w:color="auto"/>
            </w:tcBorders>
          </w:tcPr>
          <w:p w14:paraId="39A225CD" w14:textId="29393FF5" w:rsidR="00F93FA8" w:rsidRPr="001676C9" w:rsidRDefault="00F93FA8" w:rsidP="00CA5C85">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Jā</w:t>
            </w:r>
          </w:p>
        </w:tc>
        <w:tc>
          <w:tcPr>
            <w:tcW w:w="2552" w:type="dxa"/>
            <w:vMerge/>
            <w:tcBorders>
              <w:left w:val="single" w:sz="4" w:space="0" w:color="auto"/>
              <w:bottom w:val="single" w:sz="4" w:space="0" w:color="auto"/>
              <w:right w:val="single" w:sz="4" w:space="0" w:color="auto"/>
            </w:tcBorders>
          </w:tcPr>
          <w:p w14:paraId="1C9104E3" w14:textId="4687A3CE" w:rsidR="00F93FA8" w:rsidRPr="001676C9" w:rsidRDefault="00F93FA8" w:rsidP="00091E2D">
            <w:pPr>
              <w:rPr>
                <w:rStyle w:val="cf01"/>
                <w:rFonts w:ascii="Times New Roman" w:hAnsi="Times New Roman" w:cs="Times New Roman"/>
                <w:color w:val="000000" w:themeColor="text1"/>
                <w:sz w:val="24"/>
                <w:szCs w:val="24"/>
              </w:rPr>
            </w:pPr>
          </w:p>
        </w:tc>
      </w:tr>
    </w:tbl>
    <w:p w14:paraId="70BC86BD" w14:textId="5100BAB6" w:rsidR="002C0B86" w:rsidRDefault="002C0B86" w:rsidP="006952E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38B3964C" w14:textId="36AFFAAA" w:rsidR="002C0B86" w:rsidRPr="0020694F" w:rsidRDefault="00BC0624" w:rsidP="002C0B86">
      <w:pPr>
        <w:spacing w:after="0"/>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2. p</w:t>
      </w:r>
      <w:r w:rsidR="002C0B86" w:rsidRPr="0020694F">
        <w:rPr>
          <w:rFonts w:ascii="Times New Roman" w:eastAsia="Calibri" w:hAnsi="Times New Roman" w:cs="Times New Roman"/>
          <w:sz w:val="24"/>
          <w:szCs w:val="24"/>
        </w:rPr>
        <w:t>ielikums</w:t>
      </w:r>
    </w:p>
    <w:p w14:paraId="5C99B5FA" w14:textId="77777777" w:rsidR="002C0B86" w:rsidRDefault="002C0B86" w:rsidP="002C0B86">
      <w:pPr>
        <w:spacing w:after="0"/>
        <w:jc w:val="right"/>
        <w:rPr>
          <w:rFonts w:ascii="Times New Roman" w:eastAsia="Calibri" w:hAnsi="Times New Roman" w:cs="Times New Roman"/>
          <w:sz w:val="24"/>
          <w:szCs w:val="24"/>
        </w:rPr>
      </w:pPr>
      <w:r w:rsidRPr="0020694F">
        <w:rPr>
          <w:rFonts w:ascii="Times New Roman" w:eastAsia="Calibri" w:hAnsi="Times New Roman" w:cs="Times New Roman"/>
          <w:sz w:val="24"/>
          <w:szCs w:val="24"/>
        </w:rPr>
        <w:t>Latvijas Bankas noteikumu projekta anotācijai</w:t>
      </w:r>
    </w:p>
    <w:p w14:paraId="0FE725E5" w14:textId="77777777" w:rsidR="002C0B86" w:rsidRDefault="002C0B86" w:rsidP="002C0B86">
      <w:pPr>
        <w:spacing w:after="0"/>
        <w:jc w:val="right"/>
        <w:rPr>
          <w:rFonts w:ascii="Times New Roman" w:eastAsia="Calibri" w:hAnsi="Times New Roman" w:cs="Times New Roman"/>
          <w:b/>
          <w:bCs/>
          <w:sz w:val="24"/>
          <w:szCs w:val="24"/>
        </w:rPr>
      </w:pPr>
    </w:p>
    <w:p w14:paraId="31A56F26" w14:textId="2DEB4939" w:rsidR="002C0B86" w:rsidRDefault="002C0B86" w:rsidP="002C0B86">
      <w:pPr>
        <w:jc w:val="center"/>
        <w:rPr>
          <w:rFonts w:ascii="Times New Roman" w:eastAsia="Calibri" w:hAnsi="Times New Roman" w:cs="Times New Roman"/>
          <w:b/>
          <w:bCs/>
          <w:sz w:val="24"/>
          <w:szCs w:val="24"/>
        </w:rPr>
      </w:pPr>
      <w:r w:rsidRPr="00D756DA">
        <w:rPr>
          <w:rFonts w:ascii="Times New Roman" w:eastAsia="Calibri" w:hAnsi="Times New Roman" w:cs="Times New Roman"/>
          <w:b/>
          <w:bCs/>
          <w:sz w:val="24"/>
          <w:szCs w:val="24"/>
        </w:rPr>
        <w:t xml:space="preserve">Sabiedrības līdzdalības </w:t>
      </w:r>
      <w:r>
        <w:rPr>
          <w:rFonts w:ascii="Times New Roman" w:eastAsia="Calibri" w:hAnsi="Times New Roman" w:cs="Times New Roman"/>
          <w:b/>
          <w:bCs/>
          <w:sz w:val="24"/>
          <w:szCs w:val="24"/>
        </w:rPr>
        <w:t>gaitā</w:t>
      </w:r>
      <w:r w:rsidRPr="00D756DA">
        <w:rPr>
          <w:rFonts w:ascii="Times New Roman" w:eastAsia="Calibri" w:hAnsi="Times New Roman" w:cs="Times New Roman"/>
          <w:b/>
          <w:bCs/>
          <w:sz w:val="24"/>
          <w:szCs w:val="24"/>
        </w:rPr>
        <w:t xml:space="preserve"> saņemto priekšlikumu </w:t>
      </w:r>
      <w:r>
        <w:rPr>
          <w:rFonts w:ascii="Times New Roman" w:eastAsia="Calibri" w:hAnsi="Times New Roman" w:cs="Times New Roman"/>
          <w:b/>
          <w:bCs/>
          <w:sz w:val="24"/>
          <w:szCs w:val="24"/>
        </w:rPr>
        <w:t xml:space="preserve">par </w:t>
      </w:r>
      <w:r w:rsidRPr="0090260A">
        <w:rPr>
          <w:rFonts w:ascii="Times New Roman" w:eastAsia="Calibri" w:hAnsi="Times New Roman" w:cs="Times New Roman"/>
          <w:b/>
          <w:bCs/>
          <w:sz w:val="24"/>
          <w:szCs w:val="24"/>
        </w:rPr>
        <w:t>Latvijas Bankas noteikumu projekt</w:t>
      </w:r>
      <w:r>
        <w:rPr>
          <w:rFonts w:ascii="Times New Roman" w:eastAsia="Calibri" w:hAnsi="Times New Roman" w:cs="Times New Roman"/>
          <w:b/>
          <w:bCs/>
          <w:sz w:val="24"/>
          <w:szCs w:val="24"/>
        </w:rPr>
        <w:t>u</w:t>
      </w:r>
      <w:r w:rsidRPr="0090260A">
        <w:rPr>
          <w:rFonts w:ascii="Times New Roman" w:eastAsia="Calibri" w:hAnsi="Times New Roman" w:cs="Times New Roman"/>
          <w:b/>
          <w:bCs/>
          <w:sz w:val="24"/>
          <w:szCs w:val="24"/>
        </w:rPr>
        <w:t xml:space="preserve"> "</w:t>
      </w:r>
      <w:r w:rsidRPr="002C0B86">
        <w:rPr>
          <w:rFonts w:ascii="Times New Roman" w:eastAsia="Times New Roman" w:hAnsi="Times New Roman" w:cs="Times New Roman"/>
          <w:b/>
          <w:bCs/>
          <w:sz w:val="24"/>
          <w:lang w:eastAsia="lv-LV"/>
        </w:rPr>
        <w:t>Apdrošināšanas un pārapdrošināšanas sabiedrību un ārvalsts apdrošinātāju filiāļu grāmatvedības, gada pārskata un konsolidētā gada pārskata sagatavošanas noteikumi</w:t>
      </w:r>
      <w:r w:rsidRPr="0090260A">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apkopojums</w:t>
      </w:r>
    </w:p>
    <w:tbl>
      <w:tblPr>
        <w:tblStyle w:val="TableGrid"/>
        <w:tblW w:w="0" w:type="auto"/>
        <w:tblLook w:val="04A0" w:firstRow="1" w:lastRow="0" w:firstColumn="1" w:lastColumn="0" w:noHBand="0" w:noVBand="1"/>
      </w:tblPr>
      <w:tblGrid>
        <w:gridCol w:w="943"/>
        <w:gridCol w:w="4439"/>
        <w:gridCol w:w="4394"/>
        <w:gridCol w:w="4172"/>
      </w:tblGrid>
      <w:tr w:rsidR="002C0B86" w:rsidRPr="0020694F" w14:paraId="607CF86D" w14:textId="77777777" w:rsidTr="004F34CB">
        <w:tc>
          <w:tcPr>
            <w:tcW w:w="943" w:type="dxa"/>
          </w:tcPr>
          <w:p w14:paraId="2AC2ED74" w14:textId="77777777" w:rsidR="002C0B86" w:rsidRPr="0020694F" w:rsidRDefault="002C0B86" w:rsidP="004F34CB">
            <w:pPr>
              <w:rPr>
                <w:rFonts w:ascii="Times New Roman" w:hAnsi="Times New Roman" w:cs="Times New Roman"/>
                <w:b/>
                <w:bCs/>
                <w:sz w:val="24"/>
                <w:szCs w:val="24"/>
              </w:rPr>
            </w:pPr>
            <w:r w:rsidRPr="00772972">
              <w:rPr>
                <w:rFonts w:ascii="Times New Roman" w:hAnsi="Times New Roman" w:cs="Times New Roman"/>
                <w:b/>
                <w:bCs/>
                <w:sz w:val="24"/>
                <w:szCs w:val="24"/>
              </w:rPr>
              <w:t>Nr.p.k.</w:t>
            </w:r>
          </w:p>
        </w:tc>
        <w:tc>
          <w:tcPr>
            <w:tcW w:w="4439" w:type="dxa"/>
          </w:tcPr>
          <w:p w14:paraId="131C4D91" w14:textId="77777777" w:rsidR="002C0B86" w:rsidRPr="0020694F" w:rsidRDefault="002C0B86" w:rsidP="004F34CB">
            <w:pPr>
              <w:rPr>
                <w:rFonts w:ascii="Times New Roman" w:hAnsi="Times New Roman" w:cs="Times New Roman"/>
                <w:b/>
                <w:bCs/>
                <w:sz w:val="24"/>
                <w:szCs w:val="24"/>
              </w:rPr>
            </w:pPr>
            <w:r w:rsidRPr="0020694F">
              <w:rPr>
                <w:rFonts w:ascii="Times New Roman" w:hAnsi="Times New Roman" w:cs="Times New Roman"/>
                <w:b/>
                <w:bCs/>
                <w:sz w:val="24"/>
                <w:szCs w:val="24"/>
              </w:rPr>
              <w:t>Sabiedrības līdzdalībai nodotā projekta redakcija (konkrēta punkta redakcija)</w:t>
            </w:r>
          </w:p>
        </w:tc>
        <w:tc>
          <w:tcPr>
            <w:tcW w:w="4394" w:type="dxa"/>
          </w:tcPr>
          <w:p w14:paraId="3FD85FA9" w14:textId="77777777" w:rsidR="002C0B86" w:rsidRPr="0020694F" w:rsidRDefault="002C0B86" w:rsidP="004F34CB">
            <w:pPr>
              <w:rPr>
                <w:rFonts w:ascii="Times New Roman" w:hAnsi="Times New Roman" w:cs="Times New Roman"/>
                <w:b/>
                <w:bCs/>
                <w:sz w:val="24"/>
                <w:szCs w:val="24"/>
              </w:rPr>
            </w:pPr>
            <w:r w:rsidRPr="0020694F">
              <w:rPr>
                <w:rFonts w:ascii="Times New Roman" w:hAnsi="Times New Roman" w:cs="Times New Roman"/>
                <w:b/>
                <w:bCs/>
                <w:sz w:val="24"/>
                <w:szCs w:val="24"/>
              </w:rPr>
              <w:t>Izteiktais iebildums (priekšlikums) par projekta konkrēto punktu, norādot sabiedrības pārstāvi</w:t>
            </w:r>
          </w:p>
        </w:tc>
        <w:tc>
          <w:tcPr>
            <w:tcW w:w="4172" w:type="dxa"/>
          </w:tcPr>
          <w:p w14:paraId="6ADAA1C5" w14:textId="77777777" w:rsidR="002C0B86" w:rsidRPr="0020694F" w:rsidRDefault="002C0B86" w:rsidP="004F34CB">
            <w:pPr>
              <w:rPr>
                <w:rFonts w:ascii="Times New Roman" w:hAnsi="Times New Roman" w:cs="Times New Roman"/>
                <w:b/>
                <w:bCs/>
                <w:sz w:val="24"/>
                <w:szCs w:val="24"/>
              </w:rPr>
            </w:pPr>
            <w:r w:rsidRPr="0020694F">
              <w:rPr>
                <w:rFonts w:ascii="Times New Roman" w:hAnsi="Times New Roman" w:cs="Times New Roman"/>
                <w:b/>
                <w:bCs/>
                <w:sz w:val="24"/>
                <w:szCs w:val="24"/>
              </w:rPr>
              <w:t>Latvijas Bankas viedoklis par izteikto iebildumu (priekšlikumu) un norāde, vai tas ņemts vērā</w:t>
            </w:r>
          </w:p>
        </w:tc>
      </w:tr>
      <w:tr w:rsidR="002C0B86" w:rsidRPr="0020694F" w14:paraId="5181A9DB" w14:textId="77777777" w:rsidTr="004F34CB">
        <w:tc>
          <w:tcPr>
            <w:tcW w:w="943" w:type="dxa"/>
          </w:tcPr>
          <w:p w14:paraId="7397A9EE" w14:textId="42A1F4D6" w:rsidR="002C0B86" w:rsidRPr="00772972" w:rsidRDefault="00B535BE" w:rsidP="004F34CB">
            <w:pPr>
              <w:rPr>
                <w:rFonts w:ascii="Times New Roman" w:hAnsi="Times New Roman" w:cs="Times New Roman"/>
                <w:b/>
                <w:bCs/>
                <w:sz w:val="24"/>
                <w:szCs w:val="24"/>
              </w:rPr>
            </w:pPr>
            <w:r>
              <w:rPr>
                <w:rFonts w:ascii="Times New Roman" w:hAnsi="Times New Roman" w:cs="Times New Roman"/>
                <w:b/>
                <w:bCs/>
                <w:sz w:val="24"/>
                <w:szCs w:val="24"/>
              </w:rPr>
              <w:t>1.</w:t>
            </w:r>
          </w:p>
        </w:tc>
        <w:tc>
          <w:tcPr>
            <w:tcW w:w="4439" w:type="dxa"/>
          </w:tcPr>
          <w:p w14:paraId="1C5F0613" w14:textId="7F1511C0" w:rsidR="002C0B86" w:rsidRPr="00B535BE" w:rsidRDefault="00B535BE" w:rsidP="004F34CB">
            <w:pPr>
              <w:rPr>
                <w:rFonts w:ascii="Times New Roman" w:hAnsi="Times New Roman" w:cs="Times New Roman"/>
                <w:sz w:val="24"/>
                <w:szCs w:val="24"/>
              </w:rPr>
            </w:pPr>
            <w:r w:rsidRPr="00B535BE">
              <w:rPr>
                <w:rFonts w:ascii="Times New Roman" w:hAnsi="Times New Roman" w:cs="Times New Roman"/>
                <w:sz w:val="24"/>
                <w:szCs w:val="24"/>
              </w:rPr>
              <w:t>Par gada pārskatā ietilpstošo finanšu pārskatu posteņ</w:t>
            </w:r>
            <w:r>
              <w:rPr>
                <w:rFonts w:ascii="Times New Roman" w:hAnsi="Times New Roman" w:cs="Times New Roman"/>
                <w:sz w:val="24"/>
                <w:szCs w:val="24"/>
              </w:rPr>
              <w:t>u detalizācijas pakāpi</w:t>
            </w:r>
            <w:r w:rsidRPr="00B535BE">
              <w:rPr>
                <w:rFonts w:ascii="Times New Roman" w:hAnsi="Times New Roman" w:cs="Times New Roman"/>
                <w:sz w:val="24"/>
                <w:szCs w:val="24"/>
              </w:rPr>
              <w:t>.</w:t>
            </w:r>
          </w:p>
        </w:tc>
        <w:tc>
          <w:tcPr>
            <w:tcW w:w="4394" w:type="dxa"/>
          </w:tcPr>
          <w:p w14:paraId="25650C35" w14:textId="72DCE79F" w:rsidR="002C0B86" w:rsidRPr="00B535BE" w:rsidRDefault="00B535BE" w:rsidP="004F34CB">
            <w:pPr>
              <w:rPr>
                <w:rFonts w:ascii="Times New Roman" w:eastAsia="Calibri" w:hAnsi="Times New Roman" w:cs="Times New Roman"/>
                <w:sz w:val="24"/>
                <w:szCs w:val="24"/>
                <w:shd w:val="clear" w:color="auto" w:fill="FFFFFF"/>
              </w:rPr>
            </w:pPr>
            <w:r w:rsidRPr="00B535BE">
              <w:rPr>
                <w:rFonts w:ascii="Times New Roman" w:eastAsia="Calibri" w:hAnsi="Times New Roman" w:cs="Times New Roman"/>
                <w:b/>
                <w:bCs/>
                <w:sz w:val="24"/>
                <w:szCs w:val="24"/>
                <w:u w:val="single"/>
              </w:rPr>
              <w:t>Valsts ieņēmumu dienests</w:t>
            </w:r>
            <w:r w:rsidRPr="00B535BE">
              <w:rPr>
                <w:rFonts w:ascii="Times New Roman" w:eastAsia="Calibri" w:hAnsi="Times New Roman" w:cs="Times New Roman"/>
                <w:sz w:val="24"/>
                <w:szCs w:val="24"/>
              </w:rPr>
              <w:t xml:space="preserve"> elektroniskās deklarēšanas sistēmā (turpmāk – EDS) </w:t>
            </w:r>
            <w:r w:rsidRPr="00B535BE">
              <w:rPr>
                <w:rFonts w:ascii="Times New Roman" w:eastAsia="Calibri" w:hAnsi="Times New Roman" w:cs="Times New Roman"/>
                <w:sz w:val="24"/>
                <w:szCs w:val="24"/>
                <w:shd w:val="clear" w:color="auto" w:fill="FFFFFF"/>
              </w:rPr>
              <w:t>izveidojis strukturētās ievadformas ar finanšu pārskata sastāvdaļām un posteņiem atbilstoši finanšu tirgu pārraugošās iestādes (līdz reorganizācijai – Finanšu un kapitāla tirgus komisija) noteikumiem par gada pārskatu sagatavošanu.</w:t>
            </w:r>
          </w:p>
          <w:p w14:paraId="215F072F" w14:textId="77777777" w:rsidR="00B535BE" w:rsidRPr="00B535BE" w:rsidRDefault="00B535BE" w:rsidP="004F34CB">
            <w:pPr>
              <w:rPr>
                <w:rFonts w:ascii="Times New Roman" w:eastAsia="Calibri" w:hAnsi="Times New Roman" w:cs="Times New Roman"/>
                <w:sz w:val="24"/>
                <w:szCs w:val="24"/>
              </w:rPr>
            </w:pPr>
            <w:r w:rsidRPr="00B535BE">
              <w:rPr>
                <w:rFonts w:ascii="Times New Roman" w:eastAsia="Calibri" w:hAnsi="Times New Roman" w:cs="Times New Roman"/>
                <w:sz w:val="24"/>
                <w:szCs w:val="24"/>
              </w:rPr>
              <w:t>Noteikumu projekts paredz izmaiņas apdrošināšanas sabiedrību bilances, peļņas vai zaudējumu aprēķina, naudas plūsmas pārskata un kapitāla un rezervju izmaiņu pārskata posteņos, kā rezultātā Valsts ieņēmumu dienestam nepieciešams pārveidot EDS izveidoto strukturēto shēmu, kas savukārt prasīs attiecīgu finansējumu.</w:t>
            </w:r>
          </w:p>
          <w:p w14:paraId="0478CF10" w14:textId="6A0AB803" w:rsidR="00B535BE" w:rsidRPr="00B535BE" w:rsidRDefault="00B535BE" w:rsidP="004F34CB">
            <w:pPr>
              <w:rPr>
                <w:rFonts w:ascii="Times New Roman" w:hAnsi="Times New Roman" w:cs="Times New Roman"/>
                <w:sz w:val="24"/>
                <w:szCs w:val="24"/>
              </w:rPr>
            </w:pPr>
            <w:r w:rsidRPr="00B535BE">
              <w:rPr>
                <w:rFonts w:ascii="Times New Roman" w:eastAsia="Calibri" w:hAnsi="Times New Roman" w:cs="Times New Roman"/>
                <w:sz w:val="24"/>
                <w:szCs w:val="24"/>
              </w:rPr>
              <w:lastRenderedPageBreak/>
              <w:t>Valsts ieņēmumu dienests lūdz noteikumu projekta anotācijā iekļaut informāciju par izmaiņu ietekmi uz valsts budžetu.</w:t>
            </w:r>
          </w:p>
        </w:tc>
        <w:tc>
          <w:tcPr>
            <w:tcW w:w="4172" w:type="dxa"/>
          </w:tcPr>
          <w:p w14:paraId="6F1B1D44" w14:textId="38B5C3AC" w:rsidR="008615EF" w:rsidRPr="008615EF" w:rsidRDefault="008615EF" w:rsidP="008615EF">
            <w:pPr>
              <w:rPr>
                <w:rFonts w:ascii="Times New Roman" w:eastAsia="Aptos" w:hAnsi="Times New Roman" w:cs="Times New Roman"/>
                <w:b/>
                <w:bCs/>
                <w:sz w:val="24"/>
                <w:szCs w:val="24"/>
              </w:rPr>
            </w:pPr>
            <w:r w:rsidRPr="008615EF">
              <w:rPr>
                <w:rFonts w:ascii="Times New Roman" w:eastAsia="Aptos" w:hAnsi="Times New Roman" w:cs="Times New Roman"/>
                <w:b/>
                <w:bCs/>
                <w:sz w:val="24"/>
                <w:szCs w:val="24"/>
              </w:rPr>
              <w:lastRenderedPageBreak/>
              <w:t>Nav ņemts vērā.</w:t>
            </w:r>
          </w:p>
          <w:p w14:paraId="76A6BAF8" w14:textId="5C84D67E" w:rsidR="008615EF" w:rsidRPr="008615EF" w:rsidRDefault="008615EF" w:rsidP="008615EF">
            <w:pPr>
              <w:rPr>
                <w:rFonts w:ascii="Times New Roman" w:eastAsia="Aptos" w:hAnsi="Times New Roman" w:cs="Times New Roman"/>
                <w:sz w:val="24"/>
                <w:szCs w:val="24"/>
              </w:rPr>
            </w:pPr>
            <w:r w:rsidRPr="008615EF">
              <w:rPr>
                <w:rFonts w:ascii="Times New Roman" w:eastAsia="Aptos" w:hAnsi="Times New Roman" w:cs="Times New Roman"/>
                <w:sz w:val="24"/>
                <w:szCs w:val="24"/>
              </w:rPr>
              <w:t xml:space="preserve">Latvijas Banka, izstrādājot noteikumus par gada pārskata sagatavošanu kredītiestādēm, ieguldījumu brokeru sabiedrībām, ieguldījumu pārvaldes sabiedrībām, privātajiem pensiju fondiem un apdrošināšanas sabiedrībām, </w:t>
            </w:r>
            <w:r w:rsidR="000057B5">
              <w:rPr>
                <w:rFonts w:ascii="Times New Roman" w:eastAsia="Aptos" w:hAnsi="Times New Roman" w:cs="Times New Roman"/>
                <w:sz w:val="24"/>
                <w:szCs w:val="24"/>
              </w:rPr>
              <w:t xml:space="preserve">pamatojas uz </w:t>
            </w:r>
            <w:r w:rsidRPr="008615EF">
              <w:rPr>
                <w:rFonts w:ascii="Times New Roman" w:eastAsia="Aptos" w:hAnsi="Times New Roman" w:cs="Times New Roman"/>
                <w:sz w:val="24"/>
                <w:szCs w:val="24"/>
              </w:rPr>
              <w:t xml:space="preserve">prasībām, kuras nosaka Starptautiskie grāmatvedības standarti attiecībā uz finanšu pārskatu posteņu uzrādīšanu un vērtēšanu, kā arī </w:t>
            </w:r>
            <w:r w:rsidR="000057B5">
              <w:rPr>
                <w:rFonts w:ascii="Times New Roman" w:eastAsia="Aptos" w:hAnsi="Times New Roman" w:cs="Times New Roman"/>
                <w:sz w:val="24"/>
                <w:szCs w:val="24"/>
              </w:rPr>
              <w:t xml:space="preserve">uz </w:t>
            </w:r>
            <w:r w:rsidRPr="008615EF">
              <w:rPr>
                <w:rFonts w:ascii="Times New Roman" w:eastAsia="Aptos" w:hAnsi="Times New Roman" w:cs="Times New Roman"/>
                <w:sz w:val="24"/>
                <w:szCs w:val="24"/>
              </w:rPr>
              <w:t>attiecīgo grāmatvedības direktīvu prasībām jomās, kuras neregulē Starptautiskie grāmatvedības standarti (vadības ziņojums un pielikumā atklājamā informācija). Š</w:t>
            </w:r>
            <w:r w:rsidR="000057B5">
              <w:rPr>
                <w:rFonts w:ascii="Times New Roman" w:eastAsia="Aptos" w:hAnsi="Times New Roman" w:cs="Times New Roman"/>
                <w:sz w:val="24"/>
                <w:szCs w:val="24"/>
              </w:rPr>
              <w:t>o</w:t>
            </w:r>
            <w:r w:rsidRPr="008615EF">
              <w:rPr>
                <w:rFonts w:ascii="Times New Roman" w:eastAsia="Aptos" w:hAnsi="Times New Roman" w:cs="Times New Roman"/>
                <w:sz w:val="24"/>
                <w:szCs w:val="24"/>
              </w:rPr>
              <w:t>gad, gatavojot attiecīgo tirgus dalībnieku gada pārskata sagatavošanas noteikumu</w:t>
            </w:r>
            <w:r w:rsidR="000057B5">
              <w:rPr>
                <w:rFonts w:ascii="Times New Roman" w:eastAsia="Aptos" w:hAnsi="Times New Roman" w:cs="Times New Roman"/>
                <w:sz w:val="24"/>
                <w:szCs w:val="24"/>
              </w:rPr>
              <w:t xml:space="preserve"> projektu</w:t>
            </w:r>
            <w:r w:rsidRPr="008615EF">
              <w:rPr>
                <w:rFonts w:ascii="Times New Roman" w:eastAsia="Aptos" w:hAnsi="Times New Roman" w:cs="Times New Roman"/>
                <w:sz w:val="24"/>
                <w:szCs w:val="24"/>
              </w:rPr>
              <w:t xml:space="preserve"> pārapstiprinšanai no Finanšu un kapitāla </w:t>
            </w:r>
            <w:r w:rsidRPr="008615EF">
              <w:rPr>
                <w:rFonts w:ascii="Times New Roman" w:eastAsia="Aptos" w:hAnsi="Times New Roman" w:cs="Times New Roman"/>
                <w:sz w:val="24"/>
                <w:szCs w:val="24"/>
              </w:rPr>
              <w:lastRenderedPageBreak/>
              <w:t xml:space="preserve">tirgus komisijas </w:t>
            </w:r>
            <w:r w:rsidR="00BC0624">
              <w:rPr>
                <w:rFonts w:ascii="Times New Roman" w:eastAsia="Aptos" w:hAnsi="Times New Roman" w:cs="Times New Roman"/>
                <w:sz w:val="24"/>
                <w:szCs w:val="24"/>
              </w:rPr>
              <w:t xml:space="preserve">(turpmāk – FKTK) </w:t>
            </w:r>
            <w:r w:rsidRPr="008615EF">
              <w:rPr>
                <w:rFonts w:ascii="Times New Roman" w:eastAsia="Aptos" w:hAnsi="Times New Roman" w:cs="Times New Roman"/>
                <w:sz w:val="24"/>
                <w:szCs w:val="24"/>
              </w:rPr>
              <w:t>normatīvajiem noteikumiem par Latvijas Bankas noteikumiem, tika izvērtēta lietderība noteikt detalizētu posteņu uzskaitījumu. Jebkurā gadījumā, sagatavojot finanšu pārskatus, jāpiemēro vispārējie finanšu pārskatu sagatavošanas principi, t.</w:t>
            </w:r>
            <w:r w:rsidR="000057B5">
              <w:rPr>
                <w:rFonts w:ascii="Times New Roman" w:eastAsia="Aptos" w:hAnsi="Times New Roman" w:cs="Times New Roman"/>
                <w:sz w:val="24"/>
                <w:szCs w:val="24"/>
              </w:rPr>
              <w:t> </w:t>
            </w:r>
            <w:r w:rsidRPr="008615EF">
              <w:rPr>
                <w:rFonts w:ascii="Times New Roman" w:eastAsia="Aptos" w:hAnsi="Times New Roman" w:cs="Times New Roman"/>
                <w:sz w:val="24"/>
                <w:szCs w:val="24"/>
              </w:rPr>
              <w:t>sk. būtiskuma princips, kas pieprasa individuālu pieeju, lai finanšu pārskati sniegtu skaidru un patiesu priekšstatu par tirgus dalībnieku finansiālo stāvokli, darbības rezultātiem un naudas plūsmu.</w:t>
            </w:r>
          </w:p>
          <w:p w14:paraId="755FB5ED" w14:textId="77777777" w:rsidR="008615EF" w:rsidRPr="008615EF" w:rsidRDefault="008615EF" w:rsidP="008615EF">
            <w:pPr>
              <w:rPr>
                <w:rFonts w:ascii="Times New Roman" w:eastAsia="Aptos" w:hAnsi="Times New Roman" w:cs="Times New Roman"/>
                <w:sz w:val="24"/>
                <w:szCs w:val="24"/>
              </w:rPr>
            </w:pPr>
          </w:p>
          <w:p w14:paraId="73D32C6C" w14:textId="5B594CC5" w:rsidR="008615EF" w:rsidRPr="008615EF" w:rsidRDefault="008615EF" w:rsidP="008615EF">
            <w:pPr>
              <w:rPr>
                <w:rFonts w:ascii="Times New Roman" w:eastAsia="Aptos" w:hAnsi="Times New Roman" w:cs="Times New Roman"/>
                <w:sz w:val="24"/>
                <w:szCs w:val="24"/>
              </w:rPr>
            </w:pPr>
            <w:r w:rsidRPr="008615EF">
              <w:rPr>
                <w:rFonts w:ascii="Times New Roman" w:eastAsia="Aptos" w:hAnsi="Times New Roman" w:cs="Times New Roman"/>
                <w:sz w:val="24"/>
                <w:szCs w:val="24"/>
              </w:rPr>
              <w:t>Ņemot vērā saņemto informāciju</w:t>
            </w:r>
            <w:r w:rsidR="000057B5">
              <w:rPr>
                <w:rFonts w:ascii="Times New Roman" w:eastAsia="Aptos" w:hAnsi="Times New Roman" w:cs="Times New Roman"/>
                <w:sz w:val="24"/>
                <w:szCs w:val="24"/>
              </w:rPr>
              <w:t xml:space="preserve"> par to</w:t>
            </w:r>
            <w:r w:rsidRPr="008615EF">
              <w:rPr>
                <w:rFonts w:ascii="Times New Roman" w:eastAsia="Aptos" w:hAnsi="Times New Roman" w:cs="Times New Roman"/>
                <w:sz w:val="24"/>
                <w:szCs w:val="24"/>
              </w:rPr>
              <w:t xml:space="preserve">, ka Valsts ieņēmumu dienests elektroniskās deklarēšanās sistēmā ir izveidojis strukturētas ievadformas ar finanšu pārskatu sastāvdaļām un posteņiem atbilstoši FKTK normatīvajiem noteikumiem par gada pārskata sagatavošanu, </w:t>
            </w:r>
            <w:r>
              <w:rPr>
                <w:rFonts w:ascii="Times New Roman" w:eastAsia="Aptos" w:hAnsi="Times New Roman" w:cs="Times New Roman"/>
                <w:sz w:val="24"/>
                <w:szCs w:val="24"/>
              </w:rPr>
              <w:t>Latvijas Banka norāda</w:t>
            </w:r>
            <w:r w:rsidRPr="008615EF">
              <w:rPr>
                <w:rFonts w:ascii="Times New Roman" w:eastAsia="Aptos" w:hAnsi="Times New Roman" w:cs="Times New Roman"/>
                <w:sz w:val="24"/>
                <w:szCs w:val="24"/>
              </w:rPr>
              <w:t>, ka finanšu pārskatu posteņu izkārtojums FKTK normatīvajos noteikumos ir norādīts kā paraugs, t.</w:t>
            </w:r>
            <w:r w:rsidR="000057B5">
              <w:rPr>
                <w:rFonts w:ascii="Times New Roman" w:eastAsia="Aptos" w:hAnsi="Times New Roman" w:cs="Times New Roman"/>
                <w:sz w:val="24"/>
                <w:szCs w:val="24"/>
              </w:rPr>
              <w:t> </w:t>
            </w:r>
            <w:r w:rsidRPr="008615EF">
              <w:rPr>
                <w:rFonts w:ascii="Times New Roman" w:eastAsia="Aptos" w:hAnsi="Times New Roman" w:cs="Times New Roman"/>
                <w:sz w:val="24"/>
                <w:szCs w:val="24"/>
              </w:rPr>
              <w:t xml:space="preserve">i., ieteicams, bet ne obligāts. </w:t>
            </w:r>
          </w:p>
          <w:p w14:paraId="075C17A9" w14:textId="77777777" w:rsidR="008615EF" w:rsidRPr="008615EF" w:rsidRDefault="008615EF" w:rsidP="008615EF">
            <w:pPr>
              <w:rPr>
                <w:rFonts w:ascii="Times New Roman" w:eastAsia="Aptos" w:hAnsi="Times New Roman" w:cs="Times New Roman"/>
                <w:sz w:val="24"/>
                <w:szCs w:val="24"/>
              </w:rPr>
            </w:pPr>
          </w:p>
          <w:p w14:paraId="73045B93" w14:textId="6F259A34" w:rsidR="008615EF" w:rsidRPr="008615EF" w:rsidRDefault="008615EF" w:rsidP="008615EF">
            <w:pPr>
              <w:rPr>
                <w:rFonts w:ascii="Times New Roman" w:eastAsia="Aptos" w:hAnsi="Times New Roman" w:cs="Times New Roman"/>
                <w:sz w:val="24"/>
                <w:szCs w:val="24"/>
              </w:rPr>
            </w:pPr>
            <w:r w:rsidRPr="008615EF">
              <w:rPr>
                <w:rFonts w:ascii="Times New Roman" w:eastAsia="Aptos" w:hAnsi="Times New Roman" w:cs="Times New Roman"/>
                <w:sz w:val="24"/>
                <w:szCs w:val="24"/>
              </w:rPr>
              <w:t xml:space="preserve">Papildus Latvijas Banka informē, ka saskaņā ar Latvijas Bankas iekšējās kārtības noteikumiem, izstrādājot </w:t>
            </w:r>
            <w:r w:rsidRPr="008615EF">
              <w:rPr>
                <w:rFonts w:ascii="Times New Roman" w:eastAsia="Aptos" w:hAnsi="Times New Roman" w:cs="Times New Roman"/>
                <w:sz w:val="24"/>
                <w:szCs w:val="24"/>
              </w:rPr>
              <w:lastRenderedPageBreak/>
              <w:t>noteikumu projektus, to anotācijā tiek iekļauta informācija par ietekmes izvērtējumu uz Latvijas Bankas budžetu, bet ne uz citu iestāžu budžetiem, tā</w:t>
            </w:r>
            <w:r w:rsidR="000057B5">
              <w:rPr>
                <w:rFonts w:ascii="Times New Roman" w:eastAsia="Aptos" w:hAnsi="Times New Roman" w:cs="Times New Roman"/>
                <w:sz w:val="24"/>
                <w:szCs w:val="24"/>
              </w:rPr>
              <w:t>pēc</w:t>
            </w:r>
            <w:r w:rsidRPr="008615EF">
              <w:rPr>
                <w:rFonts w:ascii="Times New Roman" w:eastAsia="Aptos" w:hAnsi="Times New Roman" w:cs="Times New Roman"/>
                <w:sz w:val="24"/>
                <w:szCs w:val="24"/>
              </w:rPr>
              <w:t xml:space="preserve"> minēto informāciju pieņemam zināšanai.</w:t>
            </w:r>
          </w:p>
          <w:p w14:paraId="29AC4938" w14:textId="77777777" w:rsidR="002C0B86" w:rsidRPr="008615EF" w:rsidRDefault="002C0B86" w:rsidP="004F34CB">
            <w:pPr>
              <w:rPr>
                <w:rFonts w:ascii="Times New Roman" w:hAnsi="Times New Roman" w:cs="Times New Roman"/>
                <w:b/>
                <w:bCs/>
                <w:sz w:val="24"/>
                <w:szCs w:val="24"/>
              </w:rPr>
            </w:pPr>
          </w:p>
        </w:tc>
      </w:tr>
    </w:tbl>
    <w:p w14:paraId="2407BDA6" w14:textId="77777777" w:rsidR="006952E1" w:rsidRPr="000D4B57" w:rsidRDefault="006952E1" w:rsidP="006952E1">
      <w:pPr>
        <w:rPr>
          <w:rFonts w:ascii="Times New Roman" w:hAnsi="Times New Roman" w:cs="Times New Roman"/>
          <w:color w:val="000000" w:themeColor="text1"/>
          <w:sz w:val="24"/>
          <w:szCs w:val="24"/>
        </w:rPr>
      </w:pPr>
    </w:p>
    <w:sectPr w:rsidR="006952E1" w:rsidRPr="000D4B57" w:rsidSect="007B1360">
      <w:pgSz w:w="16838" w:h="11906" w:orient="landscape"/>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766BA" w14:textId="77777777" w:rsidR="006426D7" w:rsidRDefault="006426D7" w:rsidP="004D7D20">
      <w:pPr>
        <w:spacing w:after="0" w:line="240" w:lineRule="auto"/>
      </w:pPr>
      <w:r>
        <w:separator/>
      </w:r>
    </w:p>
  </w:endnote>
  <w:endnote w:type="continuationSeparator" w:id="0">
    <w:p w14:paraId="0EE285D3" w14:textId="77777777" w:rsidR="006426D7" w:rsidRDefault="006426D7"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441FE" w14:textId="77777777" w:rsidR="006426D7" w:rsidRDefault="006426D7" w:rsidP="004D7D20">
      <w:pPr>
        <w:spacing w:after="0" w:line="240" w:lineRule="auto"/>
      </w:pPr>
      <w:r>
        <w:separator/>
      </w:r>
    </w:p>
  </w:footnote>
  <w:footnote w:type="continuationSeparator" w:id="0">
    <w:p w14:paraId="5D4449E6" w14:textId="77777777" w:rsidR="006426D7" w:rsidRDefault="006426D7"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Header"/>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B2170"/>
    <w:multiLevelType w:val="hybridMultilevel"/>
    <w:tmpl w:val="C0B43BC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FB42F2"/>
    <w:multiLevelType w:val="hybridMultilevel"/>
    <w:tmpl w:val="BA9698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3943EE"/>
    <w:multiLevelType w:val="hybridMultilevel"/>
    <w:tmpl w:val="0F548D9E"/>
    <w:lvl w:ilvl="0" w:tplc="6AF48CB0">
      <w:start w:val="1"/>
      <w:numFmt w:val="decimal"/>
      <w:lvlText w:val="%1)"/>
      <w:lvlJc w:val="left"/>
      <w:pPr>
        <w:ind w:left="720" w:hanging="360"/>
      </w:pPr>
      <w:rPr>
        <w:rFonts w:eastAsiaTheme="minorHAnsi" w:hint="default"/>
        <w:b w:val="0"/>
        <w:bCs/>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454902"/>
    <w:multiLevelType w:val="hybridMultilevel"/>
    <w:tmpl w:val="1E9483E6"/>
    <w:lvl w:ilvl="0" w:tplc="AF3065CC">
      <w:start w:val="1"/>
      <w:numFmt w:val="decimal"/>
      <w:lvlText w:val="%1)"/>
      <w:lvlJc w:val="left"/>
      <w:pPr>
        <w:ind w:left="720" w:hanging="360"/>
      </w:pPr>
    </w:lvl>
    <w:lvl w:ilvl="1" w:tplc="A1B403BC">
      <w:start w:val="1"/>
      <w:numFmt w:val="decimal"/>
      <w:lvlText w:val="%2)"/>
      <w:lvlJc w:val="left"/>
      <w:pPr>
        <w:ind w:left="720" w:hanging="360"/>
      </w:pPr>
    </w:lvl>
    <w:lvl w:ilvl="2" w:tplc="A4DC00F6">
      <w:start w:val="1"/>
      <w:numFmt w:val="decimal"/>
      <w:lvlText w:val="%3)"/>
      <w:lvlJc w:val="left"/>
      <w:pPr>
        <w:ind w:left="720" w:hanging="360"/>
      </w:pPr>
    </w:lvl>
    <w:lvl w:ilvl="3" w:tplc="5F0A5FD0">
      <w:start w:val="1"/>
      <w:numFmt w:val="decimal"/>
      <w:lvlText w:val="%4)"/>
      <w:lvlJc w:val="left"/>
      <w:pPr>
        <w:ind w:left="720" w:hanging="360"/>
      </w:pPr>
    </w:lvl>
    <w:lvl w:ilvl="4" w:tplc="35AEA982">
      <w:start w:val="1"/>
      <w:numFmt w:val="decimal"/>
      <w:lvlText w:val="%5)"/>
      <w:lvlJc w:val="left"/>
      <w:pPr>
        <w:ind w:left="720" w:hanging="360"/>
      </w:pPr>
    </w:lvl>
    <w:lvl w:ilvl="5" w:tplc="784C9722">
      <w:start w:val="1"/>
      <w:numFmt w:val="decimal"/>
      <w:lvlText w:val="%6)"/>
      <w:lvlJc w:val="left"/>
      <w:pPr>
        <w:ind w:left="720" w:hanging="360"/>
      </w:pPr>
    </w:lvl>
    <w:lvl w:ilvl="6" w:tplc="9F642C2C">
      <w:start w:val="1"/>
      <w:numFmt w:val="decimal"/>
      <w:lvlText w:val="%7)"/>
      <w:lvlJc w:val="left"/>
      <w:pPr>
        <w:ind w:left="720" w:hanging="360"/>
      </w:pPr>
    </w:lvl>
    <w:lvl w:ilvl="7" w:tplc="F0E87C1C">
      <w:start w:val="1"/>
      <w:numFmt w:val="decimal"/>
      <w:lvlText w:val="%8)"/>
      <w:lvlJc w:val="left"/>
      <w:pPr>
        <w:ind w:left="720" w:hanging="360"/>
      </w:pPr>
    </w:lvl>
    <w:lvl w:ilvl="8" w:tplc="B1EC17A8">
      <w:start w:val="1"/>
      <w:numFmt w:val="decimal"/>
      <w:lvlText w:val="%9)"/>
      <w:lvlJc w:val="left"/>
      <w:pPr>
        <w:ind w:left="720" w:hanging="360"/>
      </w:pPr>
    </w:lvl>
  </w:abstractNum>
  <w:abstractNum w:abstractNumId="4"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D092ABC"/>
    <w:multiLevelType w:val="hybridMultilevel"/>
    <w:tmpl w:val="69765B7C"/>
    <w:lvl w:ilvl="0" w:tplc="26DE9D46">
      <w:start w:val="1"/>
      <w:numFmt w:val="decimal"/>
      <w:lvlText w:val="%1)"/>
      <w:lvlJc w:val="left"/>
      <w:pPr>
        <w:ind w:left="1020" w:hanging="360"/>
      </w:pPr>
    </w:lvl>
    <w:lvl w:ilvl="1" w:tplc="21368872">
      <w:start w:val="1"/>
      <w:numFmt w:val="decimal"/>
      <w:lvlText w:val="%2)"/>
      <w:lvlJc w:val="left"/>
      <w:pPr>
        <w:ind w:left="1020" w:hanging="360"/>
      </w:pPr>
    </w:lvl>
    <w:lvl w:ilvl="2" w:tplc="FC340AB4">
      <w:start w:val="1"/>
      <w:numFmt w:val="decimal"/>
      <w:lvlText w:val="%3)"/>
      <w:lvlJc w:val="left"/>
      <w:pPr>
        <w:ind w:left="1020" w:hanging="360"/>
      </w:pPr>
    </w:lvl>
    <w:lvl w:ilvl="3" w:tplc="F7CE30A4">
      <w:start w:val="1"/>
      <w:numFmt w:val="decimal"/>
      <w:lvlText w:val="%4)"/>
      <w:lvlJc w:val="left"/>
      <w:pPr>
        <w:ind w:left="1020" w:hanging="360"/>
      </w:pPr>
    </w:lvl>
    <w:lvl w:ilvl="4" w:tplc="92647F62">
      <w:start w:val="1"/>
      <w:numFmt w:val="decimal"/>
      <w:lvlText w:val="%5)"/>
      <w:lvlJc w:val="left"/>
      <w:pPr>
        <w:ind w:left="1020" w:hanging="360"/>
      </w:pPr>
    </w:lvl>
    <w:lvl w:ilvl="5" w:tplc="500AE0D4">
      <w:start w:val="1"/>
      <w:numFmt w:val="decimal"/>
      <w:lvlText w:val="%6)"/>
      <w:lvlJc w:val="left"/>
      <w:pPr>
        <w:ind w:left="1020" w:hanging="360"/>
      </w:pPr>
    </w:lvl>
    <w:lvl w:ilvl="6" w:tplc="B6686AF4">
      <w:start w:val="1"/>
      <w:numFmt w:val="decimal"/>
      <w:lvlText w:val="%7)"/>
      <w:lvlJc w:val="left"/>
      <w:pPr>
        <w:ind w:left="1020" w:hanging="360"/>
      </w:pPr>
    </w:lvl>
    <w:lvl w:ilvl="7" w:tplc="6B983552">
      <w:start w:val="1"/>
      <w:numFmt w:val="decimal"/>
      <w:lvlText w:val="%8)"/>
      <w:lvlJc w:val="left"/>
      <w:pPr>
        <w:ind w:left="1020" w:hanging="360"/>
      </w:pPr>
    </w:lvl>
    <w:lvl w:ilvl="8" w:tplc="130627D8">
      <w:start w:val="1"/>
      <w:numFmt w:val="decimal"/>
      <w:lvlText w:val="%9)"/>
      <w:lvlJc w:val="left"/>
      <w:pPr>
        <w:ind w:left="1020" w:hanging="360"/>
      </w:pPr>
    </w:lvl>
  </w:abstractNum>
  <w:abstractNum w:abstractNumId="6"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4D863B4"/>
    <w:multiLevelType w:val="hybridMultilevel"/>
    <w:tmpl w:val="5178C144"/>
    <w:lvl w:ilvl="0" w:tplc="D80E3586">
      <w:start w:val="1"/>
      <w:numFmt w:val="decimal"/>
      <w:lvlText w:val="%1)"/>
      <w:lvlJc w:val="left"/>
      <w:pPr>
        <w:ind w:left="644" w:hanging="360"/>
      </w:pPr>
      <w:rPr>
        <w:rFonts w:eastAsiaTheme="minorHAnsi" w:hint="default"/>
        <w:b w:val="0"/>
        <w:bCs/>
        <w:color w:val="000000" w:themeColor="text1"/>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16cid:durableId="2020741383">
    <w:abstractNumId w:val="6"/>
  </w:num>
  <w:num w:numId="2" w16cid:durableId="219558385">
    <w:abstractNumId w:val="4"/>
  </w:num>
  <w:num w:numId="3" w16cid:durableId="253784293">
    <w:abstractNumId w:val="8"/>
  </w:num>
  <w:num w:numId="4" w16cid:durableId="1561595583">
    <w:abstractNumId w:val="7"/>
  </w:num>
  <w:num w:numId="5" w16cid:durableId="249589050">
    <w:abstractNumId w:val="2"/>
  </w:num>
  <w:num w:numId="6" w16cid:durableId="1527475671">
    <w:abstractNumId w:val="9"/>
  </w:num>
  <w:num w:numId="7" w16cid:durableId="1752435063">
    <w:abstractNumId w:val="1"/>
  </w:num>
  <w:num w:numId="8" w16cid:durableId="1752120499">
    <w:abstractNumId w:val="0"/>
  </w:num>
  <w:num w:numId="9" w16cid:durableId="1784959501">
    <w:abstractNumId w:val="5"/>
  </w:num>
  <w:num w:numId="10" w16cid:durableId="1949265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7B5"/>
    <w:rsid w:val="00005D3B"/>
    <w:rsid w:val="000064B0"/>
    <w:rsid w:val="00013443"/>
    <w:rsid w:val="000151B7"/>
    <w:rsid w:val="00034978"/>
    <w:rsid w:val="0003590D"/>
    <w:rsid w:val="000375CE"/>
    <w:rsid w:val="000423F8"/>
    <w:rsid w:val="000424A4"/>
    <w:rsid w:val="000434F8"/>
    <w:rsid w:val="000435A0"/>
    <w:rsid w:val="000508B6"/>
    <w:rsid w:val="00052B8F"/>
    <w:rsid w:val="00053045"/>
    <w:rsid w:val="00061E26"/>
    <w:rsid w:val="000620CA"/>
    <w:rsid w:val="000630A2"/>
    <w:rsid w:val="00070518"/>
    <w:rsid w:val="000711B5"/>
    <w:rsid w:val="00072A00"/>
    <w:rsid w:val="000754BB"/>
    <w:rsid w:val="00075859"/>
    <w:rsid w:val="00080175"/>
    <w:rsid w:val="00083B07"/>
    <w:rsid w:val="00084683"/>
    <w:rsid w:val="00091E2D"/>
    <w:rsid w:val="00093104"/>
    <w:rsid w:val="00094025"/>
    <w:rsid w:val="00095825"/>
    <w:rsid w:val="000A0EE9"/>
    <w:rsid w:val="000A360D"/>
    <w:rsid w:val="000A49BC"/>
    <w:rsid w:val="000B0418"/>
    <w:rsid w:val="000B0F0C"/>
    <w:rsid w:val="000B18AB"/>
    <w:rsid w:val="000B1C7D"/>
    <w:rsid w:val="000B491E"/>
    <w:rsid w:val="000B4A2E"/>
    <w:rsid w:val="000B4B85"/>
    <w:rsid w:val="000C4902"/>
    <w:rsid w:val="000C4FCD"/>
    <w:rsid w:val="000C5330"/>
    <w:rsid w:val="000C76AC"/>
    <w:rsid w:val="000D1D1D"/>
    <w:rsid w:val="000D4B57"/>
    <w:rsid w:val="000D6E98"/>
    <w:rsid w:val="000D7B1E"/>
    <w:rsid w:val="000D7D7D"/>
    <w:rsid w:val="000E0289"/>
    <w:rsid w:val="000E1D27"/>
    <w:rsid w:val="000E5859"/>
    <w:rsid w:val="000E6700"/>
    <w:rsid w:val="000E7A67"/>
    <w:rsid w:val="000F3059"/>
    <w:rsid w:val="000F6606"/>
    <w:rsid w:val="000F752E"/>
    <w:rsid w:val="00100A93"/>
    <w:rsid w:val="0010496E"/>
    <w:rsid w:val="0011035F"/>
    <w:rsid w:val="0011303F"/>
    <w:rsid w:val="001133A1"/>
    <w:rsid w:val="001143B9"/>
    <w:rsid w:val="00120B7E"/>
    <w:rsid w:val="00123692"/>
    <w:rsid w:val="00133D99"/>
    <w:rsid w:val="00145008"/>
    <w:rsid w:val="00147132"/>
    <w:rsid w:val="00147622"/>
    <w:rsid w:val="0015367A"/>
    <w:rsid w:val="001542D5"/>
    <w:rsid w:val="00155853"/>
    <w:rsid w:val="00165125"/>
    <w:rsid w:val="001676C9"/>
    <w:rsid w:val="00170221"/>
    <w:rsid w:val="00171022"/>
    <w:rsid w:val="00171027"/>
    <w:rsid w:val="00171D0D"/>
    <w:rsid w:val="0018184F"/>
    <w:rsid w:val="001827C1"/>
    <w:rsid w:val="0018395C"/>
    <w:rsid w:val="00184704"/>
    <w:rsid w:val="0018544C"/>
    <w:rsid w:val="00190A3D"/>
    <w:rsid w:val="00190DDF"/>
    <w:rsid w:val="00192197"/>
    <w:rsid w:val="00194334"/>
    <w:rsid w:val="001A0681"/>
    <w:rsid w:val="001A0737"/>
    <w:rsid w:val="001A2F7D"/>
    <w:rsid w:val="001A77AD"/>
    <w:rsid w:val="001C03E8"/>
    <w:rsid w:val="001D0779"/>
    <w:rsid w:val="001D1F57"/>
    <w:rsid w:val="001E045D"/>
    <w:rsid w:val="001E0BB0"/>
    <w:rsid w:val="001E34F2"/>
    <w:rsid w:val="001E42C3"/>
    <w:rsid w:val="001E701B"/>
    <w:rsid w:val="001F4EF1"/>
    <w:rsid w:val="001F60BD"/>
    <w:rsid w:val="001F61C1"/>
    <w:rsid w:val="001F6CE3"/>
    <w:rsid w:val="002016AE"/>
    <w:rsid w:val="00202AE7"/>
    <w:rsid w:val="0020468E"/>
    <w:rsid w:val="00210B1F"/>
    <w:rsid w:val="00210DC8"/>
    <w:rsid w:val="002113FD"/>
    <w:rsid w:val="00211D34"/>
    <w:rsid w:val="002126D1"/>
    <w:rsid w:val="00212A26"/>
    <w:rsid w:val="00213E69"/>
    <w:rsid w:val="002155A8"/>
    <w:rsid w:val="0021670E"/>
    <w:rsid w:val="00220B6E"/>
    <w:rsid w:val="00220EB4"/>
    <w:rsid w:val="0022165C"/>
    <w:rsid w:val="002239EF"/>
    <w:rsid w:val="0022614E"/>
    <w:rsid w:val="002408A7"/>
    <w:rsid w:val="00242E4C"/>
    <w:rsid w:val="00245BE9"/>
    <w:rsid w:val="00246C08"/>
    <w:rsid w:val="002471E4"/>
    <w:rsid w:val="00251046"/>
    <w:rsid w:val="002515DB"/>
    <w:rsid w:val="00253CC3"/>
    <w:rsid w:val="002545A1"/>
    <w:rsid w:val="00255F29"/>
    <w:rsid w:val="0025657D"/>
    <w:rsid w:val="002621A4"/>
    <w:rsid w:val="00262A34"/>
    <w:rsid w:val="00264A42"/>
    <w:rsid w:val="00267DB0"/>
    <w:rsid w:val="0027276E"/>
    <w:rsid w:val="00283B21"/>
    <w:rsid w:val="00283D41"/>
    <w:rsid w:val="00284336"/>
    <w:rsid w:val="0029019C"/>
    <w:rsid w:val="002A6CA2"/>
    <w:rsid w:val="002A7619"/>
    <w:rsid w:val="002B53AD"/>
    <w:rsid w:val="002B7368"/>
    <w:rsid w:val="002C0B86"/>
    <w:rsid w:val="002C4E0D"/>
    <w:rsid w:val="002C6295"/>
    <w:rsid w:val="002C7A5B"/>
    <w:rsid w:val="002D09E1"/>
    <w:rsid w:val="002D3FFE"/>
    <w:rsid w:val="002D4A37"/>
    <w:rsid w:val="002D4B4C"/>
    <w:rsid w:val="002D52D8"/>
    <w:rsid w:val="002E1327"/>
    <w:rsid w:val="002E5FC9"/>
    <w:rsid w:val="002E635F"/>
    <w:rsid w:val="002F10D7"/>
    <w:rsid w:val="002F11BB"/>
    <w:rsid w:val="002F1C0C"/>
    <w:rsid w:val="00300178"/>
    <w:rsid w:val="00304AD5"/>
    <w:rsid w:val="0030749C"/>
    <w:rsid w:val="00312CED"/>
    <w:rsid w:val="00313DCA"/>
    <w:rsid w:val="00316B11"/>
    <w:rsid w:val="00317F16"/>
    <w:rsid w:val="00321062"/>
    <w:rsid w:val="00324765"/>
    <w:rsid w:val="003260EC"/>
    <w:rsid w:val="00326F2F"/>
    <w:rsid w:val="003311CD"/>
    <w:rsid w:val="0033120C"/>
    <w:rsid w:val="00331694"/>
    <w:rsid w:val="003340A7"/>
    <w:rsid w:val="003417DD"/>
    <w:rsid w:val="00343634"/>
    <w:rsid w:val="003442A2"/>
    <w:rsid w:val="003502E8"/>
    <w:rsid w:val="00350D9A"/>
    <w:rsid w:val="003514E7"/>
    <w:rsid w:val="00351990"/>
    <w:rsid w:val="003528D3"/>
    <w:rsid w:val="003537BC"/>
    <w:rsid w:val="00360022"/>
    <w:rsid w:val="00361DD9"/>
    <w:rsid w:val="0036658F"/>
    <w:rsid w:val="00366CC3"/>
    <w:rsid w:val="00375865"/>
    <w:rsid w:val="003770FF"/>
    <w:rsid w:val="003830A7"/>
    <w:rsid w:val="00383B45"/>
    <w:rsid w:val="003876A6"/>
    <w:rsid w:val="003912A6"/>
    <w:rsid w:val="0039219C"/>
    <w:rsid w:val="00392C6F"/>
    <w:rsid w:val="003934A3"/>
    <w:rsid w:val="003A10A5"/>
    <w:rsid w:val="003A1547"/>
    <w:rsid w:val="003A45C9"/>
    <w:rsid w:val="003A7C34"/>
    <w:rsid w:val="003B01FF"/>
    <w:rsid w:val="003B0F31"/>
    <w:rsid w:val="003B33BA"/>
    <w:rsid w:val="003B347E"/>
    <w:rsid w:val="003B5C31"/>
    <w:rsid w:val="003B64AC"/>
    <w:rsid w:val="003B7C70"/>
    <w:rsid w:val="003C1FF9"/>
    <w:rsid w:val="003C27D0"/>
    <w:rsid w:val="003C2B3E"/>
    <w:rsid w:val="003D16BA"/>
    <w:rsid w:val="003D1C04"/>
    <w:rsid w:val="003D469E"/>
    <w:rsid w:val="003D50CC"/>
    <w:rsid w:val="003E0020"/>
    <w:rsid w:val="003E04EB"/>
    <w:rsid w:val="003E188C"/>
    <w:rsid w:val="003E559F"/>
    <w:rsid w:val="003F20B8"/>
    <w:rsid w:val="003F2BDA"/>
    <w:rsid w:val="0040095C"/>
    <w:rsid w:val="00401C18"/>
    <w:rsid w:val="00402933"/>
    <w:rsid w:val="00403AD1"/>
    <w:rsid w:val="00404CD6"/>
    <w:rsid w:val="004050B5"/>
    <w:rsid w:val="00407F26"/>
    <w:rsid w:val="00422A7C"/>
    <w:rsid w:val="00422BC1"/>
    <w:rsid w:val="00425EFF"/>
    <w:rsid w:val="00426B2C"/>
    <w:rsid w:val="00430307"/>
    <w:rsid w:val="00430443"/>
    <w:rsid w:val="00430A44"/>
    <w:rsid w:val="00432F0F"/>
    <w:rsid w:val="00437266"/>
    <w:rsid w:val="00441B3E"/>
    <w:rsid w:val="00442D8A"/>
    <w:rsid w:val="00444C00"/>
    <w:rsid w:val="0044564D"/>
    <w:rsid w:val="004463D3"/>
    <w:rsid w:val="0045084D"/>
    <w:rsid w:val="00450C86"/>
    <w:rsid w:val="00452C7B"/>
    <w:rsid w:val="00456FAA"/>
    <w:rsid w:val="00460FAE"/>
    <w:rsid w:val="004615E5"/>
    <w:rsid w:val="00463AE6"/>
    <w:rsid w:val="0046451C"/>
    <w:rsid w:val="00464D32"/>
    <w:rsid w:val="00465DD0"/>
    <w:rsid w:val="00472DC7"/>
    <w:rsid w:val="004772FB"/>
    <w:rsid w:val="00481633"/>
    <w:rsid w:val="004816A5"/>
    <w:rsid w:val="00482CE0"/>
    <w:rsid w:val="00483096"/>
    <w:rsid w:val="00483FEF"/>
    <w:rsid w:val="00484225"/>
    <w:rsid w:val="00490BEF"/>
    <w:rsid w:val="00494F09"/>
    <w:rsid w:val="004A5D40"/>
    <w:rsid w:val="004A6F4E"/>
    <w:rsid w:val="004B1DE5"/>
    <w:rsid w:val="004B3BBE"/>
    <w:rsid w:val="004B6B4B"/>
    <w:rsid w:val="004D1EB8"/>
    <w:rsid w:val="004D5218"/>
    <w:rsid w:val="004D63C1"/>
    <w:rsid w:val="004D7821"/>
    <w:rsid w:val="004D7D20"/>
    <w:rsid w:val="004E0D47"/>
    <w:rsid w:val="004E0F0D"/>
    <w:rsid w:val="004E2C66"/>
    <w:rsid w:val="004E3E7D"/>
    <w:rsid w:val="004E638F"/>
    <w:rsid w:val="004F068C"/>
    <w:rsid w:val="004F0FE1"/>
    <w:rsid w:val="004F226D"/>
    <w:rsid w:val="004F4693"/>
    <w:rsid w:val="004F5C09"/>
    <w:rsid w:val="004F756C"/>
    <w:rsid w:val="005028D8"/>
    <w:rsid w:val="0050352A"/>
    <w:rsid w:val="00503C7F"/>
    <w:rsid w:val="00503E41"/>
    <w:rsid w:val="00504FEA"/>
    <w:rsid w:val="0050610A"/>
    <w:rsid w:val="005129F6"/>
    <w:rsid w:val="00513738"/>
    <w:rsid w:val="00520B95"/>
    <w:rsid w:val="00522233"/>
    <w:rsid w:val="005303B4"/>
    <w:rsid w:val="005322CF"/>
    <w:rsid w:val="00533C1D"/>
    <w:rsid w:val="00533C38"/>
    <w:rsid w:val="005364B7"/>
    <w:rsid w:val="005513AA"/>
    <w:rsid w:val="0055187E"/>
    <w:rsid w:val="00553DBF"/>
    <w:rsid w:val="00561840"/>
    <w:rsid w:val="00561958"/>
    <w:rsid w:val="00563073"/>
    <w:rsid w:val="00564771"/>
    <w:rsid w:val="00567DEF"/>
    <w:rsid w:val="005717A7"/>
    <w:rsid w:val="00571F5D"/>
    <w:rsid w:val="005721A2"/>
    <w:rsid w:val="00572AC8"/>
    <w:rsid w:val="00572BF3"/>
    <w:rsid w:val="0057360C"/>
    <w:rsid w:val="00573BDC"/>
    <w:rsid w:val="005752AF"/>
    <w:rsid w:val="00577222"/>
    <w:rsid w:val="005778FE"/>
    <w:rsid w:val="00580783"/>
    <w:rsid w:val="0059070B"/>
    <w:rsid w:val="00590EF4"/>
    <w:rsid w:val="00592E64"/>
    <w:rsid w:val="00593C7F"/>
    <w:rsid w:val="00593EB6"/>
    <w:rsid w:val="005945BA"/>
    <w:rsid w:val="00595003"/>
    <w:rsid w:val="0059513F"/>
    <w:rsid w:val="005A18DC"/>
    <w:rsid w:val="005A2AB1"/>
    <w:rsid w:val="005A371C"/>
    <w:rsid w:val="005B0D79"/>
    <w:rsid w:val="005B38B3"/>
    <w:rsid w:val="005B682A"/>
    <w:rsid w:val="005B73FE"/>
    <w:rsid w:val="005B7F87"/>
    <w:rsid w:val="005C0F6E"/>
    <w:rsid w:val="005C6F27"/>
    <w:rsid w:val="005C7A4E"/>
    <w:rsid w:val="005D0938"/>
    <w:rsid w:val="005D0B1B"/>
    <w:rsid w:val="005D4245"/>
    <w:rsid w:val="005D42D8"/>
    <w:rsid w:val="005D5510"/>
    <w:rsid w:val="005E2284"/>
    <w:rsid w:val="005E3B80"/>
    <w:rsid w:val="005E4E66"/>
    <w:rsid w:val="005E64B3"/>
    <w:rsid w:val="005E667B"/>
    <w:rsid w:val="005E6F27"/>
    <w:rsid w:val="005F36CC"/>
    <w:rsid w:val="005F6090"/>
    <w:rsid w:val="00601D56"/>
    <w:rsid w:val="00603D98"/>
    <w:rsid w:val="00606810"/>
    <w:rsid w:val="00606FCF"/>
    <w:rsid w:val="00615EBE"/>
    <w:rsid w:val="00621B68"/>
    <w:rsid w:val="0062235E"/>
    <w:rsid w:val="00624B33"/>
    <w:rsid w:val="00624CE8"/>
    <w:rsid w:val="006307A1"/>
    <w:rsid w:val="00630FA7"/>
    <w:rsid w:val="00631049"/>
    <w:rsid w:val="006336C0"/>
    <w:rsid w:val="00633E46"/>
    <w:rsid w:val="0063607A"/>
    <w:rsid w:val="006426D7"/>
    <w:rsid w:val="00642BC4"/>
    <w:rsid w:val="006452B4"/>
    <w:rsid w:val="00646E9C"/>
    <w:rsid w:val="00650410"/>
    <w:rsid w:val="00653039"/>
    <w:rsid w:val="00653960"/>
    <w:rsid w:val="00653D13"/>
    <w:rsid w:val="00656FF8"/>
    <w:rsid w:val="00657769"/>
    <w:rsid w:val="006644CF"/>
    <w:rsid w:val="00665096"/>
    <w:rsid w:val="00665CAD"/>
    <w:rsid w:val="00673281"/>
    <w:rsid w:val="00680B21"/>
    <w:rsid w:val="00680E40"/>
    <w:rsid w:val="0068263E"/>
    <w:rsid w:val="006827F2"/>
    <w:rsid w:val="0068372E"/>
    <w:rsid w:val="00686149"/>
    <w:rsid w:val="00686B6E"/>
    <w:rsid w:val="00690E9C"/>
    <w:rsid w:val="00693683"/>
    <w:rsid w:val="0069524B"/>
    <w:rsid w:val="006952E1"/>
    <w:rsid w:val="006A3B94"/>
    <w:rsid w:val="006A4445"/>
    <w:rsid w:val="006A4DF4"/>
    <w:rsid w:val="006A6073"/>
    <w:rsid w:val="006A7880"/>
    <w:rsid w:val="006C220F"/>
    <w:rsid w:val="006C564A"/>
    <w:rsid w:val="006D04A2"/>
    <w:rsid w:val="006D077B"/>
    <w:rsid w:val="006D0C5C"/>
    <w:rsid w:val="006D5723"/>
    <w:rsid w:val="006D5F36"/>
    <w:rsid w:val="006D678D"/>
    <w:rsid w:val="006D6D82"/>
    <w:rsid w:val="006F1505"/>
    <w:rsid w:val="006F1E29"/>
    <w:rsid w:val="006F5239"/>
    <w:rsid w:val="007005EE"/>
    <w:rsid w:val="007048E4"/>
    <w:rsid w:val="00710686"/>
    <w:rsid w:val="0071625E"/>
    <w:rsid w:val="0071733C"/>
    <w:rsid w:val="007200D7"/>
    <w:rsid w:val="00721BEA"/>
    <w:rsid w:val="00724E3E"/>
    <w:rsid w:val="007267F8"/>
    <w:rsid w:val="00731A18"/>
    <w:rsid w:val="0073254C"/>
    <w:rsid w:val="007338C6"/>
    <w:rsid w:val="00736400"/>
    <w:rsid w:val="00736D49"/>
    <w:rsid w:val="00737059"/>
    <w:rsid w:val="0074061A"/>
    <w:rsid w:val="007437A8"/>
    <w:rsid w:val="00743F02"/>
    <w:rsid w:val="007452E4"/>
    <w:rsid w:val="00745C0D"/>
    <w:rsid w:val="007511F8"/>
    <w:rsid w:val="007539DC"/>
    <w:rsid w:val="00760EAA"/>
    <w:rsid w:val="0076100E"/>
    <w:rsid w:val="007657EB"/>
    <w:rsid w:val="007719B2"/>
    <w:rsid w:val="00772185"/>
    <w:rsid w:val="00773392"/>
    <w:rsid w:val="007737AC"/>
    <w:rsid w:val="007747FE"/>
    <w:rsid w:val="007756A4"/>
    <w:rsid w:val="007824EB"/>
    <w:rsid w:val="0078600A"/>
    <w:rsid w:val="00786B14"/>
    <w:rsid w:val="00787487"/>
    <w:rsid w:val="00797204"/>
    <w:rsid w:val="00797917"/>
    <w:rsid w:val="007A4E6A"/>
    <w:rsid w:val="007A4EB3"/>
    <w:rsid w:val="007A62CE"/>
    <w:rsid w:val="007B1360"/>
    <w:rsid w:val="007B4A8B"/>
    <w:rsid w:val="007B5660"/>
    <w:rsid w:val="007B5799"/>
    <w:rsid w:val="007B665D"/>
    <w:rsid w:val="007C059F"/>
    <w:rsid w:val="007C1D67"/>
    <w:rsid w:val="007C31B7"/>
    <w:rsid w:val="007C3713"/>
    <w:rsid w:val="007C6C40"/>
    <w:rsid w:val="007D3B33"/>
    <w:rsid w:val="007D3FB7"/>
    <w:rsid w:val="007E15C8"/>
    <w:rsid w:val="007E1BB5"/>
    <w:rsid w:val="007E40D4"/>
    <w:rsid w:val="007E4E5C"/>
    <w:rsid w:val="007E66E3"/>
    <w:rsid w:val="00800B4C"/>
    <w:rsid w:val="00800C26"/>
    <w:rsid w:val="008051E4"/>
    <w:rsid w:val="0081067B"/>
    <w:rsid w:val="00817418"/>
    <w:rsid w:val="00821405"/>
    <w:rsid w:val="00822E71"/>
    <w:rsid w:val="00822EAB"/>
    <w:rsid w:val="00823004"/>
    <w:rsid w:val="00825D1F"/>
    <w:rsid w:val="00826A5C"/>
    <w:rsid w:val="00830037"/>
    <w:rsid w:val="008305DC"/>
    <w:rsid w:val="00832590"/>
    <w:rsid w:val="00832E34"/>
    <w:rsid w:val="0083376C"/>
    <w:rsid w:val="00834471"/>
    <w:rsid w:val="00835821"/>
    <w:rsid w:val="00835D81"/>
    <w:rsid w:val="00836D64"/>
    <w:rsid w:val="0084323D"/>
    <w:rsid w:val="00845440"/>
    <w:rsid w:val="00846811"/>
    <w:rsid w:val="00850217"/>
    <w:rsid w:val="00851C5D"/>
    <w:rsid w:val="00853301"/>
    <w:rsid w:val="00854E07"/>
    <w:rsid w:val="00855380"/>
    <w:rsid w:val="00855E83"/>
    <w:rsid w:val="00857843"/>
    <w:rsid w:val="008603B0"/>
    <w:rsid w:val="0086145E"/>
    <w:rsid w:val="008615EF"/>
    <w:rsid w:val="00861A27"/>
    <w:rsid w:val="008642EF"/>
    <w:rsid w:val="00866469"/>
    <w:rsid w:val="00866AB0"/>
    <w:rsid w:val="00871F76"/>
    <w:rsid w:val="008740A8"/>
    <w:rsid w:val="00877C44"/>
    <w:rsid w:val="0088259C"/>
    <w:rsid w:val="00883734"/>
    <w:rsid w:val="008839BC"/>
    <w:rsid w:val="0089023F"/>
    <w:rsid w:val="0089395E"/>
    <w:rsid w:val="00894B59"/>
    <w:rsid w:val="008950CA"/>
    <w:rsid w:val="008A5A56"/>
    <w:rsid w:val="008B03F7"/>
    <w:rsid w:val="008B75D0"/>
    <w:rsid w:val="008B7C5A"/>
    <w:rsid w:val="008C0B17"/>
    <w:rsid w:val="008C500E"/>
    <w:rsid w:val="008D0C81"/>
    <w:rsid w:val="008D1AFB"/>
    <w:rsid w:val="008D29E8"/>
    <w:rsid w:val="008D76DE"/>
    <w:rsid w:val="008E09D5"/>
    <w:rsid w:val="008E292D"/>
    <w:rsid w:val="008F10D3"/>
    <w:rsid w:val="008F15D4"/>
    <w:rsid w:val="008F3CCB"/>
    <w:rsid w:val="008F657E"/>
    <w:rsid w:val="008F6C99"/>
    <w:rsid w:val="008F7432"/>
    <w:rsid w:val="009004C9"/>
    <w:rsid w:val="00901817"/>
    <w:rsid w:val="00901F92"/>
    <w:rsid w:val="00903168"/>
    <w:rsid w:val="009051B9"/>
    <w:rsid w:val="00905C0A"/>
    <w:rsid w:val="00905FAA"/>
    <w:rsid w:val="009063AF"/>
    <w:rsid w:val="0090644A"/>
    <w:rsid w:val="00906B10"/>
    <w:rsid w:val="00906D9A"/>
    <w:rsid w:val="009070B0"/>
    <w:rsid w:val="00911FF5"/>
    <w:rsid w:val="00912565"/>
    <w:rsid w:val="0091404B"/>
    <w:rsid w:val="009140FF"/>
    <w:rsid w:val="00914189"/>
    <w:rsid w:val="00914420"/>
    <w:rsid w:val="00914B51"/>
    <w:rsid w:val="00914D5A"/>
    <w:rsid w:val="00921BDC"/>
    <w:rsid w:val="00927070"/>
    <w:rsid w:val="00931484"/>
    <w:rsid w:val="00933455"/>
    <w:rsid w:val="009335D5"/>
    <w:rsid w:val="00935A91"/>
    <w:rsid w:val="00942E95"/>
    <w:rsid w:val="009500E7"/>
    <w:rsid w:val="0095203D"/>
    <w:rsid w:val="00952874"/>
    <w:rsid w:val="00954061"/>
    <w:rsid w:val="00957F64"/>
    <w:rsid w:val="00963458"/>
    <w:rsid w:val="0096351E"/>
    <w:rsid w:val="00964FB9"/>
    <w:rsid w:val="00977615"/>
    <w:rsid w:val="009822D4"/>
    <w:rsid w:val="0098477F"/>
    <w:rsid w:val="0098742C"/>
    <w:rsid w:val="00987987"/>
    <w:rsid w:val="0099587C"/>
    <w:rsid w:val="0099611F"/>
    <w:rsid w:val="00996D7D"/>
    <w:rsid w:val="009A1C47"/>
    <w:rsid w:val="009A5CC3"/>
    <w:rsid w:val="009A64C0"/>
    <w:rsid w:val="009A6DB2"/>
    <w:rsid w:val="009B0544"/>
    <w:rsid w:val="009B1075"/>
    <w:rsid w:val="009B4AC9"/>
    <w:rsid w:val="009B6162"/>
    <w:rsid w:val="009B620B"/>
    <w:rsid w:val="009C1EFB"/>
    <w:rsid w:val="009C3525"/>
    <w:rsid w:val="009C3909"/>
    <w:rsid w:val="009C4CD0"/>
    <w:rsid w:val="009C787B"/>
    <w:rsid w:val="009D1970"/>
    <w:rsid w:val="009D53DE"/>
    <w:rsid w:val="009D5D38"/>
    <w:rsid w:val="009E2007"/>
    <w:rsid w:val="009E6A95"/>
    <w:rsid w:val="009F044E"/>
    <w:rsid w:val="009F2D2F"/>
    <w:rsid w:val="009F5A05"/>
    <w:rsid w:val="00A024C8"/>
    <w:rsid w:val="00A04F30"/>
    <w:rsid w:val="00A1067C"/>
    <w:rsid w:val="00A11EBC"/>
    <w:rsid w:val="00A15F0B"/>
    <w:rsid w:val="00A16630"/>
    <w:rsid w:val="00A202C9"/>
    <w:rsid w:val="00A23583"/>
    <w:rsid w:val="00A25755"/>
    <w:rsid w:val="00A33C75"/>
    <w:rsid w:val="00A4254A"/>
    <w:rsid w:val="00A44C66"/>
    <w:rsid w:val="00A46015"/>
    <w:rsid w:val="00A46872"/>
    <w:rsid w:val="00A47913"/>
    <w:rsid w:val="00A5305F"/>
    <w:rsid w:val="00A551E7"/>
    <w:rsid w:val="00A55801"/>
    <w:rsid w:val="00A61684"/>
    <w:rsid w:val="00A6283A"/>
    <w:rsid w:val="00A63E4F"/>
    <w:rsid w:val="00A77246"/>
    <w:rsid w:val="00A836BD"/>
    <w:rsid w:val="00A84096"/>
    <w:rsid w:val="00A85BEA"/>
    <w:rsid w:val="00A85FCE"/>
    <w:rsid w:val="00A969C9"/>
    <w:rsid w:val="00A9721F"/>
    <w:rsid w:val="00AA0144"/>
    <w:rsid w:val="00AA0C6F"/>
    <w:rsid w:val="00AA195C"/>
    <w:rsid w:val="00AA6E31"/>
    <w:rsid w:val="00AA731F"/>
    <w:rsid w:val="00AB17EC"/>
    <w:rsid w:val="00AB23F2"/>
    <w:rsid w:val="00AB3B6E"/>
    <w:rsid w:val="00AB4AF8"/>
    <w:rsid w:val="00AC2934"/>
    <w:rsid w:val="00AC6272"/>
    <w:rsid w:val="00AC77DE"/>
    <w:rsid w:val="00AD2183"/>
    <w:rsid w:val="00AD22F2"/>
    <w:rsid w:val="00AD392C"/>
    <w:rsid w:val="00AE1C96"/>
    <w:rsid w:val="00AF06BE"/>
    <w:rsid w:val="00AF07DF"/>
    <w:rsid w:val="00AF3B0F"/>
    <w:rsid w:val="00AF5404"/>
    <w:rsid w:val="00AF562C"/>
    <w:rsid w:val="00AF595C"/>
    <w:rsid w:val="00AF7C4C"/>
    <w:rsid w:val="00B01E24"/>
    <w:rsid w:val="00B124CD"/>
    <w:rsid w:val="00B13592"/>
    <w:rsid w:val="00B14785"/>
    <w:rsid w:val="00B2040A"/>
    <w:rsid w:val="00B20F58"/>
    <w:rsid w:val="00B305D2"/>
    <w:rsid w:val="00B30615"/>
    <w:rsid w:val="00B32AF1"/>
    <w:rsid w:val="00B353B7"/>
    <w:rsid w:val="00B35D22"/>
    <w:rsid w:val="00B3777E"/>
    <w:rsid w:val="00B41A1C"/>
    <w:rsid w:val="00B43E2A"/>
    <w:rsid w:val="00B535BE"/>
    <w:rsid w:val="00B5670E"/>
    <w:rsid w:val="00B626DA"/>
    <w:rsid w:val="00B821A5"/>
    <w:rsid w:val="00B82618"/>
    <w:rsid w:val="00B84167"/>
    <w:rsid w:val="00B86164"/>
    <w:rsid w:val="00B87BDC"/>
    <w:rsid w:val="00B90C07"/>
    <w:rsid w:val="00B91AFC"/>
    <w:rsid w:val="00B91D57"/>
    <w:rsid w:val="00B922C6"/>
    <w:rsid w:val="00B93124"/>
    <w:rsid w:val="00BA128A"/>
    <w:rsid w:val="00BA3686"/>
    <w:rsid w:val="00BB1B0C"/>
    <w:rsid w:val="00BB6E66"/>
    <w:rsid w:val="00BC0110"/>
    <w:rsid w:val="00BC0624"/>
    <w:rsid w:val="00BC1DA9"/>
    <w:rsid w:val="00BC3468"/>
    <w:rsid w:val="00BC411D"/>
    <w:rsid w:val="00BD197D"/>
    <w:rsid w:val="00BD39C8"/>
    <w:rsid w:val="00BE22D3"/>
    <w:rsid w:val="00BE3A05"/>
    <w:rsid w:val="00BF0572"/>
    <w:rsid w:val="00BF0AFB"/>
    <w:rsid w:val="00BF2932"/>
    <w:rsid w:val="00BF4920"/>
    <w:rsid w:val="00BF5BB6"/>
    <w:rsid w:val="00C0271D"/>
    <w:rsid w:val="00C038AF"/>
    <w:rsid w:val="00C07599"/>
    <w:rsid w:val="00C079C4"/>
    <w:rsid w:val="00C11DFC"/>
    <w:rsid w:val="00C12CF8"/>
    <w:rsid w:val="00C144D9"/>
    <w:rsid w:val="00C14BC9"/>
    <w:rsid w:val="00C15062"/>
    <w:rsid w:val="00C16032"/>
    <w:rsid w:val="00C22386"/>
    <w:rsid w:val="00C246CB"/>
    <w:rsid w:val="00C2758D"/>
    <w:rsid w:val="00C3120B"/>
    <w:rsid w:val="00C31C47"/>
    <w:rsid w:val="00C32E3F"/>
    <w:rsid w:val="00C33A7E"/>
    <w:rsid w:val="00C352F1"/>
    <w:rsid w:val="00C356AD"/>
    <w:rsid w:val="00C36164"/>
    <w:rsid w:val="00C36F5E"/>
    <w:rsid w:val="00C40FB8"/>
    <w:rsid w:val="00C41B8C"/>
    <w:rsid w:val="00C448D1"/>
    <w:rsid w:val="00C519B1"/>
    <w:rsid w:val="00C5214E"/>
    <w:rsid w:val="00C52D72"/>
    <w:rsid w:val="00C56AB3"/>
    <w:rsid w:val="00C57A0D"/>
    <w:rsid w:val="00C57D77"/>
    <w:rsid w:val="00C61870"/>
    <w:rsid w:val="00C63B1D"/>
    <w:rsid w:val="00C675B0"/>
    <w:rsid w:val="00C710EB"/>
    <w:rsid w:val="00C745C6"/>
    <w:rsid w:val="00C774DB"/>
    <w:rsid w:val="00C77D1C"/>
    <w:rsid w:val="00C833B0"/>
    <w:rsid w:val="00C91862"/>
    <w:rsid w:val="00C9333A"/>
    <w:rsid w:val="00C934E6"/>
    <w:rsid w:val="00C935B1"/>
    <w:rsid w:val="00C93E3F"/>
    <w:rsid w:val="00C94171"/>
    <w:rsid w:val="00C95193"/>
    <w:rsid w:val="00C952EC"/>
    <w:rsid w:val="00C9569F"/>
    <w:rsid w:val="00C95A9B"/>
    <w:rsid w:val="00C972BE"/>
    <w:rsid w:val="00CA0E4F"/>
    <w:rsid w:val="00CA3C0C"/>
    <w:rsid w:val="00CA4A7A"/>
    <w:rsid w:val="00CA5AD7"/>
    <w:rsid w:val="00CA6589"/>
    <w:rsid w:val="00CA67B3"/>
    <w:rsid w:val="00CA7D59"/>
    <w:rsid w:val="00CB02AC"/>
    <w:rsid w:val="00CB29D1"/>
    <w:rsid w:val="00CB2ED4"/>
    <w:rsid w:val="00CB36F6"/>
    <w:rsid w:val="00CB5D37"/>
    <w:rsid w:val="00CB67BA"/>
    <w:rsid w:val="00CC035C"/>
    <w:rsid w:val="00CC2033"/>
    <w:rsid w:val="00CC4A55"/>
    <w:rsid w:val="00CD37E5"/>
    <w:rsid w:val="00CD4AE2"/>
    <w:rsid w:val="00CE03CB"/>
    <w:rsid w:val="00CE18CE"/>
    <w:rsid w:val="00CF274B"/>
    <w:rsid w:val="00CF4CC7"/>
    <w:rsid w:val="00CF52B3"/>
    <w:rsid w:val="00CF6ED5"/>
    <w:rsid w:val="00D02B7F"/>
    <w:rsid w:val="00D06984"/>
    <w:rsid w:val="00D071FE"/>
    <w:rsid w:val="00D10CD9"/>
    <w:rsid w:val="00D250B9"/>
    <w:rsid w:val="00D30E85"/>
    <w:rsid w:val="00D319BB"/>
    <w:rsid w:val="00D349F1"/>
    <w:rsid w:val="00D34E4F"/>
    <w:rsid w:val="00D430B7"/>
    <w:rsid w:val="00D43BAD"/>
    <w:rsid w:val="00D44481"/>
    <w:rsid w:val="00D466AC"/>
    <w:rsid w:val="00D50716"/>
    <w:rsid w:val="00D519F7"/>
    <w:rsid w:val="00D53004"/>
    <w:rsid w:val="00D57B18"/>
    <w:rsid w:val="00D61625"/>
    <w:rsid w:val="00D67D2E"/>
    <w:rsid w:val="00D70FDF"/>
    <w:rsid w:val="00D71FB4"/>
    <w:rsid w:val="00D720FB"/>
    <w:rsid w:val="00D738B1"/>
    <w:rsid w:val="00D759E6"/>
    <w:rsid w:val="00D82979"/>
    <w:rsid w:val="00D84FB8"/>
    <w:rsid w:val="00D87F65"/>
    <w:rsid w:val="00D90B21"/>
    <w:rsid w:val="00D91C56"/>
    <w:rsid w:val="00D933A1"/>
    <w:rsid w:val="00D96AA6"/>
    <w:rsid w:val="00DA32E6"/>
    <w:rsid w:val="00DB0246"/>
    <w:rsid w:val="00DB38C8"/>
    <w:rsid w:val="00DB3F7D"/>
    <w:rsid w:val="00DC0200"/>
    <w:rsid w:val="00DC0682"/>
    <w:rsid w:val="00DC23A7"/>
    <w:rsid w:val="00DC30B4"/>
    <w:rsid w:val="00DC329B"/>
    <w:rsid w:val="00DC34D4"/>
    <w:rsid w:val="00DC58C2"/>
    <w:rsid w:val="00DD59EA"/>
    <w:rsid w:val="00DE1D4F"/>
    <w:rsid w:val="00DE2569"/>
    <w:rsid w:val="00DE3E0C"/>
    <w:rsid w:val="00DE4AC5"/>
    <w:rsid w:val="00DE54D0"/>
    <w:rsid w:val="00DE5B1C"/>
    <w:rsid w:val="00DE77B5"/>
    <w:rsid w:val="00DF425D"/>
    <w:rsid w:val="00E007AB"/>
    <w:rsid w:val="00E01603"/>
    <w:rsid w:val="00E02C21"/>
    <w:rsid w:val="00E04272"/>
    <w:rsid w:val="00E0471F"/>
    <w:rsid w:val="00E0655E"/>
    <w:rsid w:val="00E14147"/>
    <w:rsid w:val="00E162D4"/>
    <w:rsid w:val="00E20DE8"/>
    <w:rsid w:val="00E226C7"/>
    <w:rsid w:val="00E22880"/>
    <w:rsid w:val="00E2293F"/>
    <w:rsid w:val="00E30339"/>
    <w:rsid w:val="00E337E7"/>
    <w:rsid w:val="00E349E3"/>
    <w:rsid w:val="00E366A0"/>
    <w:rsid w:val="00E40F63"/>
    <w:rsid w:val="00E47C44"/>
    <w:rsid w:val="00E56492"/>
    <w:rsid w:val="00E56B47"/>
    <w:rsid w:val="00E5735E"/>
    <w:rsid w:val="00E657DE"/>
    <w:rsid w:val="00E660E3"/>
    <w:rsid w:val="00E67036"/>
    <w:rsid w:val="00E67EA0"/>
    <w:rsid w:val="00E73DEF"/>
    <w:rsid w:val="00E82790"/>
    <w:rsid w:val="00E829A1"/>
    <w:rsid w:val="00E82C41"/>
    <w:rsid w:val="00E83B23"/>
    <w:rsid w:val="00E85A18"/>
    <w:rsid w:val="00E87461"/>
    <w:rsid w:val="00E9618B"/>
    <w:rsid w:val="00E97E14"/>
    <w:rsid w:val="00EA061E"/>
    <w:rsid w:val="00EA0CC6"/>
    <w:rsid w:val="00EA29D6"/>
    <w:rsid w:val="00EA2EB2"/>
    <w:rsid w:val="00EA372D"/>
    <w:rsid w:val="00EA3C17"/>
    <w:rsid w:val="00EA6232"/>
    <w:rsid w:val="00EA667A"/>
    <w:rsid w:val="00EB6818"/>
    <w:rsid w:val="00EC27B8"/>
    <w:rsid w:val="00EC34DC"/>
    <w:rsid w:val="00EC44FD"/>
    <w:rsid w:val="00EC77D2"/>
    <w:rsid w:val="00ED3376"/>
    <w:rsid w:val="00EE014A"/>
    <w:rsid w:val="00EE426C"/>
    <w:rsid w:val="00EE4CD7"/>
    <w:rsid w:val="00EE61B4"/>
    <w:rsid w:val="00EF0F21"/>
    <w:rsid w:val="00EF64CC"/>
    <w:rsid w:val="00EF78EF"/>
    <w:rsid w:val="00F00503"/>
    <w:rsid w:val="00F00555"/>
    <w:rsid w:val="00F0440B"/>
    <w:rsid w:val="00F04425"/>
    <w:rsid w:val="00F0507F"/>
    <w:rsid w:val="00F1192A"/>
    <w:rsid w:val="00F11EC5"/>
    <w:rsid w:val="00F1508E"/>
    <w:rsid w:val="00F21B3D"/>
    <w:rsid w:val="00F22887"/>
    <w:rsid w:val="00F22D6F"/>
    <w:rsid w:val="00F235E3"/>
    <w:rsid w:val="00F238A9"/>
    <w:rsid w:val="00F23FE0"/>
    <w:rsid w:val="00F24CF6"/>
    <w:rsid w:val="00F2511A"/>
    <w:rsid w:val="00F2777F"/>
    <w:rsid w:val="00F31808"/>
    <w:rsid w:val="00F31EE6"/>
    <w:rsid w:val="00F32B6E"/>
    <w:rsid w:val="00F3350F"/>
    <w:rsid w:val="00F35165"/>
    <w:rsid w:val="00F352F9"/>
    <w:rsid w:val="00F36222"/>
    <w:rsid w:val="00F40D1D"/>
    <w:rsid w:val="00F41E0D"/>
    <w:rsid w:val="00F42394"/>
    <w:rsid w:val="00F46692"/>
    <w:rsid w:val="00F51E6A"/>
    <w:rsid w:val="00F52256"/>
    <w:rsid w:val="00F53C50"/>
    <w:rsid w:val="00F55EC3"/>
    <w:rsid w:val="00F575D8"/>
    <w:rsid w:val="00F608C3"/>
    <w:rsid w:val="00F60AF6"/>
    <w:rsid w:val="00F60D95"/>
    <w:rsid w:val="00F622F3"/>
    <w:rsid w:val="00F6715F"/>
    <w:rsid w:val="00F67974"/>
    <w:rsid w:val="00F701EA"/>
    <w:rsid w:val="00F70B4B"/>
    <w:rsid w:val="00F7772F"/>
    <w:rsid w:val="00F85D18"/>
    <w:rsid w:val="00F910CC"/>
    <w:rsid w:val="00F93234"/>
    <w:rsid w:val="00F93FA8"/>
    <w:rsid w:val="00F96434"/>
    <w:rsid w:val="00F96A4F"/>
    <w:rsid w:val="00FA0D6A"/>
    <w:rsid w:val="00FA3BAB"/>
    <w:rsid w:val="00FA57FC"/>
    <w:rsid w:val="00FA7BCF"/>
    <w:rsid w:val="00FB112C"/>
    <w:rsid w:val="00FB1B6F"/>
    <w:rsid w:val="00FB465B"/>
    <w:rsid w:val="00FB629C"/>
    <w:rsid w:val="00FB6B83"/>
    <w:rsid w:val="00FC0BBE"/>
    <w:rsid w:val="00FC0EB4"/>
    <w:rsid w:val="00FC1BCE"/>
    <w:rsid w:val="00FC2E36"/>
    <w:rsid w:val="00FC38CB"/>
    <w:rsid w:val="00FC4C67"/>
    <w:rsid w:val="00FC692D"/>
    <w:rsid w:val="00FC6B3E"/>
    <w:rsid w:val="00FD0CE5"/>
    <w:rsid w:val="00FD13F7"/>
    <w:rsid w:val="00FD3D93"/>
    <w:rsid w:val="00FD480E"/>
    <w:rsid w:val="00FE1C1F"/>
    <w:rsid w:val="00FE310F"/>
    <w:rsid w:val="00FE71E6"/>
    <w:rsid w:val="00FF05EA"/>
    <w:rsid w:val="00FF13B2"/>
    <w:rsid w:val="00FF1CB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914B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4B51"/>
  </w:style>
  <w:style w:type="paragraph" w:styleId="Footer">
    <w:name w:val="footer"/>
    <w:basedOn w:val="Normal"/>
    <w:link w:val="FooterChar"/>
    <w:uiPriority w:val="99"/>
    <w:unhideWhenUsed/>
    <w:rsid w:val="00914B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4B51"/>
  </w:style>
  <w:style w:type="character" w:customStyle="1" w:styleId="cf01">
    <w:name w:val="cf01"/>
    <w:basedOn w:val="DefaultParagraphFont"/>
    <w:rsid w:val="007B1360"/>
    <w:rPr>
      <w:rFonts w:ascii="Segoe UI" w:hAnsi="Segoe UI" w:cs="Segoe UI" w:hint="default"/>
      <w:color w:val="333333"/>
      <w:sz w:val="18"/>
      <w:szCs w:val="18"/>
    </w:rPr>
  </w:style>
  <w:style w:type="character" w:customStyle="1" w:styleId="cf11">
    <w:name w:val="cf11"/>
    <w:basedOn w:val="DefaultParagraphFont"/>
    <w:rsid w:val="007B1360"/>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7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 w:id="1761876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dir/1978/660/oj/?locale=LV" TargetMode="External"/><Relationship Id="rId18" Type="http://schemas.openxmlformats.org/officeDocument/2006/relationships/hyperlink" Target="http://eur-lex.europa.eu/eli/dir/1978/660/oj/?locale=L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ur-lex.europa.eu/eli/dir/2006/43/oj/?locale=LV" TargetMode="External"/><Relationship Id="rId17" Type="http://schemas.openxmlformats.org/officeDocument/2006/relationships/hyperlink" Target="http://eur-lex.europa.eu/eli/dir/2006/43/oj/?locale=LV" TargetMode="External"/><Relationship Id="rId2" Type="http://schemas.openxmlformats.org/officeDocument/2006/relationships/customXml" Target="../customXml/item2.xml"/><Relationship Id="rId16" Type="http://schemas.openxmlformats.org/officeDocument/2006/relationships/hyperlink" Target="http://eur-lex.europa.eu/eli/dir/2013/34/oj/?locale=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dir/2013/34/oj/?locale=L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eur-lex.europa.eu/eli/dir/1983/349/oj/?locale=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dir/1983/349/oj/?locale=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4.xml><?xml version="1.0" encoding="utf-8"?>
<ds:datastoreItem xmlns:ds="http://schemas.openxmlformats.org/officeDocument/2006/customXml" ds:itemID="{26E1010F-DB22-44E1-A48B-7B8376DB2A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14635</Words>
  <Characters>8343</Characters>
  <Application>Microsoft Office Word</Application>
  <DocSecurity>0</DocSecurity>
  <Lines>69</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Ilze Grava</cp:lastModifiedBy>
  <cp:revision>3</cp:revision>
  <cp:lastPrinted>2024-07-09T13:46:00Z</cp:lastPrinted>
  <dcterms:created xsi:type="dcterms:W3CDTF">2024-09-10T06:11:00Z</dcterms:created>
  <dcterms:modified xsi:type="dcterms:W3CDTF">2024-09-10T06:27:00Z</dcterms:modified>
</cp:coreProperties>
</file>