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629D7F" w14:textId="5D15FDFE" w:rsidR="004D7D20" w:rsidRPr="004C1C0E" w:rsidRDefault="004D7D20" w:rsidP="00861E61">
      <w:pPr>
        <w:jc w:val="center"/>
        <w:rPr>
          <w:rFonts w:ascii="Times New Roman" w:hAnsi="Times New Roman" w:cs="Times New Roman"/>
          <w:b/>
          <w:bCs/>
          <w:sz w:val="24"/>
          <w:szCs w:val="24"/>
        </w:rPr>
      </w:pPr>
      <w:r w:rsidRPr="004C1C0E">
        <w:rPr>
          <w:rFonts w:ascii="Times New Roman" w:hAnsi="Times New Roman" w:cs="Times New Roman"/>
          <w:b/>
          <w:bCs/>
          <w:sz w:val="24"/>
          <w:szCs w:val="24"/>
        </w:rPr>
        <w:t xml:space="preserve">Latvijas Bankas noteikumu </w:t>
      </w:r>
      <w:r w:rsidR="005A7603" w:rsidRPr="004C1C0E">
        <w:rPr>
          <w:rFonts w:ascii="Times New Roman" w:hAnsi="Times New Roman" w:cs="Times New Roman"/>
          <w:b/>
          <w:bCs/>
          <w:sz w:val="24"/>
          <w:szCs w:val="24"/>
        </w:rPr>
        <w:t>projekt</w:t>
      </w:r>
      <w:r w:rsidR="005A7603">
        <w:rPr>
          <w:rFonts w:ascii="Times New Roman" w:hAnsi="Times New Roman" w:cs="Times New Roman"/>
          <w:b/>
          <w:bCs/>
          <w:sz w:val="24"/>
          <w:szCs w:val="24"/>
        </w:rPr>
        <w:t>a</w:t>
      </w:r>
      <w:r w:rsidR="005A7603" w:rsidRPr="004C1C0E">
        <w:rPr>
          <w:rFonts w:ascii="Times New Roman" w:hAnsi="Times New Roman" w:cs="Times New Roman"/>
          <w:b/>
          <w:bCs/>
          <w:sz w:val="24"/>
          <w:szCs w:val="24"/>
        </w:rPr>
        <w:t xml:space="preserve"> </w:t>
      </w:r>
      <w:r w:rsidRPr="004C1C0E">
        <w:rPr>
          <w:rFonts w:ascii="Times New Roman" w:hAnsi="Times New Roman" w:cs="Times New Roman"/>
          <w:b/>
          <w:bCs/>
          <w:sz w:val="24"/>
          <w:szCs w:val="24"/>
        </w:rPr>
        <w:t>"</w:t>
      </w:r>
      <w:r w:rsidR="00D40121" w:rsidRPr="00D40121">
        <w:rPr>
          <w:rFonts w:ascii="Times New Roman" w:hAnsi="Times New Roman" w:cs="Times New Roman"/>
          <w:b/>
          <w:bCs/>
          <w:sz w:val="24"/>
          <w:szCs w:val="24"/>
        </w:rPr>
        <w:t>Kredītiestāžu kapitāla pietiekamības novērtēšanas procesa noteikumi</w:t>
      </w:r>
      <w:r w:rsidRPr="004C1C0E">
        <w:rPr>
          <w:rFonts w:ascii="Times New Roman" w:hAnsi="Times New Roman" w:cs="Times New Roman"/>
          <w:b/>
          <w:bCs/>
          <w:sz w:val="24"/>
          <w:szCs w:val="24"/>
        </w:rPr>
        <w:t>"</w:t>
      </w:r>
      <w:r w:rsidR="005A7603">
        <w:rPr>
          <w:rFonts w:ascii="Times New Roman" w:hAnsi="Times New Roman" w:cs="Times New Roman"/>
          <w:b/>
          <w:bCs/>
          <w:sz w:val="24"/>
          <w:szCs w:val="24"/>
        </w:rPr>
        <w:t xml:space="preserve"> anotācija</w:t>
      </w:r>
    </w:p>
    <w:tbl>
      <w:tblPr>
        <w:tblStyle w:val="TableGrid"/>
        <w:tblW w:w="8359" w:type="dxa"/>
        <w:tblLook w:val="04A0" w:firstRow="1" w:lastRow="0" w:firstColumn="1" w:lastColumn="0" w:noHBand="0" w:noVBand="1"/>
      </w:tblPr>
      <w:tblGrid>
        <w:gridCol w:w="2122"/>
        <w:gridCol w:w="6237"/>
      </w:tblGrid>
      <w:tr w:rsidR="00E02C21" w:rsidRPr="00E02C21" w14:paraId="2AC98F6A" w14:textId="77777777" w:rsidTr="00207E57">
        <w:tc>
          <w:tcPr>
            <w:tcW w:w="2122" w:type="dxa"/>
          </w:tcPr>
          <w:p w14:paraId="68548ECA" w14:textId="5D13C2FE" w:rsidR="004D7D20" w:rsidRPr="004C1C0E" w:rsidRDefault="004D7D20" w:rsidP="00CB2ED4">
            <w:pPr>
              <w:jc w:val="both"/>
              <w:rPr>
                <w:rFonts w:ascii="Times New Roman" w:hAnsi="Times New Roman" w:cs="Times New Roman"/>
                <w:b/>
                <w:bCs/>
                <w:sz w:val="24"/>
                <w:szCs w:val="24"/>
              </w:rPr>
            </w:pPr>
            <w:r w:rsidRPr="004C1C0E">
              <w:rPr>
                <w:rFonts w:ascii="Times New Roman" w:hAnsi="Times New Roman" w:cs="Times New Roman"/>
                <w:b/>
                <w:bCs/>
                <w:sz w:val="24"/>
                <w:szCs w:val="24"/>
              </w:rPr>
              <w:t>Nosaukums</w:t>
            </w:r>
          </w:p>
        </w:tc>
        <w:tc>
          <w:tcPr>
            <w:tcW w:w="6237" w:type="dxa"/>
          </w:tcPr>
          <w:p w14:paraId="0EF6BD51" w14:textId="22563DBF" w:rsidR="004D7D20" w:rsidRPr="00822148" w:rsidRDefault="00D40121" w:rsidP="00861E61">
            <w:pPr>
              <w:jc w:val="both"/>
              <w:rPr>
                <w:rFonts w:ascii="Times New Roman" w:hAnsi="Times New Roman" w:cs="Times New Roman"/>
                <w:sz w:val="24"/>
                <w:szCs w:val="24"/>
              </w:rPr>
            </w:pPr>
            <w:r w:rsidRPr="00D40121">
              <w:rPr>
                <w:rFonts w:ascii="Times New Roman" w:hAnsi="Times New Roman" w:cs="Times New Roman"/>
                <w:sz w:val="24"/>
                <w:szCs w:val="24"/>
              </w:rPr>
              <w:t>Kredītiestāžu kapitāla pietiekamības novērtēšanas procesa noteikumi</w:t>
            </w:r>
          </w:p>
        </w:tc>
      </w:tr>
      <w:tr w:rsidR="00A61684" w:rsidRPr="00A61684" w14:paraId="02230D17" w14:textId="77777777" w:rsidTr="00207E57">
        <w:tc>
          <w:tcPr>
            <w:tcW w:w="2122" w:type="dxa"/>
          </w:tcPr>
          <w:p w14:paraId="118F97D3" w14:textId="47F841DE" w:rsidR="004D7D20" w:rsidRPr="004C1C0E" w:rsidRDefault="004D7D20" w:rsidP="00CB2ED4">
            <w:pPr>
              <w:jc w:val="both"/>
              <w:rPr>
                <w:rFonts w:ascii="Times New Roman" w:hAnsi="Times New Roman" w:cs="Times New Roman"/>
                <w:b/>
                <w:bCs/>
                <w:sz w:val="24"/>
                <w:szCs w:val="24"/>
              </w:rPr>
            </w:pPr>
            <w:r w:rsidRPr="004C1C0E">
              <w:rPr>
                <w:rFonts w:ascii="Times New Roman" w:hAnsi="Times New Roman" w:cs="Times New Roman"/>
                <w:b/>
                <w:bCs/>
                <w:sz w:val="24"/>
                <w:szCs w:val="24"/>
              </w:rPr>
              <w:t>Dokumenta veids</w:t>
            </w:r>
          </w:p>
        </w:tc>
        <w:tc>
          <w:tcPr>
            <w:tcW w:w="6237" w:type="dxa"/>
          </w:tcPr>
          <w:p w14:paraId="4CC0239D" w14:textId="0C0F29B5" w:rsidR="004D7D20" w:rsidRPr="00E15EAE" w:rsidRDefault="00952874" w:rsidP="00CB2ED4">
            <w:pPr>
              <w:jc w:val="both"/>
              <w:rPr>
                <w:rFonts w:ascii="Times New Roman" w:hAnsi="Times New Roman" w:cs="Times New Roman"/>
                <w:sz w:val="24"/>
                <w:szCs w:val="24"/>
              </w:rPr>
            </w:pPr>
            <w:r w:rsidRPr="00822148">
              <w:rPr>
                <w:rFonts w:ascii="Times New Roman" w:hAnsi="Times New Roman" w:cs="Times New Roman"/>
                <w:sz w:val="24"/>
                <w:szCs w:val="24"/>
              </w:rPr>
              <w:t>Latvijas Bankas noteikumi</w:t>
            </w:r>
          </w:p>
        </w:tc>
      </w:tr>
      <w:tr w:rsidR="00A61684" w:rsidRPr="00A61684" w14:paraId="1E36ACC8" w14:textId="77777777" w:rsidTr="00207E57">
        <w:tc>
          <w:tcPr>
            <w:tcW w:w="2122" w:type="dxa"/>
          </w:tcPr>
          <w:p w14:paraId="15B9D0AC" w14:textId="0E1110C9" w:rsidR="00822148" w:rsidRPr="004C1C0E" w:rsidRDefault="004D7D20" w:rsidP="00CB2ED4">
            <w:pPr>
              <w:jc w:val="both"/>
              <w:rPr>
                <w:rFonts w:ascii="Times New Roman" w:hAnsi="Times New Roman" w:cs="Times New Roman"/>
                <w:b/>
                <w:bCs/>
                <w:sz w:val="24"/>
                <w:szCs w:val="24"/>
              </w:rPr>
            </w:pPr>
            <w:r w:rsidRPr="004C1C0E">
              <w:rPr>
                <w:rFonts w:ascii="Times New Roman" w:hAnsi="Times New Roman" w:cs="Times New Roman"/>
                <w:b/>
                <w:bCs/>
                <w:sz w:val="24"/>
                <w:szCs w:val="24"/>
              </w:rPr>
              <w:t>Izdošanas pamatojums</w:t>
            </w:r>
          </w:p>
        </w:tc>
        <w:tc>
          <w:tcPr>
            <w:tcW w:w="6237" w:type="dxa"/>
          </w:tcPr>
          <w:p w14:paraId="14871B80" w14:textId="3CBFBA2E" w:rsidR="00AF3B0F" w:rsidRPr="00097BDE" w:rsidRDefault="007677F6" w:rsidP="00373D40">
            <w:pPr>
              <w:pStyle w:val="ListParagraph"/>
              <w:ind w:left="0"/>
              <w:rPr>
                <w:rFonts w:ascii="Times New Roman" w:hAnsi="Times New Roman" w:cs="Times New Roman"/>
                <w:sz w:val="24"/>
                <w:szCs w:val="24"/>
              </w:rPr>
            </w:pPr>
            <w:r w:rsidRPr="00097BDE">
              <w:rPr>
                <w:rFonts w:ascii="Times New Roman" w:hAnsi="Times New Roman" w:cs="Times New Roman"/>
                <w:sz w:val="24"/>
                <w:szCs w:val="24"/>
              </w:rPr>
              <w:t xml:space="preserve">Kredītiestāžu likuma </w:t>
            </w:r>
            <w:r w:rsidR="00861E61" w:rsidRPr="00097BDE">
              <w:rPr>
                <w:rFonts w:ascii="Times New Roman" w:hAnsi="Times New Roman" w:cs="Times New Roman"/>
                <w:sz w:val="24"/>
                <w:szCs w:val="24"/>
              </w:rPr>
              <w:t>50.</w:t>
            </w:r>
            <w:r w:rsidR="00E15EAE" w:rsidRPr="00097BDE">
              <w:rPr>
                <w:rFonts w:ascii="Times New Roman" w:hAnsi="Times New Roman" w:cs="Times New Roman"/>
                <w:sz w:val="24"/>
                <w:szCs w:val="24"/>
              </w:rPr>
              <w:t> </w:t>
            </w:r>
            <w:r w:rsidR="00861E61" w:rsidRPr="00097BDE">
              <w:rPr>
                <w:rFonts w:ascii="Times New Roman" w:hAnsi="Times New Roman" w:cs="Times New Roman"/>
                <w:sz w:val="24"/>
                <w:szCs w:val="24"/>
              </w:rPr>
              <w:t xml:space="preserve">panta </w:t>
            </w:r>
            <w:r w:rsidR="00B8775C" w:rsidRPr="00097BDE">
              <w:rPr>
                <w:rFonts w:ascii="Times New Roman" w:hAnsi="Times New Roman" w:cs="Times New Roman"/>
                <w:sz w:val="24"/>
                <w:szCs w:val="24"/>
              </w:rPr>
              <w:t xml:space="preserve">otrā </w:t>
            </w:r>
            <w:r w:rsidR="00861E61" w:rsidRPr="00097BDE">
              <w:rPr>
                <w:rFonts w:ascii="Times New Roman" w:hAnsi="Times New Roman" w:cs="Times New Roman"/>
                <w:sz w:val="24"/>
                <w:szCs w:val="24"/>
              </w:rPr>
              <w:t xml:space="preserve">un </w:t>
            </w:r>
            <w:r w:rsidR="00B8775C" w:rsidRPr="00097BDE">
              <w:rPr>
                <w:rFonts w:ascii="Times New Roman" w:hAnsi="Times New Roman" w:cs="Times New Roman"/>
                <w:sz w:val="24"/>
                <w:szCs w:val="24"/>
              </w:rPr>
              <w:t>trešā daļa</w:t>
            </w:r>
          </w:p>
        </w:tc>
      </w:tr>
      <w:tr w:rsidR="00A61684" w:rsidRPr="00A61684" w14:paraId="46DB522F" w14:textId="77777777" w:rsidTr="00207E57">
        <w:tc>
          <w:tcPr>
            <w:tcW w:w="2122" w:type="dxa"/>
          </w:tcPr>
          <w:p w14:paraId="2B8F0582" w14:textId="0D060E95" w:rsidR="00957CFE" w:rsidRPr="004C1C0E" w:rsidRDefault="009E6A95" w:rsidP="00E15EAE">
            <w:pPr>
              <w:jc w:val="both"/>
              <w:rPr>
                <w:rFonts w:ascii="Times New Roman" w:hAnsi="Times New Roman" w:cs="Times New Roman"/>
                <w:b/>
                <w:bCs/>
                <w:sz w:val="24"/>
                <w:szCs w:val="24"/>
              </w:rPr>
            </w:pPr>
            <w:r w:rsidRPr="004C1C0E">
              <w:rPr>
                <w:rFonts w:ascii="Times New Roman" w:hAnsi="Times New Roman" w:cs="Times New Roman"/>
                <w:b/>
                <w:bCs/>
                <w:sz w:val="24"/>
                <w:szCs w:val="24"/>
              </w:rPr>
              <w:t>Mērķis un būtība</w:t>
            </w:r>
          </w:p>
        </w:tc>
        <w:tc>
          <w:tcPr>
            <w:tcW w:w="6237" w:type="dxa"/>
          </w:tcPr>
          <w:p w14:paraId="73E98DAA" w14:textId="1EB88142" w:rsidR="002C12BF" w:rsidRPr="002C12BF" w:rsidRDefault="002C12BF" w:rsidP="002C12BF">
            <w:pPr>
              <w:jc w:val="both"/>
              <w:rPr>
                <w:rFonts w:ascii="Times New Roman" w:hAnsi="Times New Roman" w:cs="Times New Roman"/>
                <w:sz w:val="24"/>
                <w:szCs w:val="24"/>
              </w:rPr>
            </w:pPr>
            <w:r w:rsidRPr="002C12BF">
              <w:rPr>
                <w:rFonts w:ascii="Times New Roman" w:hAnsi="Times New Roman" w:cs="Times New Roman"/>
                <w:sz w:val="24"/>
                <w:szCs w:val="24"/>
              </w:rPr>
              <w:t>Saskaņā ar Latvijas Bankas likuma pārejas noteikumu 3.</w:t>
            </w:r>
            <w:r>
              <w:rPr>
                <w:rFonts w:ascii="Times New Roman" w:hAnsi="Times New Roman" w:cs="Times New Roman"/>
                <w:sz w:val="24"/>
                <w:szCs w:val="24"/>
              </w:rPr>
              <w:t> </w:t>
            </w:r>
            <w:r w:rsidRPr="002C12BF">
              <w:rPr>
                <w:rFonts w:ascii="Times New Roman" w:hAnsi="Times New Roman" w:cs="Times New Roman"/>
                <w:sz w:val="24"/>
                <w:szCs w:val="24"/>
              </w:rPr>
              <w:t>punktu Latvijas Bankas un Finanšu un kapitāla tirgus komisijas līdz Latvijas Bankas likuma spēkā stāšanās dienai izdotie ārējie normatīvie akti, vadlīnijas un ieteikumi piemērojami līdz dienai, kad stājas spēkā attiecīgie Latvijas Bankas ārējie normatīvie akti, vadlīnijas vai ieteikumi, bet ne ilgāk kā līdz 2024.</w:t>
            </w:r>
            <w:r>
              <w:rPr>
                <w:rFonts w:ascii="Times New Roman" w:hAnsi="Times New Roman" w:cs="Times New Roman"/>
                <w:sz w:val="24"/>
                <w:szCs w:val="24"/>
              </w:rPr>
              <w:t> </w:t>
            </w:r>
            <w:r w:rsidRPr="002C12BF">
              <w:rPr>
                <w:rFonts w:ascii="Times New Roman" w:hAnsi="Times New Roman" w:cs="Times New Roman"/>
                <w:sz w:val="24"/>
                <w:szCs w:val="24"/>
              </w:rPr>
              <w:t>gada 31.</w:t>
            </w:r>
            <w:r>
              <w:rPr>
                <w:rFonts w:ascii="Times New Roman" w:hAnsi="Times New Roman" w:cs="Times New Roman"/>
                <w:sz w:val="24"/>
                <w:szCs w:val="24"/>
              </w:rPr>
              <w:t> </w:t>
            </w:r>
            <w:r w:rsidRPr="002C12BF">
              <w:rPr>
                <w:rFonts w:ascii="Times New Roman" w:hAnsi="Times New Roman" w:cs="Times New Roman"/>
                <w:sz w:val="24"/>
                <w:szCs w:val="24"/>
              </w:rPr>
              <w:t>decembrim.</w:t>
            </w:r>
          </w:p>
          <w:p w14:paraId="61ECA3AC" w14:textId="77777777" w:rsidR="002C12BF" w:rsidRPr="002C12BF" w:rsidRDefault="002C12BF" w:rsidP="002C12BF">
            <w:pPr>
              <w:jc w:val="both"/>
              <w:rPr>
                <w:rFonts w:ascii="Times New Roman" w:hAnsi="Times New Roman" w:cs="Times New Roman"/>
                <w:sz w:val="24"/>
                <w:szCs w:val="24"/>
              </w:rPr>
            </w:pPr>
          </w:p>
          <w:p w14:paraId="57520890" w14:textId="1ACF0C8D" w:rsidR="00B8775C" w:rsidRDefault="002C12BF" w:rsidP="002C12BF">
            <w:pPr>
              <w:jc w:val="both"/>
              <w:rPr>
                <w:rFonts w:ascii="Times New Roman" w:hAnsi="Times New Roman" w:cs="Times New Roman"/>
                <w:sz w:val="24"/>
                <w:szCs w:val="24"/>
              </w:rPr>
            </w:pPr>
            <w:r w:rsidRPr="002C12BF">
              <w:rPr>
                <w:rFonts w:ascii="Times New Roman" w:hAnsi="Times New Roman" w:cs="Times New Roman"/>
                <w:sz w:val="24"/>
                <w:szCs w:val="24"/>
              </w:rPr>
              <w:t>Ņemot vērā minēto, Latvijas Banka ir izstrādājusi noteikumu projektu "</w:t>
            </w:r>
            <w:r w:rsidR="00D40121" w:rsidRPr="00D40121">
              <w:rPr>
                <w:rFonts w:ascii="Times New Roman" w:hAnsi="Times New Roman" w:cs="Times New Roman"/>
                <w:sz w:val="24"/>
                <w:szCs w:val="24"/>
              </w:rPr>
              <w:t>Kredītiestāžu kapitāla pietiekamības novērtēšanas procesa noteikumi</w:t>
            </w:r>
            <w:r w:rsidRPr="002C12BF">
              <w:rPr>
                <w:rFonts w:ascii="Times New Roman" w:hAnsi="Times New Roman" w:cs="Times New Roman"/>
                <w:sz w:val="24"/>
                <w:szCs w:val="24"/>
              </w:rPr>
              <w:t>" (turpmāk</w:t>
            </w:r>
            <w:r>
              <w:rPr>
                <w:rFonts w:ascii="Times New Roman" w:hAnsi="Times New Roman" w:cs="Times New Roman"/>
                <w:sz w:val="24"/>
                <w:szCs w:val="24"/>
              </w:rPr>
              <w:t> </w:t>
            </w:r>
            <w:r w:rsidRPr="002C12BF">
              <w:rPr>
                <w:rFonts w:ascii="Times New Roman" w:hAnsi="Times New Roman" w:cs="Times New Roman"/>
                <w:sz w:val="24"/>
                <w:szCs w:val="24"/>
              </w:rPr>
              <w:t xml:space="preserve">– </w:t>
            </w:r>
            <w:r w:rsidR="00191F1F">
              <w:rPr>
                <w:rFonts w:ascii="Times New Roman" w:hAnsi="Times New Roman" w:cs="Times New Roman"/>
                <w:sz w:val="24"/>
                <w:szCs w:val="24"/>
              </w:rPr>
              <w:t>n</w:t>
            </w:r>
            <w:r w:rsidR="00191F1F" w:rsidRPr="002C12BF">
              <w:rPr>
                <w:rFonts w:ascii="Times New Roman" w:hAnsi="Times New Roman" w:cs="Times New Roman"/>
                <w:sz w:val="24"/>
                <w:szCs w:val="24"/>
              </w:rPr>
              <w:t xml:space="preserve">oteikumu </w:t>
            </w:r>
            <w:r w:rsidRPr="002C12BF">
              <w:rPr>
                <w:rFonts w:ascii="Times New Roman" w:hAnsi="Times New Roman" w:cs="Times New Roman"/>
                <w:sz w:val="24"/>
                <w:szCs w:val="24"/>
              </w:rPr>
              <w:t xml:space="preserve">projekts), kas aizstās </w:t>
            </w:r>
            <w:r w:rsidR="00856F8D" w:rsidRPr="00856F8D">
              <w:rPr>
                <w:rFonts w:ascii="Times New Roman" w:hAnsi="Times New Roman" w:cs="Times New Roman"/>
                <w:sz w:val="24"/>
                <w:szCs w:val="24"/>
              </w:rPr>
              <w:t>Finanšu un kapitāla tirgus komisijas 2020.</w:t>
            </w:r>
            <w:r w:rsidR="00856F8D">
              <w:rPr>
                <w:rFonts w:ascii="Times New Roman" w:hAnsi="Times New Roman" w:cs="Times New Roman"/>
                <w:sz w:val="24"/>
                <w:szCs w:val="24"/>
              </w:rPr>
              <w:t> </w:t>
            </w:r>
            <w:r w:rsidR="00856F8D" w:rsidRPr="00856F8D">
              <w:rPr>
                <w:rFonts w:ascii="Times New Roman" w:hAnsi="Times New Roman" w:cs="Times New Roman"/>
                <w:sz w:val="24"/>
                <w:szCs w:val="24"/>
              </w:rPr>
              <w:t>gada 3.</w:t>
            </w:r>
            <w:r w:rsidR="00856F8D">
              <w:rPr>
                <w:rFonts w:ascii="Times New Roman" w:hAnsi="Times New Roman" w:cs="Times New Roman"/>
                <w:sz w:val="24"/>
                <w:szCs w:val="24"/>
              </w:rPr>
              <w:t> </w:t>
            </w:r>
            <w:r w:rsidR="00856F8D" w:rsidRPr="00856F8D">
              <w:rPr>
                <w:rFonts w:ascii="Times New Roman" w:hAnsi="Times New Roman" w:cs="Times New Roman"/>
                <w:sz w:val="24"/>
                <w:szCs w:val="24"/>
              </w:rPr>
              <w:t>novembra normatīvos noteikumus Nr.</w:t>
            </w:r>
            <w:r w:rsidR="00856F8D">
              <w:rPr>
                <w:rFonts w:ascii="Times New Roman" w:hAnsi="Times New Roman" w:cs="Times New Roman"/>
                <w:sz w:val="24"/>
                <w:szCs w:val="24"/>
              </w:rPr>
              <w:t> </w:t>
            </w:r>
            <w:r w:rsidR="00856F8D" w:rsidRPr="00856F8D">
              <w:rPr>
                <w:rFonts w:ascii="Times New Roman" w:hAnsi="Times New Roman" w:cs="Times New Roman"/>
                <w:sz w:val="24"/>
                <w:szCs w:val="24"/>
              </w:rPr>
              <w:t>209 "Ka</w:t>
            </w:r>
            <w:r w:rsidR="00856F8D" w:rsidRPr="0043727F">
              <w:rPr>
                <w:rFonts w:ascii="Times New Roman" w:hAnsi="Times New Roman" w:cs="Times New Roman"/>
                <w:sz w:val="24"/>
                <w:szCs w:val="24"/>
              </w:rPr>
              <w:t>pitāla un likviditātes pietiekamības novērtēšanas procesa izveides</w:t>
            </w:r>
            <w:r w:rsidR="00856F8D" w:rsidRPr="00856F8D">
              <w:rPr>
                <w:rFonts w:ascii="Times New Roman" w:hAnsi="Times New Roman" w:cs="Times New Roman"/>
                <w:sz w:val="24"/>
                <w:szCs w:val="24"/>
              </w:rPr>
              <w:t xml:space="preserve"> normatīvie noteikumi" </w:t>
            </w:r>
            <w:r w:rsidRPr="002C12BF">
              <w:rPr>
                <w:rFonts w:ascii="Times New Roman" w:hAnsi="Times New Roman" w:cs="Times New Roman"/>
                <w:sz w:val="24"/>
                <w:szCs w:val="24"/>
              </w:rPr>
              <w:t>(turpmāk</w:t>
            </w:r>
            <w:r w:rsidR="00856F8D">
              <w:rPr>
                <w:rFonts w:ascii="Times New Roman" w:hAnsi="Times New Roman" w:cs="Times New Roman"/>
                <w:sz w:val="24"/>
                <w:szCs w:val="24"/>
              </w:rPr>
              <w:t> </w:t>
            </w:r>
            <w:r w:rsidRPr="002C12BF">
              <w:rPr>
                <w:rFonts w:ascii="Times New Roman" w:hAnsi="Times New Roman" w:cs="Times New Roman"/>
                <w:sz w:val="24"/>
                <w:szCs w:val="24"/>
              </w:rPr>
              <w:t>– Noteikumi Nr.</w:t>
            </w:r>
            <w:r w:rsidR="00856F8D">
              <w:rPr>
                <w:rFonts w:ascii="Times New Roman" w:hAnsi="Times New Roman" w:cs="Times New Roman"/>
                <w:sz w:val="24"/>
                <w:szCs w:val="24"/>
              </w:rPr>
              <w:t> 209</w:t>
            </w:r>
            <w:r w:rsidRPr="002C12BF">
              <w:rPr>
                <w:rFonts w:ascii="Times New Roman" w:hAnsi="Times New Roman" w:cs="Times New Roman"/>
                <w:sz w:val="24"/>
                <w:szCs w:val="24"/>
              </w:rPr>
              <w:t>).</w:t>
            </w:r>
          </w:p>
          <w:p w14:paraId="4F15B058" w14:textId="77777777" w:rsidR="00B8775C" w:rsidRDefault="00B8775C" w:rsidP="00132940">
            <w:pPr>
              <w:jc w:val="both"/>
              <w:rPr>
                <w:rFonts w:ascii="Times New Roman" w:hAnsi="Times New Roman" w:cs="Times New Roman"/>
                <w:sz w:val="24"/>
                <w:szCs w:val="24"/>
              </w:rPr>
            </w:pPr>
          </w:p>
          <w:p w14:paraId="031FBEB4" w14:textId="6EE0D8BB" w:rsidR="00132940" w:rsidRPr="00D6188E" w:rsidRDefault="00132940" w:rsidP="00772377">
            <w:pPr>
              <w:jc w:val="both"/>
              <w:rPr>
                <w:rFonts w:ascii="Times New Roman" w:hAnsi="Times New Roman" w:cs="Times New Roman"/>
                <w:sz w:val="24"/>
                <w:szCs w:val="24"/>
              </w:rPr>
            </w:pPr>
            <w:r w:rsidRPr="00D6150A">
              <w:rPr>
                <w:rFonts w:ascii="Times New Roman" w:hAnsi="Times New Roman" w:cs="Times New Roman"/>
                <w:sz w:val="24"/>
                <w:szCs w:val="24"/>
              </w:rPr>
              <w:t>Saskaņā ar Kredītiestāžu likuma 101.</w:t>
            </w:r>
            <w:r w:rsidRPr="00D6150A">
              <w:rPr>
                <w:rFonts w:ascii="Times New Roman" w:hAnsi="Times New Roman" w:cs="Times New Roman"/>
                <w:sz w:val="24"/>
                <w:szCs w:val="24"/>
                <w:vertAlign w:val="superscript"/>
              </w:rPr>
              <w:t>3</w:t>
            </w:r>
            <w:r w:rsidR="00E15EAE" w:rsidRPr="00F15B8E">
              <w:rPr>
                <w:rFonts w:ascii="Times New Roman" w:hAnsi="Times New Roman" w:cs="Times New Roman"/>
                <w:sz w:val="24"/>
                <w:szCs w:val="24"/>
                <w:vertAlign w:val="superscript"/>
              </w:rPr>
              <w:t> </w:t>
            </w:r>
            <w:r w:rsidR="00772377" w:rsidRPr="00D6150A">
              <w:rPr>
                <w:rFonts w:ascii="Times New Roman" w:hAnsi="Times New Roman" w:cs="Times New Roman"/>
                <w:sz w:val="24"/>
                <w:szCs w:val="24"/>
              </w:rPr>
              <w:t>pant</w:t>
            </w:r>
            <w:r w:rsidR="00772377">
              <w:rPr>
                <w:rFonts w:ascii="Times New Roman" w:hAnsi="Times New Roman" w:cs="Times New Roman"/>
                <w:sz w:val="24"/>
                <w:szCs w:val="24"/>
              </w:rPr>
              <w:t>a trešo daļu</w:t>
            </w:r>
            <w:r w:rsidR="00C23BF9">
              <w:rPr>
                <w:rFonts w:ascii="Times New Roman" w:hAnsi="Times New Roman" w:cs="Times New Roman"/>
                <w:sz w:val="24"/>
                <w:szCs w:val="24"/>
              </w:rPr>
              <w:t>, p</w:t>
            </w:r>
            <w:r w:rsidR="00C23BF9" w:rsidRPr="00C23BF9">
              <w:rPr>
                <w:rFonts w:ascii="Times New Roman" w:hAnsi="Times New Roman" w:cs="Times New Roman"/>
                <w:sz w:val="24"/>
                <w:szCs w:val="24"/>
              </w:rPr>
              <w:t>amatojoties uz veikto pārbaudi un novērtējumu</w:t>
            </w:r>
            <w:r w:rsidR="00C23BF9">
              <w:rPr>
                <w:rFonts w:ascii="Times New Roman" w:hAnsi="Times New Roman" w:cs="Times New Roman"/>
                <w:sz w:val="24"/>
                <w:szCs w:val="24"/>
              </w:rPr>
              <w:t>,</w:t>
            </w:r>
            <w:r w:rsidR="00772377" w:rsidRPr="00D6150A">
              <w:rPr>
                <w:rFonts w:ascii="Times New Roman" w:hAnsi="Times New Roman" w:cs="Times New Roman"/>
                <w:sz w:val="24"/>
                <w:szCs w:val="24"/>
              </w:rPr>
              <w:t xml:space="preserve"> </w:t>
            </w:r>
            <w:r w:rsidRPr="00D6150A">
              <w:rPr>
                <w:rFonts w:ascii="Times New Roman" w:hAnsi="Times New Roman" w:cs="Times New Roman"/>
                <w:sz w:val="24"/>
                <w:szCs w:val="24"/>
              </w:rPr>
              <w:t>Latvijas Banka</w:t>
            </w:r>
            <w:r w:rsidR="00772377">
              <w:rPr>
                <w:rFonts w:ascii="Times New Roman" w:hAnsi="Times New Roman" w:cs="Times New Roman"/>
                <w:sz w:val="24"/>
                <w:szCs w:val="24"/>
              </w:rPr>
              <w:t xml:space="preserve"> lemj, </w:t>
            </w:r>
            <w:r w:rsidRPr="00D6150A">
              <w:rPr>
                <w:rFonts w:ascii="Times New Roman" w:hAnsi="Times New Roman" w:cs="Times New Roman"/>
                <w:sz w:val="24"/>
                <w:szCs w:val="24"/>
              </w:rPr>
              <w:t xml:space="preserve">vai kredītiestādes stratēģija, procedūras un īstenotie pasākumi nodrošina pietiekamu risku pārvaldīšanu un vai kredītiestādes pašu kapitāls ir pietiekams tās darbībai piemītošo un varbūtējo risku segšanai. </w:t>
            </w:r>
            <w:r w:rsidR="00E668BC">
              <w:rPr>
                <w:rFonts w:ascii="Times New Roman" w:hAnsi="Times New Roman" w:cs="Times New Roman"/>
                <w:sz w:val="24"/>
                <w:szCs w:val="24"/>
              </w:rPr>
              <w:t xml:space="preserve">Savukārt </w:t>
            </w:r>
            <w:r w:rsidRPr="00D6150A">
              <w:rPr>
                <w:rFonts w:ascii="Times New Roman" w:hAnsi="Times New Roman" w:cs="Times New Roman"/>
                <w:sz w:val="24"/>
                <w:szCs w:val="24"/>
              </w:rPr>
              <w:t>Kredītiestāžu likuma 36.</w:t>
            </w:r>
            <w:r w:rsidRPr="00D6150A">
              <w:rPr>
                <w:rFonts w:ascii="Times New Roman" w:hAnsi="Times New Roman" w:cs="Times New Roman"/>
                <w:sz w:val="24"/>
                <w:szCs w:val="24"/>
                <w:vertAlign w:val="superscript"/>
              </w:rPr>
              <w:t>2</w:t>
            </w:r>
            <w:r w:rsidR="00E15EAE">
              <w:rPr>
                <w:rFonts w:ascii="Times New Roman" w:hAnsi="Times New Roman" w:cs="Times New Roman"/>
                <w:sz w:val="24"/>
                <w:szCs w:val="24"/>
                <w:vertAlign w:val="superscript"/>
              </w:rPr>
              <w:t> </w:t>
            </w:r>
            <w:r w:rsidR="00DA03F3" w:rsidRPr="00D6150A">
              <w:rPr>
                <w:rFonts w:ascii="Times New Roman" w:hAnsi="Times New Roman" w:cs="Times New Roman"/>
                <w:sz w:val="24"/>
                <w:szCs w:val="24"/>
              </w:rPr>
              <w:t>pant</w:t>
            </w:r>
            <w:r w:rsidR="00DA03F3">
              <w:rPr>
                <w:rFonts w:ascii="Times New Roman" w:hAnsi="Times New Roman" w:cs="Times New Roman"/>
                <w:sz w:val="24"/>
                <w:szCs w:val="24"/>
              </w:rPr>
              <w:t>a pirmā daļa</w:t>
            </w:r>
            <w:r w:rsidR="00DA03F3" w:rsidRPr="00D6150A">
              <w:rPr>
                <w:rFonts w:ascii="Times New Roman" w:hAnsi="Times New Roman" w:cs="Times New Roman"/>
                <w:sz w:val="24"/>
                <w:szCs w:val="24"/>
              </w:rPr>
              <w:t xml:space="preserve"> </w:t>
            </w:r>
            <w:r w:rsidRPr="00D6150A">
              <w:rPr>
                <w:rFonts w:ascii="Times New Roman" w:hAnsi="Times New Roman" w:cs="Times New Roman"/>
                <w:sz w:val="24"/>
                <w:szCs w:val="24"/>
              </w:rPr>
              <w:t>nosaka kredītiestādēm pienākumu novērtēt savai darbībai piemītošo un varbūtējo risku segšanai nepieciešamo kapitālu un nodrošināt tā pietiekamību</w:t>
            </w:r>
            <w:r w:rsidR="00DA03F3">
              <w:rPr>
                <w:rFonts w:ascii="Times New Roman" w:hAnsi="Times New Roman" w:cs="Times New Roman"/>
                <w:sz w:val="24"/>
                <w:szCs w:val="24"/>
              </w:rPr>
              <w:t xml:space="preserve">, </w:t>
            </w:r>
            <w:r w:rsidR="009D464D">
              <w:rPr>
                <w:rFonts w:ascii="Times New Roman" w:hAnsi="Times New Roman" w:cs="Times New Roman"/>
                <w:sz w:val="24"/>
                <w:szCs w:val="24"/>
              </w:rPr>
              <w:t xml:space="preserve">tai skaitā </w:t>
            </w:r>
            <w:r w:rsidR="00DA03F3">
              <w:rPr>
                <w:rFonts w:ascii="Times New Roman" w:hAnsi="Times New Roman" w:cs="Times New Roman"/>
                <w:sz w:val="24"/>
                <w:szCs w:val="24"/>
              </w:rPr>
              <w:t>saskaņā ar Kredītiestāžu likuma 36.</w:t>
            </w:r>
            <w:r w:rsidR="00DA03F3" w:rsidRPr="000D30BF">
              <w:rPr>
                <w:rFonts w:ascii="Times New Roman" w:hAnsi="Times New Roman" w:cs="Times New Roman"/>
                <w:sz w:val="24"/>
                <w:szCs w:val="24"/>
                <w:vertAlign w:val="superscript"/>
              </w:rPr>
              <w:t>2</w:t>
            </w:r>
            <w:r w:rsidR="00DA03F3">
              <w:rPr>
                <w:rFonts w:ascii="Times New Roman" w:hAnsi="Times New Roman" w:cs="Times New Roman"/>
                <w:sz w:val="24"/>
                <w:szCs w:val="24"/>
                <w:vertAlign w:val="superscript"/>
              </w:rPr>
              <w:t> </w:t>
            </w:r>
            <w:r w:rsidR="00DA03F3">
              <w:rPr>
                <w:rFonts w:ascii="Times New Roman" w:hAnsi="Times New Roman" w:cs="Times New Roman"/>
                <w:sz w:val="24"/>
                <w:szCs w:val="24"/>
              </w:rPr>
              <w:t>panta 2</w:t>
            </w:r>
            <w:r w:rsidR="00F16488">
              <w:rPr>
                <w:rFonts w:ascii="Times New Roman" w:hAnsi="Times New Roman" w:cs="Times New Roman"/>
                <w:sz w:val="24"/>
                <w:szCs w:val="24"/>
              </w:rPr>
              <w:t>.</w:t>
            </w:r>
            <w:r w:rsidR="00DA03F3" w:rsidRPr="000D30BF">
              <w:rPr>
                <w:rFonts w:ascii="Times New Roman" w:hAnsi="Times New Roman" w:cs="Times New Roman"/>
                <w:sz w:val="24"/>
                <w:szCs w:val="24"/>
                <w:vertAlign w:val="superscript"/>
              </w:rPr>
              <w:t>1</w:t>
            </w:r>
            <w:r w:rsidR="00DA03F3">
              <w:rPr>
                <w:rFonts w:ascii="Times New Roman" w:hAnsi="Times New Roman" w:cs="Times New Roman"/>
                <w:sz w:val="24"/>
                <w:szCs w:val="24"/>
                <w:vertAlign w:val="superscript"/>
              </w:rPr>
              <w:t> </w:t>
            </w:r>
            <w:r w:rsidR="00DA03F3">
              <w:rPr>
                <w:rFonts w:ascii="Times New Roman" w:hAnsi="Times New Roman" w:cs="Times New Roman"/>
                <w:sz w:val="24"/>
                <w:szCs w:val="24"/>
              </w:rPr>
              <w:t xml:space="preserve">daļu kredītiestādei tās kapitāls jānosaka </w:t>
            </w:r>
            <w:r w:rsidR="00DA03F3" w:rsidRPr="00DA03F3">
              <w:rPr>
                <w:rFonts w:ascii="Times New Roman" w:hAnsi="Times New Roman" w:cs="Times New Roman"/>
                <w:sz w:val="24"/>
                <w:szCs w:val="24"/>
              </w:rPr>
              <w:t>tādā piemērotā pašu kapitāla līmenī, kas ir pietiekams visu to risku segšanai, kādiem kredītiestāde ir pakļauta, un spēj segt iespējamos zaudējumus, uz kuriem norāda kredītiestādes un Latvijas Bankas veiktās stresa testēšanas rezultāti</w:t>
            </w:r>
            <w:r w:rsidRPr="00D6150A">
              <w:rPr>
                <w:rFonts w:ascii="Times New Roman" w:hAnsi="Times New Roman" w:cs="Times New Roman"/>
                <w:sz w:val="24"/>
                <w:szCs w:val="24"/>
              </w:rPr>
              <w:t>.</w:t>
            </w:r>
          </w:p>
          <w:p w14:paraId="73E39F62" w14:textId="77777777" w:rsidR="00132940" w:rsidRPr="00D6150A" w:rsidRDefault="00132940" w:rsidP="00132940">
            <w:pPr>
              <w:jc w:val="both"/>
              <w:rPr>
                <w:rFonts w:ascii="Times New Roman" w:hAnsi="Times New Roman" w:cs="Times New Roman"/>
                <w:sz w:val="24"/>
                <w:szCs w:val="24"/>
              </w:rPr>
            </w:pPr>
          </w:p>
          <w:p w14:paraId="2A5648E0" w14:textId="7DBDEACA" w:rsidR="001E701B" w:rsidRPr="00D6150A" w:rsidRDefault="00132940" w:rsidP="00132940">
            <w:pPr>
              <w:jc w:val="both"/>
              <w:rPr>
                <w:rFonts w:ascii="Times New Roman" w:hAnsi="Times New Roman" w:cs="Times New Roman"/>
                <w:sz w:val="24"/>
                <w:szCs w:val="24"/>
              </w:rPr>
            </w:pPr>
            <w:r w:rsidRPr="00D6150A">
              <w:rPr>
                <w:rFonts w:ascii="Times New Roman" w:hAnsi="Times New Roman" w:cs="Times New Roman"/>
                <w:sz w:val="24"/>
                <w:szCs w:val="24"/>
              </w:rPr>
              <w:t>Saskaņā ar Kredītiestāžu likuma 50.</w:t>
            </w:r>
            <w:r w:rsidR="00E15EAE">
              <w:rPr>
                <w:rFonts w:ascii="Times New Roman" w:hAnsi="Times New Roman" w:cs="Times New Roman"/>
                <w:sz w:val="24"/>
                <w:szCs w:val="24"/>
              </w:rPr>
              <w:t> </w:t>
            </w:r>
            <w:r w:rsidRPr="00D6150A">
              <w:rPr>
                <w:rFonts w:ascii="Times New Roman" w:hAnsi="Times New Roman" w:cs="Times New Roman"/>
                <w:sz w:val="24"/>
                <w:szCs w:val="24"/>
              </w:rPr>
              <w:t xml:space="preserve">panta otrajā un trešajā daļā noteikto deleģējumu Latvijas Bankai ir tiesības </w:t>
            </w:r>
            <w:r w:rsidR="000D30BF">
              <w:rPr>
                <w:rFonts w:ascii="Times New Roman" w:hAnsi="Times New Roman" w:cs="Times New Roman"/>
                <w:sz w:val="24"/>
                <w:szCs w:val="24"/>
              </w:rPr>
              <w:t xml:space="preserve">noteikt </w:t>
            </w:r>
            <w:r w:rsidRPr="00D6150A">
              <w:rPr>
                <w:rFonts w:ascii="Times New Roman" w:hAnsi="Times New Roman" w:cs="Times New Roman"/>
                <w:sz w:val="24"/>
                <w:szCs w:val="24"/>
              </w:rPr>
              <w:t xml:space="preserve">kapitāla pietiekamības novērtēšanas </w:t>
            </w:r>
            <w:r w:rsidR="00736C30" w:rsidRPr="00D6150A">
              <w:rPr>
                <w:rFonts w:ascii="Times New Roman" w:hAnsi="Times New Roman" w:cs="Times New Roman"/>
                <w:sz w:val="24"/>
                <w:szCs w:val="24"/>
              </w:rPr>
              <w:t>proces</w:t>
            </w:r>
            <w:r w:rsidR="00736C30">
              <w:rPr>
                <w:rFonts w:ascii="Times New Roman" w:hAnsi="Times New Roman" w:cs="Times New Roman"/>
                <w:sz w:val="24"/>
                <w:szCs w:val="24"/>
              </w:rPr>
              <w:t xml:space="preserve">a izveides vispārējos principus un tā īstenošanas prasības, kā arī </w:t>
            </w:r>
            <w:r w:rsidR="00F16488">
              <w:rPr>
                <w:rFonts w:ascii="Times New Roman" w:hAnsi="Times New Roman" w:cs="Times New Roman"/>
                <w:sz w:val="24"/>
                <w:szCs w:val="24"/>
              </w:rPr>
              <w:t xml:space="preserve">prasības </w:t>
            </w:r>
            <w:r w:rsidR="00736C30">
              <w:rPr>
                <w:rFonts w:ascii="Times New Roman" w:hAnsi="Times New Roman" w:cs="Times New Roman"/>
                <w:sz w:val="24"/>
                <w:szCs w:val="24"/>
              </w:rPr>
              <w:t xml:space="preserve">informācijas par </w:t>
            </w:r>
            <w:r w:rsidR="00736C30" w:rsidRPr="00736C30">
              <w:rPr>
                <w:rFonts w:ascii="Times New Roman" w:hAnsi="Times New Roman" w:cs="Times New Roman"/>
                <w:sz w:val="24"/>
                <w:szCs w:val="24"/>
              </w:rPr>
              <w:t xml:space="preserve">kapitāla pietiekamības novērtēšanas procesu </w:t>
            </w:r>
            <w:r w:rsidR="00736C30">
              <w:rPr>
                <w:rFonts w:ascii="Times New Roman" w:hAnsi="Times New Roman" w:cs="Times New Roman"/>
                <w:sz w:val="24"/>
                <w:szCs w:val="24"/>
              </w:rPr>
              <w:t>sagatavošana</w:t>
            </w:r>
            <w:r w:rsidR="00F16488">
              <w:rPr>
                <w:rFonts w:ascii="Times New Roman" w:hAnsi="Times New Roman" w:cs="Times New Roman"/>
                <w:sz w:val="24"/>
                <w:szCs w:val="24"/>
              </w:rPr>
              <w:t>i</w:t>
            </w:r>
            <w:r w:rsidR="00736C30">
              <w:rPr>
                <w:rFonts w:ascii="Times New Roman" w:hAnsi="Times New Roman" w:cs="Times New Roman"/>
                <w:sz w:val="24"/>
                <w:szCs w:val="24"/>
              </w:rPr>
              <w:t xml:space="preserve"> un ie</w:t>
            </w:r>
            <w:r w:rsidRPr="00D6150A">
              <w:rPr>
                <w:rFonts w:ascii="Times New Roman" w:hAnsi="Times New Roman" w:cs="Times New Roman"/>
                <w:sz w:val="24"/>
                <w:szCs w:val="24"/>
              </w:rPr>
              <w:t>sniegšana</w:t>
            </w:r>
            <w:r w:rsidR="00F16488">
              <w:rPr>
                <w:rFonts w:ascii="Times New Roman" w:hAnsi="Times New Roman" w:cs="Times New Roman"/>
                <w:sz w:val="24"/>
                <w:szCs w:val="24"/>
              </w:rPr>
              <w:t>i</w:t>
            </w:r>
            <w:r w:rsidRPr="00D6150A">
              <w:rPr>
                <w:rFonts w:ascii="Times New Roman" w:hAnsi="Times New Roman" w:cs="Times New Roman"/>
                <w:sz w:val="24"/>
                <w:szCs w:val="24"/>
              </w:rPr>
              <w:t xml:space="preserve"> </w:t>
            </w:r>
            <w:r w:rsidR="00736C30">
              <w:rPr>
                <w:rFonts w:ascii="Times New Roman" w:hAnsi="Times New Roman" w:cs="Times New Roman"/>
                <w:sz w:val="24"/>
                <w:szCs w:val="24"/>
              </w:rPr>
              <w:t>Latvijas Bank</w:t>
            </w:r>
            <w:r w:rsidR="003E3D8A">
              <w:rPr>
                <w:rFonts w:ascii="Times New Roman" w:hAnsi="Times New Roman" w:cs="Times New Roman"/>
                <w:sz w:val="24"/>
                <w:szCs w:val="24"/>
              </w:rPr>
              <w:t>ā</w:t>
            </w:r>
            <w:r w:rsidRPr="00D6150A">
              <w:rPr>
                <w:rFonts w:ascii="Times New Roman" w:hAnsi="Times New Roman" w:cs="Times New Roman"/>
                <w:sz w:val="24"/>
                <w:szCs w:val="24"/>
              </w:rPr>
              <w:t>.</w:t>
            </w:r>
          </w:p>
          <w:p w14:paraId="49AF1C51" w14:textId="77777777" w:rsidR="007A070F" w:rsidRPr="00D6150A" w:rsidRDefault="007A070F" w:rsidP="00132940">
            <w:pPr>
              <w:jc w:val="both"/>
              <w:rPr>
                <w:rFonts w:ascii="Times New Roman" w:hAnsi="Times New Roman" w:cs="Times New Roman"/>
                <w:sz w:val="24"/>
                <w:szCs w:val="24"/>
              </w:rPr>
            </w:pPr>
          </w:p>
          <w:p w14:paraId="4A504587" w14:textId="15742C95" w:rsidR="001E409F" w:rsidRDefault="00207E57" w:rsidP="00FB08FB">
            <w:pPr>
              <w:jc w:val="both"/>
              <w:rPr>
                <w:rFonts w:ascii="Times New Roman" w:hAnsi="Times New Roman" w:cs="Times New Roman"/>
                <w:sz w:val="24"/>
                <w:szCs w:val="24"/>
              </w:rPr>
            </w:pPr>
            <w:r w:rsidRPr="00D6150A">
              <w:rPr>
                <w:rFonts w:ascii="Times New Roman" w:hAnsi="Times New Roman" w:cs="Times New Roman"/>
                <w:sz w:val="24"/>
                <w:szCs w:val="24"/>
              </w:rPr>
              <w:t xml:space="preserve">Eiropas Banku iestāde </w:t>
            </w:r>
            <w:r w:rsidR="00191F1F">
              <w:rPr>
                <w:rFonts w:ascii="Times New Roman" w:hAnsi="Times New Roman" w:cs="Times New Roman"/>
                <w:sz w:val="24"/>
                <w:szCs w:val="24"/>
              </w:rPr>
              <w:t>(turpmāk </w:t>
            </w:r>
            <w:r w:rsidR="00191F1F" w:rsidRPr="002C12BF">
              <w:rPr>
                <w:rFonts w:ascii="Times New Roman" w:hAnsi="Times New Roman" w:cs="Times New Roman"/>
                <w:sz w:val="24"/>
                <w:szCs w:val="24"/>
              </w:rPr>
              <w:t>–</w:t>
            </w:r>
            <w:r w:rsidR="00191F1F">
              <w:rPr>
                <w:rFonts w:ascii="Times New Roman" w:hAnsi="Times New Roman" w:cs="Times New Roman"/>
                <w:sz w:val="24"/>
                <w:szCs w:val="24"/>
              </w:rPr>
              <w:t xml:space="preserve"> EBI) </w:t>
            </w:r>
            <w:r w:rsidRPr="00D6150A">
              <w:rPr>
                <w:rFonts w:ascii="Times New Roman" w:hAnsi="Times New Roman" w:cs="Times New Roman"/>
                <w:sz w:val="24"/>
                <w:szCs w:val="24"/>
              </w:rPr>
              <w:t>2022.</w:t>
            </w:r>
            <w:r w:rsidR="00E15EAE">
              <w:rPr>
                <w:rFonts w:ascii="Times New Roman" w:hAnsi="Times New Roman" w:cs="Times New Roman"/>
                <w:sz w:val="24"/>
                <w:szCs w:val="24"/>
              </w:rPr>
              <w:t> </w:t>
            </w:r>
            <w:r w:rsidRPr="00D6150A">
              <w:rPr>
                <w:rFonts w:ascii="Times New Roman" w:hAnsi="Times New Roman" w:cs="Times New Roman"/>
                <w:sz w:val="24"/>
                <w:szCs w:val="24"/>
              </w:rPr>
              <w:t>gada 18.</w:t>
            </w:r>
            <w:r w:rsidR="00E15EAE">
              <w:rPr>
                <w:rFonts w:ascii="Times New Roman" w:hAnsi="Times New Roman" w:cs="Times New Roman"/>
                <w:sz w:val="24"/>
                <w:szCs w:val="24"/>
              </w:rPr>
              <w:t> </w:t>
            </w:r>
            <w:r w:rsidRPr="00D6150A">
              <w:rPr>
                <w:rFonts w:ascii="Times New Roman" w:hAnsi="Times New Roman" w:cs="Times New Roman"/>
                <w:sz w:val="24"/>
                <w:szCs w:val="24"/>
              </w:rPr>
              <w:t xml:space="preserve">martā apstiprināja </w:t>
            </w:r>
            <w:r w:rsidR="00A41567" w:rsidRPr="00A41567">
              <w:rPr>
                <w:rFonts w:ascii="Times New Roman" w:hAnsi="Times New Roman" w:cs="Times New Roman"/>
                <w:sz w:val="24"/>
                <w:szCs w:val="24"/>
              </w:rPr>
              <w:t>pamatnostādn</w:t>
            </w:r>
            <w:r w:rsidR="00A41567">
              <w:rPr>
                <w:rFonts w:ascii="Times New Roman" w:hAnsi="Times New Roman" w:cs="Times New Roman"/>
                <w:sz w:val="24"/>
                <w:szCs w:val="24"/>
              </w:rPr>
              <w:t>es</w:t>
            </w:r>
            <w:r w:rsidR="00A41567" w:rsidRPr="00A41567">
              <w:rPr>
                <w:rFonts w:ascii="Times New Roman" w:hAnsi="Times New Roman" w:cs="Times New Roman"/>
                <w:sz w:val="24"/>
                <w:szCs w:val="24"/>
              </w:rPr>
              <w:t xml:space="preserve"> EBI/PN/2022/03 </w:t>
            </w:r>
            <w:r w:rsidR="00FD4C92" w:rsidRPr="00D6150A">
              <w:rPr>
                <w:rFonts w:ascii="Times New Roman" w:hAnsi="Times New Roman" w:cs="Times New Roman"/>
                <w:sz w:val="24"/>
                <w:szCs w:val="24"/>
              </w:rPr>
              <w:t>"</w:t>
            </w:r>
            <w:r w:rsidRPr="00D6150A">
              <w:rPr>
                <w:rFonts w:ascii="Times New Roman" w:hAnsi="Times New Roman" w:cs="Times New Roman"/>
                <w:sz w:val="24"/>
                <w:szCs w:val="24"/>
              </w:rPr>
              <w:t xml:space="preserve">Pamatnostādnes par kopējām procedūrām un metodiku </w:t>
            </w:r>
            <w:r w:rsidRPr="00D6150A">
              <w:rPr>
                <w:rFonts w:ascii="Times New Roman" w:hAnsi="Times New Roman" w:cs="Times New Roman"/>
                <w:sz w:val="24"/>
                <w:szCs w:val="24"/>
              </w:rPr>
              <w:lastRenderedPageBreak/>
              <w:t xml:space="preserve">uzraudzības pārbaudes un novērtēšanas procesam </w:t>
            </w:r>
            <w:r w:rsidRPr="00B33DE6">
              <w:rPr>
                <w:rFonts w:ascii="Times New Roman" w:hAnsi="Times New Roman" w:cs="Times New Roman"/>
                <w:i/>
                <w:iCs/>
                <w:sz w:val="24"/>
                <w:szCs w:val="24"/>
              </w:rPr>
              <w:t xml:space="preserve">(SREP) </w:t>
            </w:r>
            <w:r w:rsidRPr="00D6150A">
              <w:rPr>
                <w:rFonts w:ascii="Times New Roman" w:hAnsi="Times New Roman" w:cs="Times New Roman"/>
                <w:sz w:val="24"/>
                <w:szCs w:val="24"/>
              </w:rPr>
              <w:t>un uzraudzības stresa testiem</w:t>
            </w:r>
            <w:r w:rsidR="00FD4C92" w:rsidRPr="00D6150A">
              <w:rPr>
                <w:rFonts w:ascii="Times New Roman" w:hAnsi="Times New Roman" w:cs="Times New Roman"/>
                <w:sz w:val="24"/>
                <w:szCs w:val="24"/>
              </w:rPr>
              <w:t>" (</w:t>
            </w:r>
            <w:r w:rsidR="00FD4C92" w:rsidRPr="002119A2">
              <w:rPr>
                <w:rFonts w:ascii="Times New Roman" w:hAnsi="Times New Roman" w:cs="Times New Roman"/>
                <w:sz w:val="24"/>
                <w:szCs w:val="24"/>
              </w:rPr>
              <w:t>turpmāk</w:t>
            </w:r>
            <w:r w:rsidR="00E15EAE" w:rsidRPr="002119A2">
              <w:rPr>
                <w:rFonts w:ascii="Times New Roman" w:hAnsi="Times New Roman" w:cs="Times New Roman"/>
                <w:sz w:val="24"/>
                <w:szCs w:val="24"/>
              </w:rPr>
              <w:t> </w:t>
            </w:r>
            <w:r w:rsidR="00FD4C92" w:rsidRPr="002119A2">
              <w:rPr>
                <w:rFonts w:ascii="Times New Roman" w:hAnsi="Times New Roman" w:cs="Times New Roman"/>
                <w:sz w:val="24"/>
                <w:szCs w:val="24"/>
              </w:rPr>
              <w:t xml:space="preserve">– </w:t>
            </w:r>
            <w:r w:rsidR="00A64506" w:rsidRPr="002119A2">
              <w:rPr>
                <w:rFonts w:ascii="Times New Roman" w:hAnsi="Times New Roman" w:cs="Times New Roman"/>
                <w:sz w:val="24"/>
                <w:szCs w:val="24"/>
              </w:rPr>
              <w:t xml:space="preserve">Pamatnostādnes </w:t>
            </w:r>
            <w:r w:rsidR="003432B2" w:rsidRPr="002119A2">
              <w:rPr>
                <w:rFonts w:ascii="Times New Roman" w:hAnsi="Times New Roman" w:cs="Times New Roman"/>
                <w:sz w:val="24"/>
                <w:szCs w:val="24"/>
              </w:rPr>
              <w:t xml:space="preserve">(2022) </w:t>
            </w:r>
            <w:r w:rsidR="00A64506" w:rsidRPr="002119A2">
              <w:rPr>
                <w:rFonts w:ascii="Times New Roman" w:hAnsi="Times New Roman" w:cs="Times New Roman"/>
                <w:sz w:val="24"/>
                <w:szCs w:val="24"/>
              </w:rPr>
              <w:t>par SREP</w:t>
            </w:r>
            <w:r w:rsidR="00FD4C92" w:rsidRPr="00D6150A">
              <w:rPr>
                <w:rFonts w:ascii="Times New Roman" w:hAnsi="Times New Roman" w:cs="Times New Roman"/>
                <w:sz w:val="24"/>
                <w:szCs w:val="24"/>
              </w:rPr>
              <w:t>), kas nosaka metodoloģiju uzraudzības pārbaudes un novērtēšanas procesam, k</w:t>
            </w:r>
            <w:r w:rsidR="007C3DA8">
              <w:rPr>
                <w:rFonts w:ascii="Times New Roman" w:hAnsi="Times New Roman" w:cs="Times New Roman"/>
                <w:sz w:val="24"/>
                <w:szCs w:val="24"/>
              </w:rPr>
              <w:t>urš</w:t>
            </w:r>
            <w:r w:rsidR="00FD4C92" w:rsidRPr="00D6150A">
              <w:rPr>
                <w:rFonts w:ascii="Times New Roman" w:hAnsi="Times New Roman" w:cs="Times New Roman"/>
                <w:sz w:val="24"/>
                <w:szCs w:val="24"/>
              </w:rPr>
              <w:t xml:space="preserve"> Latvijas Bankai jāveic saskaņā ar Kredītiestāžu likuma 101.</w:t>
            </w:r>
            <w:r w:rsidR="00FD4C92" w:rsidRPr="00D6150A">
              <w:rPr>
                <w:rFonts w:ascii="Times New Roman" w:hAnsi="Times New Roman" w:cs="Times New Roman"/>
                <w:sz w:val="24"/>
                <w:szCs w:val="24"/>
                <w:vertAlign w:val="superscript"/>
              </w:rPr>
              <w:t>3</w:t>
            </w:r>
            <w:r w:rsidR="00E15EAE">
              <w:rPr>
                <w:rFonts w:ascii="Times New Roman" w:hAnsi="Times New Roman" w:cs="Times New Roman"/>
                <w:sz w:val="24"/>
                <w:szCs w:val="24"/>
                <w:vertAlign w:val="superscript"/>
              </w:rPr>
              <w:t> </w:t>
            </w:r>
            <w:r w:rsidR="00FD4C92" w:rsidRPr="00D6150A">
              <w:rPr>
                <w:rFonts w:ascii="Times New Roman" w:hAnsi="Times New Roman" w:cs="Times New Roman"/>
                <w:sz w:val="24"/>
                <w:szCs w:val="24"/>
              </w:rPr>
              <w:t>panta prasībām.</w:t>
            </w:r>
          </w:p>
          <w:p w14:paraId="322B8660" w14:textId="541B8CF1" w:rsidR="00A41567" w:rsidRDefault="00A41567" w:rsidP="00FB08FB">
            <w:pPr>
              <w:jc w:val="both"/>
              <w:rPr>
                <w:rFonts w:ascii="Times New Roman" w:hAnsi="Times New Roman" w:cs="Times New Roman"/>
                <w:sz w:val="24"/>
                <w:szCs w:val="24"/>
              </w:rPr>
            </w:pPr>
          </w:p>
          <w:p w14:paraId="3229FD3F" w14:textId="2F38C004" w:rsidR="00A41567" w:rsidRDefault="0065129F" w:rsidP="00FB08FB">
            <w:pPr>
              <w:jc w:val="both"/>
              <w:rPr>
                <w:rFonts w:ascii="Times New Roman" w:hAnsi="Times New Roman" w:cs="Times New Roman"/>
                <w:sz w:val="24"/>
                <w:szCs w:val="24"/>
              </w:rPr>
            </w:pPr>
            <w:r>
              <w:rPr>
                <w:rFonts w:ascii="Times New Roman" w:hAnsi="Times New Roman" w:cs="Times New Roman"/>
                <w:sz w:val="24"/>
                <w:szCs w:val="24"/>
              </w:rPr>
              <w:t>Pamatnostādnes (2022) par SREP</w:t>
            </w:r>
            <w:r w:rsidRPr="00341ACC" w:rsidDel="0065129F">
              <w:rPr>
                <w:rFonts w:ascii="Times New Roman" w:hAnsi="Times New Roman" w:cs="Times New Roman"/>
                <w:sz w:val="24"/>
                <w:szCs w:val="24"/>
              </w:rPr>
              <w:t xml:space="preserve"> </w:t>
            </w:r>
            <w:r w:rsidR="00FD4C92" w:rsidRPr="00341ACC">
              <w:rPr>
                <w:rFonts w:ascii="Times New Roman" w:hAnsi="Times New Roman" w:cs="Times New Roman"/>
                <w:sz w:val="24"/>
                <w:szCs w:val="24"/>
              </w:rPr>
              <w:t>aizstāj EBI 2014.</w:t>
            </w:r>
            <w:r w:rsidR="00E15EAE" w:rsidRPr="00341ACC">
              <w:rPr>
                <w:rFonts w:ascii="Times New Roman" w:hAnsi="Times New Roman" w:cs="Times New Roman"/>
                <w:sz w:val="24"/>
                <w:szCs w:val="24"/>
              </w:rPr>
              <w:t> </w:t>
            </w:r>
            <w:r w:rsidR="00FD4C92" w:rsidRPr="00341ACC">
              <w:rPr>
                <w:rFonts w:ascii="Times New Roman" w:hAnsi="Times New Roman" w:cs="Times New Roman"/>
                <w:sz w:val="24"/>
                <w:szCs w:val="24"/>
              </w:rPr>
              <w:t>gada 19.</w:t>
            </w:r>
            <w:r w:rsidR="00E15EAE" w:rsidRPr="00341ACC">
              <w:rPr>
                <w:rFonts w:ascii="Times New Roman" w:hAnsi="Times New Roman" w:cs="Times New Roman"/>
                <w:sz w:val="24"/>
                <w:szCs w:val="24"/>
              </w:rPr>
              <w:t> </w:t>
            </w:r>
            <w:r w:rsidR="00FD4C92" w:rsidRPr="00341ACC">
              <w:rPr>
                <w:rFonts w:ascii="Times New Roman" w:hAnsi="Times New Roman" w:cs="Times New Roman"/>
                <w:sz w:val="24"/>
                <w:szCs w:val="24"/>
              </w:rPr>
              <w:t xml:space="preserve">decembra </w:t>
            </w:r>
            <w:r w:rsidR="00A41567">
              <w:rPr>
                <w:rFonts w:ascii="Times New Roman" w:hAnsi="Times New Roman" w:cs="Times New Roman"/>
                <w:sz w:val="24"/>
                <w:szCs w:val="24"/>
              </w:rPr>
              <w:t xml:space="preserve">pamatnostādnes </w:t>
            </w:r>
            <w:r w:rsidR="00A41567" w:rsidRPr="00A41567">
              <w:rPr>
                <w:rFonts w:ascii="Times New Roman" w:hAnsi="Times New Roman" w:cs="Times New Roman"/>
                <w:sz w:val="24"/>
                <w:szCs w:val="24"/>
              </w:rPr>
              <w:t>EBI/PN/2014/13</w:t>
            </w:r>
            <w:r w:rsidR="00A41567">
              <w:rPr>
                <w:rFonts w:ascii="Times New Roman" w:hAnsi="Times New Roman" w:cs="Times New Roman"/>
                <w:sz w:val="24"/>
                <w:szCs w:val="24"/>
              </w:rPr>
              <w:t xml:space="preserve"> </w:t>
            </w:r>
            <w:r w:rsidR="00FD4C92" w:rsidRPr="00341ACC">
              <w:rPr>
                <w:rFonts w:ascii="Times New Roman" w:hAnsi="Times New Roman" w:cs="Times New Roman"/>
                <w:sz w:val="24"/>
                <w:szCs w:val="24"/>
              </w:rPr>
              <w:t>"</w:t>
            </w:r>
            <w:r w:rsidR="00FD4C92" w:rsidRPr="002529A3">
              <w:rPr>
                <w:rFonts w:ascii="Times New Roman" w:hAnsi="Times New Roman" w:cs="Times New Roman"/>
                <w:sz w:val="24"/>
                <w:szCs w:val="24"/>
              </w:rPr>
              <w:t xml:space="preserve">Pamatnostādnes par kopējām procedūrām un </w:t>
            </w:r>
            <w:r w:rsidR="002529A3" w:rsidRPr="002529A3">
              <w:rPr>
                <w:rFonts w:ascii="Times New Roman" w:hAnsi="Times New Roman" w:cs="Times New Roman"/>
                <w:sz w:val="24"/>
                <w:szCs w:val="24"/>
              </w:rPr>
              <w:t xml:space="preserve">metodoloģiju, ko izmanto </w:t>
            </w:r>
            <w:r w:rsidR="00FD4C92" w:rsidRPr="002529A3">
              <w:rPr>
                <w:rFonts w:ascii="Times New Roman" w:hAnsi="Times New Roman" w:cs="Times New Roman"/>
                <w:sz w:val="24"/>
                <w:szCs w:val="24"/>
              </w:rPr>
              <w:t xml:space="preserve">uzraudzības </w:t>
            </w:r>
            <w:r w:rsidR="002529A3" w:rsidRPr="002529A3">
              <w:rPr>
                <w:rFonts w:ascii="Times New Roman" w:hAnsi="Times New Roman" w:cs="Times New Roman"/>
                <w:sz w:val="24"/>
                <w:szCs w:val="24"/>
              </w:rPr>
              <w:t xml:space="preserve">pārskatīšanas </w:t>
            </w:r>
            <w:r w:rsidR="00FD4C92" w:rsidRPr="002529A3">
              <w:rPr>
                <w:rFonts w:ascii="Times New Roman" w:hAnsi="Times New Roman" w:cs="Times New Roman"/>
                <w:sz w:val="24"/>
                <w:szCs w:val="24"/>
              </w:rPr>
              <w:t xml:space="preserve">un novērtēšanas </w:t>
            </w:r>
            <w:r w:rsidR="002529A3" w:rsidRPr="002529A3">
              <w:rPr>
                <w:rFonts w:ascii="Times New Roman" w:hAnsi="Times New Roman" w:cs="Times New Roman"/>
                <w:sz w:val="24"/>
                <w:szCs w:val="24"/>
              </w:rPr>
              <w:t xml:space="preserve">procesā </w:t>
            </w:r>
            <w:r w:rsidR="00FD4C92" w:rsidRPr="002529A3">
              <w:rPr>
                <w:rFonts w:ascii="Times New Roman" w:hAnsi="Times New Roman" w:cs="Times New Roman"/>
                <w:i/>
                <w:iCs/>
                <w:sz w:val="24"/>
                <w:szCs w:val="24"/>
              </w:rPr>
              <w:t>(SREP)</w:t>
            </w:r>
            <w:r w:rsidR="00FD4C92" w:rsidRPr="00341ACC">
              <w:rPr>
                <w:rFonts w:ascii="Times New Roman" w:hAnsi="Times New Roman" w:cs="Times New Roman"/>
                <w:sz w:val="24"/>
                <w:szCs w:val="24"/>
              </w:rPr>
              <w:t>"</w:t>
            </w:r>
            <w:r w:rsidR="003005EC">
              <w:rPr>
                <w:rFonts w:ascii="Times New Roman" w:hAnsi="Times New Roman" w:cs="Times New Roman"/>
                <w:sz w:val="24"/>
                <w:szCs w:val="24"/>
              </w:rPr>
              <w:t xml:space="preserve"> (turpmāk</w:t>
            </w:r>
            <w:r w:rsidR="0000241D">
              <w:rPr>
                <w:rFonts w:ascii="Times New Roman" w:hAnsi="Times New Roman" w:cs="Times New Roman"/>
                <w:sz w:val="24"/>
                <w:szCs w:val="24"/>
              </w:rPr>
              <w:t> </w:t>
            </w:r>
            <w:r w:rsidR="0000241D" w:rsidRPr="0000241D">
              <w:rPr>
                <w:rFonts w:ascii="Times New Roman" w:hAnsi="Times New Roman" w:cs="Times New Roman"/>
                <w:sz w:val="24"/>
                <w:szCs w:val="24"/>
              </w:rPr>
              <w:t>– Pamatnostādnes (2014) par SREP)</w:t>
            </w:r>
            <w:r w:rsidR="00FD4C92" w:rsidRPr="00341ACC">
              <w:rPr>
                <w:rFonts w:ascii="Times New Roman" w:hAnsi="Times New Roman" w:cs="Times New Roman"/>
                <w:sz w:val="24"/>
                <w:szCs w:val="24"/>
              </w:rPr>
              <w:t xml:space="preserve">, </w:t>
            </w:r>
            <w:r w:rsidR="00191F1F">
              <w:rPr>
                <w:rFonts w:ascii="Times New Roman" w:hAnsi="Times New Roman" w:cs="Times New Roman"/>
                <w:sz w:val="24"/>
                <w:szCs w:val="24"/>
              </w:rPr>
              <w:t>kas grozītas ar EBI</w:t>
            </w:r>
            <w:r w:rsidR="00FD4C92" w:rsidRPr="00341ACC">
              <w:rPr>
                <w:rFonts w:ascii="Times New Roman" w:hAnsi="Times New Roman" w:cs="Times New Roman"/>
                <w:sz w:val="24"/>
                <w:szCs w:val="24"/>
              </w:rPr>
              <w:t xml:space="preserve"> 2018.</w:t>
            </w:r>
            <w:r w:rsidR="00E15EAE" w:rsidRPr="00341ACC">
              <w:rPr>
                <w:rFonts w:ascii="Times New Roman" w:hAnsi="Times New Roman" w:cs="Times New Roman"/>
                <w:sz w:val="24"/>
                <w:szCs w:val="24"/>
              </w:rPr>
              <w:t> </w:t>
            </w:r>
            <w:r w:rsidR="00FD4C92" w:rsidRPr="00341ACC">
              <w:rPr>
                <w:rFonts w:ascii="Times New Roman" w:hAnsi="Times New Roman" w:cs="Times New Roman"/>
                <w:sz w:val="24"/>
                <w:szCs w:val="24"/>
              </w:rPr>
              <w:t>gada 19.</w:t>
            </w:r>
            <w:r w:rsidR="00E15EAE" w:rsidRPr="00341ACC">
              <w:rPr>
                <w:rFonts w:ascii="Times New Roman" w:hAnsi="Times New Roman" w:cs="Times New Roman"/>
                <w:sz w:val="24"/>
                <w:szCs w:val="24"/>
              </w:rPr>
              <w:t> </w:t>
            </w:r>
            <w:r w:rsidR="00FD4C92" w:rsidRPr="00341ACC">
              <w:rPr>
                <w:rFonts w:ascii="Times New Roman" w:hAnsi="Times New Roman" w:cs="Times New Roman"/>
                <w:sz w:val="24"/>
                <w:szCs w:val="24"/>
              </w:rPr>
              <w:t xml:space="preserve">jūlija </w:t>
            </w:r>
            <w:r w:rsidR="00191F1F">
              <w:rPr>
                <w:rFonts w:ascii="Times New Roman" w:hAnsi="Times New Roman" w:cs="Times New Roman"/>
                <w:sz w:val="24"/>
                <w:szCs w:val="24"/>
              </w:rPr>
              <w:t xml:space="preserve">pamatnostādnēm </w:t>
            </w:r>
            <w:r w:rsidR="00A41567" w:rsidRPr="00A41567">
              <w:rPr>
                <w:rFonts w:ascii="Times New Roman" w:hAnsi="Times New Roman" w:cs="Times New Roman"/>
                <w:sz w:val="24"/>
                <w:szCs w:val="24"/>
              </w:rPr>
              <w:t xml:space="preserve">EBI/PN/2018/03 </w:t>
            </w:r>
            <w:r w:rsidR="00492BC9" w:rsidRPr="00D6150A">
              <w:rPr>
                <w:rFonts w:ascii="Times New Roman" w:hAnsi="Times New Roman" w:cs="Times New Roman"/>
                <w:sz w:val="24"/>
                <w:szCs w:val="24"/>
              </w:rPr>
              <w:t>"</w:t>
            </w:r>
            <w:r w:rsidR="00FB08FB" w:rsidRPr="00FB08FB">
              <w:rPr>
                <w:rFonts w:ascii="Times New Roman" w:hAnsi="Times New Roman" w:cs="Times New Roman"/>
                <w:sz w:val="24"/>
                <w:szCs w:val="24"/>
              </w:rPr>
              <w:t>Pārskatītas pamatnostādnes par kopējām</w:t>
            </w:r>
            <w:r w:rsidR="00FB08FB">
              <w:rPr>
                <w:rFonts w:ascii="Times New Roman" w:hAnsi="Times New Roman" w:cs="Times New Roman"/>
                <w:sz w:val="24"/>
                <w:szCs w:val="24"/>
              </w:rPr>
              <w:t xml:space="preserve"> </w:t>
            </w:r>
            <w:r w:rsidR="00FB08FB" w:rsidRPr="00FB08FB">
              <w:rPr>
                <w:rFonts w:ascii="Times New Roman" w:hAnsi="Times New Roman" w:cs="Times New Roman"/>
                <w:sz w:val="24"/>
                <w:szCs w:val="24"/>
              </w:rPr>
              <w:t>procedūrām un metodoloģiju, ko</w:t>
            </w:r>
            <w:r w:rsidR="00FB08FB">
              <w:rPr>
                <w:rFonts w:ascii="Times New Roman" w:hAnsi="Times New Roman" w:cs="Times New Roman"/>
                <w:sz w:val="24"/>
                <w:szCs w:val="24"/>
              </w:rPr>
              <w:t xml:space="preserve"> </w:t>
            </w:r>
            <w:r w:rsidR="00FB08FB" w:rsidRPr="00FB08FB">
              <w:rPr>
                <w:rFonts w:ascii="Times New Roman" w:hAnsi="Times New Roman" w:cs="Times New Roman"/>
                <w:sz w:val="24"/>
                <w:szCs w:val="24"/>
              </w:rPr>
              <w:t>izmanto uzraudzības pārskatīšanas un</w:t>
            </w:r>
            <w:r w:rsidR="00FB08FB">
              <w:rPr>
                <w:rFonts w:ascii="Times New Roman" w:hAnsi="Times New Roman" w:cs="Times New Roman"/>
                <w:sz w:val="24"/>
                <w:szCs w:val="24"/>
              </w:rPr>
              <w:t xml:space="preserve"> </w:t>
            </w:r>
            <w:r w:rsidR="00FB08FB" w:rsidRPr="00FB08FB">
              <w:rPr>
                <w:rFonts w:ascii="Times New Roman" w:hAnsi="Times New Roman" w:cs="Times New Roman"/>
                <w:sz w:val="24"/>
                <w:szCs w:val="24"/>
              </w:rPr>
              <w:t xml:space="preserve">novērtēšanas procesā </w:t>
            </w:r>
            <w:r w:rsidR="00FB08FB" w:rsidRPr="00B33DE6">
              <w:rPr>
                <w:rFonts w:ascii="Times New Roman" w:hAnsi="Times New Roman" w:cs="Times New Roman"/>
                <w:i/>
                <w:iCs/>
                <w:sz w:val="24"/>
                <w:szCs w:val="24"/>
              </w:rPr>
              <w:t>(SREP)</w:t>
            </w:r>
            <w:r w:rsidR="00FB08FB" w:rsidRPr="00FB08FB">
              <w:rPr>
                <w:rFonts w:ascii="Times New Roman" w:hAnsi="Times New Roman" w:cs="Times New Roman"/>
                <w:sz w:val="24"/>
                <w:szCs w:val="24"/>
              </w:rPr>
              <w:t xml:space="preserve"> un</w:t>
            </w:r>
            <w:r w:rsidR="00FB08FB">
              <w:rPr>
                <w:rFonts w:ascii="Times New Roman" w:hAnsi="Times New Roman" w:cs="Times New Roman"/>
                <w:sz w:val="24"/>
                <w:szCs w:val="24"/>
              </w:rPr>
              <w:t xml:space="preserve"> </w:t>
            </w:r>
            <w:r w:rsidR="00FB08FB" w:rsidRPr="00FB08FB">
              <w:rPr>
                <w:rFonts w:ascii="Times New Roman" w:hAnsi="Times New Roman" w:cs="Times New Roman"/>
                <w:sz w:val="24"/>
                <w:szCs w:val="24"/>
              </w:rPr>
              <w:t>uzraudzības stresa testos, ar kurām groza</w:t>
            </w:r>
            <w:r w:rsidR="00FB08FB">
              <w:rPr>
                <w:rFonts w:ascii="Times New Roman" w:hAnsi="Times New Roman" w:cs="Times New Roman"/>
                <w:sz w:val="24"/>
                <w:szCs w:val="24"/>
              </w:rPr>
              <w:t xml:space="preserve"> </w:t>
            </w:r>
            <w:r w:rsidR="00FB08FB" w:rsidRPr="00FB08FB">
              <w:rPr>
                <w:rFonts w:ascii="Times New Roman" w:hAnsi="Times New Roman" w:cs="Times New Roman"/>
                <w:sz w:val="24"/>
                <w:szCs w:val="24"/>
              </w:rPr>
              <w:t>2014.</w:t>
            </w:r>
            <w:r w:rsidR="00F401C0">
              <w:rPr>
                <w:rFonts w:ascii="Times New Roman" w:hAnsi="Times New Roman" w:cs="Times New Roman"/>
                <w:sz w:val="24"/>
                <w:szCs w:val="24"/>
              </w:rPr>
              <w:t> </w:t>
            </w:r>
            <w:r w:rsidR="00FB08FB" w:rsidRPr="00FB08FB">
              <w:rPr>
                <w:rFonts w:ascii="Times New Roman" w:hAnsi="Times New Roman" w:cs="Times New Roman"/>
                <w:sz w:val="24"/>
                <w:szCs w:val="24"/>
              </w:rPr>
              <w:t>gada 19.</w:t>
            </w:r>
            <w:r w:rsidR="00F401C0">
              <w:rPr>
                <w:rFonts w:ascii="Times New Roman" w:hAnsi="Times New Roman" w:cs="Times New Roman"/>
                <w:sz w:val="24"/>
                <w:szCs w:val="24"/>
              </w:rPr>
              <w:t> </w:t>
            </w:r>
            <w:r w:rsidR="00FB08FB" w:rsidRPr="00FB08FB">
              <w:rPr>
                <w:rFonts w:ascii="Times New Roman" w:hAnsi="Times New Roman" w:cs="Times New Roman"/>
                <w:sz w:val="24"/>
                <w:szCs w:val="24"/>
              </w:rPr>
              <w:t>decembra</w:t>
            </w:r>
            <w:r w:rsidR="00FB08FB">
              <w:rPr>
                <w:rFonts w:ascii="Times New Roman" w:hAnsi="Times New Roman" w:cs="Times New Roman"/>
                <w:sz w:val="24"/>
                <w:szCs w:val="24"/>
              </w:rPr>
              <w:t xml:space="preserve"> </w:t>
            </w:r>
            <w:r w:rsidR="00FB08FB" w:rsidRPr="00FB08FB">
              <w:rPr>
                <w:rFonts w:ascii="Times New Roman" w:hAnsi="Times New Roman" w:cs="Times New Roman"/>
                <w:sz w:val="24"/>
                <w:szCs w:val="24"/>
              </w:rPr>
              <w:t>EBI/PN/2014/13</w:t>
            </w:r>
            <w:r w:rsidR="00492BC9" w:rsidRPr="00D6150A">
              <w:rPr>
                <w:rFonts w:ascii="Times New Roman" w:hAnsi="Times New Roman" w:cs="Times New Roman"/>
                <w:sz w:val="24"/>
                <w:szCs w:val="24"/>
              </w:rPr>
              <w:t>"</w:t>
            </w:r>
            <w:r w:rsidR="00FD4C92" w:rsidRPr="00341ACC">
              <w:rPr>
                <w:rFonts w:ascii="Times New Roman" w:hAnsi="Times New Roman" w:cs="Times New Roman"/>
                <w:sz w:val="24"/>
                <w:szCs w:val="24"/>
              </w:rPr>
              <w:t>.</w:t>
            </w:r>
          </w:p>
          <w:p w14:paraId="4236D6FB" w14:textId="77777777" w:rsidR="001E409F" w:rsidRDefault="001E409F" w:rsidP="00FB08FB">
            <w:pPr>
              <w:jc w:val="both"/>
              <w:rPr>
                <w:rFonts w:ascii="Times New Roman" w:hAnsi="Times New Roman" w:cs="Times New Roman"/>
                <w:sz w:val="24"/>
                <w:szCs w:val="24"/>
              </w:rPr>
            </w:pPr>
          </w:p>
          <w:p w14:paraId="31EF522B" w14:textId="74CD6CC0" w:rsidR="00E24FC2" w:rsidRDefault="000F3755" w:rsidP="00FB08FB">
            <w:pPr>
              <w:jc w:val="both"/>
              <w:rPr>
                <w:rFonts w:ascii="Times New Roman" w:hAnsi="Times New Roman" w:cs="Times New Roman"/>
                <w:sz w:val="24"/>
                <w:szCs w:val="24"/>
              </w:rPr>
            </w:pPr>
            <w:r w:rsidRPr="00D6150A">
              <w:rPr>
                <w:rFonts w:ascii="Times New Roman" w:hAnsi="Times New Roman" w:cs="Times New Roman"/>
                <w:sz w:val="24"/>
                <w:szCs w:val="24"/>
              </w:rPr>
              <w:t>Savukārt 2017.</w:t>
            </w:r>
            <w:r w:rsidR="00E15EAE">
              <w:rPr>
                <w:rFonts w:ascii="Times New Roman" w:hAnsi="Times New Roman" w:cs="Times New Roman"/>
                <w:sz w:val="24"/>
                <w:szCs w:val="24"/>
              </w:rPr>
              <w:t> </w:t>
            </w:r>
            <w:r w:rsidRPr="00D6150A">
              <w:rPr>
                <w:rFonts w:ascii="Times New Roman" w:hAnsi="Times New Roman" w:cs="Times New Roman"/>
                <w:sz w:val="24"/>
                <w:szCs w:val="24"/>
              </w:rPr>
              <w:t>gada 10.</w:t>
            </w:r>
            <w:r w:rsidR="00E15EAE">
              <w:rPr>
                <w:rFonts w:ascii="Times New Roman" w:hAnsi="Times New Roman" w:cs="Times New Roman"/>
                <w:sz w:val="24"/>
                <w:szCs w:val="24"/>
              </w:rPr>
              <w:t> </w:t>
            </w:r>
            <w:r w:rsidRPr="00D6150A">
              <w:rPr>
                <w:rFonts w:ascii="Times New Roman" w:hAnsi="Times New Roman" w:cs="Times New Roman"/>
                <w:sz w:val="24"/>
                <w:szCs w:val="24"/>
              </w:rPr>
              <w:t>februārī</w:t>
            </w:r>
            <w:r w:rsidR="004621D4" w:rsidRPr="00D6150A">
              <w:rPr>
                <w:rFonts w:ascii="Times New Roman" w:hAnsi="Times New Roman" w:cs="Times New Roman"/>
                <w:sz w:val="24"/>
                <w:szCs w:val="24"/>
              </w:rPr>
              <w:t xml:space="preserve"> EBI</w:t>
            </w:r>
            <w:r w:rsidRPr="00D6150A">
              <w:rPr>
                <w:rFonts w:ascii="Times New Roman" w:hAnsi="Times New Roman" w:cs="Times New Roman"/>
                <w:sz w:val="24"/>
                <w:szCs w:val="24"/>
              </w:rPr>
              <w:t xml:space="preserve"> apstiprināja </w:t>
            </w:r>
            <w:bookmarkStart w:id="0" w:name="_Hlk157685527"/>
            <w:r w:rsidR="00A41567">
              <w:rPr>
                <w:rFonts w:ascii="Times New Roman" w:hAnsi="Times New Roman" w:cs="Times New Roman"/>
                <w:sz w:val="24"/>
                <w:szCs w:val="24"/>
              </w:rPr>
              <w:t xml:space="preserve">pamatnostādnes </w:t>
            </w:r>
            <w:r w:rsidR="00A41567" w:rsidRPr="00A41567">
              <w:rPr>
                <w:rFonts w:ascii="Times New Roman" w:hAnsi="Times New Roman" w:cs="Times New Roman"/>
                <w:sz w:val="24"/>
                <w:szCs w:val="24"/>
              </w:rPr>
              <w:t xml:space="preserve">EBA/GL/2016/10 </w:t>
            </w:r>
            <w:bookmarkEnd w:id="0"/>
            <w:r w:rsidRPr="00D6150A">
              <w:rPr>
                <w:rFonts w:ascii="Times New Roman" w:hAnsi="Times New Roman" w:cs="Times New Roman"/>
                <w:sz w:val="24"/>
                <w:szCs w:val="24"/>
              </w:rPr>
              <w:t>"</w:t>
            </w:r>
            <w:bookmarkStart w:id="1" w:name="_Hlk157685554"/>
            <w:r w:rsidRPr="00D6150A">
              <w:rPr>
                <w:rFonts w:ascii="Times New Roman" w:hAnsi="Times New Roman" w:cs="Times New Roman"/>
                <w:sz w:val="24"/>
                <w:szCs w:val="24"/>
              </w:rPr>
              <w:t xml:space="preserve">Pamatnostādnes par </w:t>
            </w:r>
            <w:r w:rsidRPr="00A41567">
              <w:rPr>
                <w:rFonts w:ascii="Times New Roman" w:hAnsi="Times New Roman" w:cs="Times New Roman"/>
                <w:i/>
                <w:iCs/>
                <w:sz w:val="24"/>
                <w:szCs w:val="24"/>
              </w:rPr>
              <w:t>SREP</w:t>
            </w:r>
            <w:r w:rsidRPr="00D6150A">
              <w:rPr>
                <w:rFonts w:ascii="Times New Roman" w:hAnsi="Times New Roman" w:cs="Times New Roman"/>
                <w:sz w:val="24"/>
                <w:szCs w:val="24"/>
              </w:rPr>
              <w:t xml:space="preserve"> vajadzībām vācamo </w:t>
            </w:r>
            <w:r w:rsidRPr="00A41567">
              <w:rPr>
                <w:rFonts w:ascii="Times New Roman" w:hAnsi="Times New Roman" w:cs="Times New Roman"/>
                <w:i/>
                <w:iCs/>
                <w:sz w:val="24"/>
                <w:szCs w:val="24"/>
              </w:rPr>
              <w:t>ICAAP</w:t>
            </w:r>
            <w:r w:rsidRPr="00D6150A">
              <w:rPr>
                <w:rFonts w:ascii="Times New Roman" w:hAnsi="Times New Roman" w:cs="Times New Roman"/>
                <w:sz w:val="24"/>
                <w:szCs w:val="24"/>
              </w:rPr>
              <w:t xml:space="preserve"> un </w:t>
            </w:r>
            <w:r w:rsidRPr="00A41567">
              <w:rPr>
                <w:rFonts w:ascii="Times New Roman" w:hAnsi="Times New Roman" w:cs="Times New Roman"/>
                <w:i/>
                <w:iCs/>
                <w:sz w:val="24"/>
                <w:szCs w:val="24"/>
              </w:rPr>
              <w:t>ILAAP</w:t>
            </w:r>
            <w:r w:rsidRPr="00D6150A">
              <w:rPr>
                <w:rFonts w:ascii="Times New Roman" w:hAnsi="Times New Roman" w:cs="Times New Roman"/>
                <w:sz w:val="24"/>
                <w:szCs w:val="24"/>
              </w:rPr>
              <w:t xml:space="preserve"> informāciju</w:t>
            </w:r>
            <w:bookmarkEnd w:id="1"/>
            <w:r w:rsidRPr="00D6150A">
              <w:rPr>
                <w:rFonts w:ascii="Times New Roman" w:hAnsi="Times New Roman" w:cs="Times New Roman"/>
                <w:sz w:val="24"/>
                <w:szCs w:val="24"/>
              </w:rPr>
              <w:t xml:space="preserve">" </w:t>
            </w:r>
            <w:r w:rsidR="009A08BC" w:rsidRPr="00D6150A">
              <w:rPr>
                <w:rFonts w:ascii="Times New Roman" w:hAnsi="Times New Roman" w:cs="Times New Roman"/>
                <w:sz w:val="24"/>
                <w:szCs w:val="24"/>
              </w:rPr>
              <w:t>(turpmāk</w:t>
            </w:r>
            <w:r w:rsidR="00E15EAE">
              <w:rPr>
                <w:rFonts w:ascii="Times New Roman" w:hAnsi="Times New Roman" w:cs="Times New Roman"/>
                <w:sz w:val="24"/>
                <w:szCs w:val="24"/>
              </w:rPr>
              <w:t> </w:t>
            </w:r>
            <w:r w:rsidR="009A08BC" w:rsidRPr="00D6150A">
              <w:rPr>
                <w:rFonts w:ascii="Times New Roman" w:hAnsi="Times New Roman" w:cs="Times New Roman"/>
                <w:sz w:val="24"/>
                <w:szCs w:val="24"/>
              </w:rPr>
              <w:t xml:space="preserve">– </w:t>
            </w:r>
            <w:r w:rsidR="00FD0F73">
              <w:rPr>
                <w:rFonts w:ascii="Times New Roman" w:hAnsi="Times New Roman" w:cs="Times New Roman"/>
                <w:sz w:val="24"/>
                <w:szCs w:val="24"/>
              </w:rPr>
              <w:t>Pamatnostādnes par informāciju</w:t>
            </w:r>
            <w:r w:rsidR="009A08BC" w:rsidRPr="00D6150A">
              <w:rPr>
                <w:rFonts w:ascii="Times New Roman" w:hAnsi="Times New Roman" w:cs="Times New Roman"/>
                <w:sz w:val="24"/>
                <w:szCs w:val="24"/>
              </w:rPr>
              <w:t>)</w:t>
            </w:r>
            <w:r w:rsidR="00315563">
              <w:rPr>
                <w:rFonts w:ascii="Times New Roman" w:hAnsi="Times New Roman" w:cs="Times New Roman"/>
                <w:sz w:val="24"/>
                <w:szCs w:val="24"/>
              </w:rPr>
              <w:t xml:space="preserve">, </w:t>
            </w:r>
            <w:r w:rsidR="00F16236" w:rsidRPr="00F16236">
              <w:rPr>
                <w:rFonts w:ascii="Times New Roman" w:hAnsi="Times New Roman" w:cs="Times New Roman"/>
                <w:sz w:val="24"/>
                <w:szCs w:val="24"/>
              </w:rPr>
              <w:t xml:space="preserve">kas nosaka, kāda informācija attiecībā uz kapitāla un likviditātes pietiekamības novērtēšanas procesu kompetentajām iestādēm jāsaņem no kredītiestādēm, lai veiktu to novērtēšanu atbilstoši </w:t>
            </w:r>
            <w:r w:rsidR="000E7CFF" w:rsidRPr="00A41567">
              <w:rPr>
                <w:rFonts w:ascii="Times New Roman" w:hAnsi="Times New Roman" w:cs="Times New Roman"/>
                <w:sz w:val="24"/>
                <w:szCs w:val="24"/>
              </w:rPr>
              <w:t>Pamatnostādn</w:t>
            </w:r>
            <w:r w:rsidR="00F021BF" w:rsidRPr="00A41567">
              <w:rPr>
                <w:rFonts w:ascii="Times New Roman" w:hAnsi="Times New Roman" w:cs="Times New Roman"/>
                <w:sz w:val="24"/>
                <w:szCs w:val="24"/>
              </w:rPr>
              <w:t>ē</w:t>
            </w:r>
            <w:r w:rsidR="005207E4">
              <w:rPr>
                <w:rFonts w:ascii="Times New Roman" w:hAnsi="Times New Roman" w:cs="Times New Roman"/>
                <w:sz w:val="24"/>
                <w:szCs w:val="24"/>
              </w:rPr>
              <w:t>s</w:t>
            </w:r>
            <w:r w:rsidR="000E7CFF" w:rsidRPr="00A41567">
              <w:rPr>
                <w:rFonts w:ascii="Times New Roman" w:hAnsi="Times New Roman" w:cs="Times New Roman"/>
                <w:sz w:val="24"/>
                <w:szCs w:val="24"/>
              </w:rPr>
              <w:t xml:space="preserve"> (2014)</w:t>
            </w:r>
            <w:r w:rsidR="000E7CFF" w:rsidRPr="001B1EAD">
              <w:rPr>
                <w:rFonts w:ascii="Times New Roman" w:hAnsi="Times New Roman" w:cs="Times New Roman"/>
                <w:sz w:val="24"/>
                <w:szCs w:val="24"/>
              </w:rPr>
              <w:t xml:space="preserve"> par SREP </w:t>
            </w:r>
            <w:r w:rsidR="00F16236" w:rsidRPr="00F16236">
              <w:rPr>
                <w:rFonts w:ascii="Times New Roman" w:hAnsi="Times New Roman" w:cs="Times New Roman"/>
                <w:sz w:val="24"/>
                <w:szCs w:val="24"/>
              </w:rPr>
              <w:t>norādītajiem kritērijiem</w:t>
            </w:r>
            <w:r w:rsidRPr="00D6150A">
              <w:rPr>
                <w:rFonts w:ascii="Times New Roman" w:hAnsi="Times New Roman" w:cs="Times New Roman"/>
                <w:sz w:val="24"/>
                <w:szCs w:val="24"/>
              </w:rPr>
              <w:t>.</w:t>
            </w:r>
          </w:p>
          <w:p w14:paraId="584506C8" w14:textId="77777777" w:rsidR="00A67ABC" w:rsidRPr="00D6150A" w:rsidRDefault="00A67ABC" w:rsidP="000F3755">
            <w:pPr>
              <w:jc w:val="both"/>
              <w:rPr>
                <w:rFonts w:ascii="Times New Roman" w:hAnsi="Times New Roman" w:cs="Times New Roman"/>
                <w:sz w:val="24"/>
                <w:szCs w:val="24"/>
              </w:rPr>
            </w:pPr>
          </w:p>
          <w:p w14:paraId="11DCE26D" w14:textId="0AF51A70" w:rsidR="00CA7D80" w:rsidRDefault="000949D2" w:rsidP="0066606D">
            <w:pPr>
              <w:jc w:val="both"/>
              <w:rPr>
                <w:rFonts w:ascii="Times New Roman" w:hAnsi="Times New Roman" w:cs="Times New Roman"/>
                <w:sz w:val="24"/>
                <w:szCs w:val="24"/>
              </w:rPr>
            </w:pPr>
            <w:r>
              <w:rPr>
                <w:rFonts w:ascii="Times New Roman" w:hAnsi="Times New Roman" w:cs="Times New Roman"/>
                <w:sz w:val="24"/>
                <w:szCs w:val="24"/>
              </w:rPr>
              <w:t>N</w:t>
            </w:r>
            <w:r w:rsidRPr="00D6150A">
              <w:rPr>
                <w:rFonts w:ascii="Times New Roman" w:hAnsi="Times New Roman" w:cs="Times New Roman"/>
                <w:sz w:val="24"/>
                <w:szCs w:val="24"/>
              </w:rPr>
              <w:t>oteikum</w:t>
            </w:r>
            <w:r>
              <w:rPr>
                <w:rFonts w:ascii="Times New Roman" w:hAnsi="Times New Roman" w:cs="Times New Roman"/>
                <w:sz w:val="24"/>
                <w:szCs w:val="24"/>
              </w:rPr>
              <w:t>i</w:t>
            </w:r>
            <w:r w:rsidRPr="00D6150A">
              <w:rPr>
                <w:rFonts w:ascii="Times New Roman" w:hAnsi="Times New Roman" w:cs="Times New Roman"/>
                <w:sz w:val="24"/>
                <w:szCs w:val="24"/>
              </w:rPr>
              <w:t xml:space="preserve"> </w:t>
            </w:r>
            <w:r w:rsidR="0057133C" w:rsidRPr="00D6150A">
              <w:rPr>
                <w:rFonts w:ascii="Times New Roman" w:hAnsi="Times New Roman" w:cs="Times New Roman"/>
                <w:sz w:val="24"/>
                <w:szCs w:val="24"/>
              </w:rPr>
              <w:t>Nr.</w:t>
            </w:r>
            <w:r w:rsidR="00E15EAE">
              <w:rPr>
                <w:rFonts w:ascii="Times New Roman" w:hAnsi="Times New Roman" w:cs="Times New Roman"/>
                <w:sz w:val="24"/>
                <w:szCs w:val="24"/>
              </w:rPr>
              <w:t> </w:t>
            </w:r>
            <w:r w:rsidR="0057133C" w:rsidRPr="00D6150A">
              <w:rPr>
                <w:rFonts w:ascii="Times New Roman" w:hAnsi="Times New Roman" w:cs="Times New Roman"/>
                <w:sz w:val="24"/>
                <w:szCs w:val="24"/>
              </w:rPr>
              <w:t>209</w:t>
            </w:r>
            <w:r w:rsidR="00E24FC2" w:rsidRPr="0024591D">
              <w:rPr>
                <w:rFonts w:ascii="Times New Roman" w:hAnsi="Times New Roman" w:cs="Times New Roman"/>
                <w:sz w:val="24"/>
                <w:szCs w:val="24"/>
              </w:rPr>
              <w:t xml:space="preserve"> izstrādāti, </w:t>
            </w:r>
            <w:r w:rsidR="007C3DA8">
              <w:rPr>
                <w:rFonts w:ascii="Times New Roman" w:hAnsi="Times New Roman" w:cs="Times New Roman"/>
                <w:sz w:val="24"/>
                <w:szCs w:val="24"/>
              </w:rPr>
              <w:t xml:space="preserve">citstarp </w:t>
            </w:r>
            <w:r w:rsidR="00E24FC2" w:rsidRPr="0024591D">
              <w:rPr>
                <w:rFonts w:ascii="Times New Roman" w:hAnsi="Times New Roman" w:cs="Times New Roman"/>
                <w:sz w:val="24"/>
                <w:szCs w:val="24"/>
              </w:rPr>
              <w:t>ievērojot</w:t>
            </w:r>
            <w:r w:rsidR="00CA7D80">
              <w:rPr>
                <w:rFonts w:ascii="Times New Roman" w:hAnsi="Times New Roman" w:cs="Times New Roman"/>
                <w:sz w:val="24"/>
                <w:szCs w:val="24"/>
              </w:rPr>
              <w:t>:</w:t>
            </w:r>
          </w:p>
          <w:p w14:paraId="4C12D452" w14:textId="31881AD6" w:rsidR="00CA7D80" w:rsidRDefault="00CA7D80" w:rsidP="0066606D">
            <w:pPr>
              <w:jc w:val="both"/>
              <w:rPr>
                <w:rFonts w:ascii="Times New Roman" w:hAnsi="Times New Roman" w:cs="Times New Roman"/>
                <w:sz w:val="24"/>
                <w:szCs w:val="24"/>
              </w:rPr>
            </w:pPr>
            <w:r>
              <w:rPr>
                <w:rFonts w:ascii="Times New Roman" w:hAnsi="Times New Roman" w:cs="Times New Roman"/>
                <w:sz w:val="24"/>
                <w:szCs w:val="24"/>
              </w:rPr>
              <w:t>1)</w:t>
            </w:r>
            <w:r w:rsidR="00E24FC2" w:rsidRPr="0024591D">
              <w:rPr>
                <w:rFonts w:ascii="Times New Roman" w:hAnsi="Times New Roman" w:cs="Times New Roman"/>
                <w:sz w:val="24"/>
                <w:szCs w:val="24"/>
              </w:rPr>
              <w:t xml:space="preserve"> </w:t>
            </w:r>
            <w:r w:rsidR="00710562" w:rsidRPr="0024591D">
              <w:rPr>
                <w:rFonts w:ascii="Times New Roman" w:hAnsi="Times New Roman" w:cs="Times New Roman"/>
                <w:sz w:val="24"/>
                <w:szCs w:val="24"/>
              </w:rPr>
              <w:t>Pamatnostādn</w:t>
            </w:r>
            <w:r w:rsidR="000949D2">
              <w:rPr>
                <w:rFonts w:ascii="Times New Roman" w:hAnsi="Times New Roman" w:cs="Times New Roman"/>
                <w:sz w:val="24"/>
                <w:szCs w:val="24"/>
              </w:rPr>
              <w:t>ē</w:t>
            </w:r>
            <w:r w:rsidR="00710562" w:rsidRPr="0024591D">
              <w:rPr>
                <w:rFonts w:ascii="Times New Roman" w:hAnsi="Times New Roman" w:cs="Times New Roman"/>
                <w:sz w:val="24"/>
                <w:szCs w:val="24"/>
              </w:rPr>
              <w:t>s par informāciju</w:t>
            </w:r>
            <w:r w:rsidR="00943366" w:rsidRPr="00701F0D">
              <w:rPr>
                <w:rFonts w:ascii="Times New Roman" w:hAnsi="Times New Roman" w:cs="Times New Roman"/>
                <w:sz w:val="24"/>
                <w:szCs w:val="24"/>
              </w:rPr>
              <w:t xml:space="preserve"> </w:t>
            </w:r>
            <w:r w:rsidR="000949D2">
              <w:rPr>
                <w:rFonts w:ascii="Times New Roman" w:hAnsi="Times New Roman" w:cs="Times New Roman"/>
                <w:sz w:val="24"/>
                <w:szCs w:val="24"/>
              </w:rPr>
              <w:t xml:space="preserve">ietvertās </w:t>
            </w:r>
            <w:r w:rsidR="00943366" w:rsidRPr="00701F0D">
              <w:rPr>
                <w:rFonts w:ascii="Times New Roman" w:hAnsi="Times New Roman" w:cs="Times New Roman"/>
                <w:sz w:val="24"/>
                <w:szCs w:val="24"/>
              </w:rPr>
              <w:t>prasības</w:t>
            </w:r>
            <w:r w:rsidR="00E77739" w:rsidRPr="0024591D">
              <w:rPr>
                <w:rFonts w:ascii="Times New Roman" w:hAnsi="Times New Roman" w:cs="Times New Roman"/>
                <w:sz w:val="24"/>
                <w:szCs w:val="24"/>
              </w:rPr>
              <w:t>,</w:t>
            </w:r>
            <w:r w:rsidR="00E24FC2" w:rsidRPr="0024591D">
              <w:rPr>
                <w:rFonts w:ascii="Times New Roman" w:hAnsi="Times New Roman" w:cs="Times New Roman"/>
                <w:sz w:val="24"/>
                <w:szCs w:val="24"/>
              </w:rPr>
              <w:t xml:space="preserve"> </w:t>
            </w:r>
            <w:r w:rsidR="009E1AB9" w:rsidRPr="0024591D">
              <w:rPr>
                <w:rFonts w:ascii="Times New Roman" w:hAnsi="Times New Roman" w:cs="Times New Roman"/>
                <w:sz w:val="24"/>
                <w:szCs w:val="24"/>
              </w:rPr>
              <w:t>tādējādi</w:t>
            </w:r>
            <w:r w:rsidR="009E1AB9">
              <w:rPr>
                <w:rFonts w:ascii="Times New Roman" w:hAnsi="Times New Roman" w:cs="Times New Roman"/>
                <w:sz w:val="24"/>
                <w:szCs w:val="24"/>
              </w:rPr>
              <w:t xml:space="preserve"> nodrošinot </w:t>
            </w:r>
            <w:r w:rsidR="00D870D0">
              <w:rPr>
                <w:rFonts w:ascii="Times New Roman" w:hAnsi="Times New Roman" w:cs="Times New Roman"/>
                <w:sz w:val="24"/>
                <w:szCs w:val="24"/>
              </w:rPr>
              <w:t xml:space="preserve">uzraudzības vajadzībām </w:t>
            </w:r>
            <w:r w:rsidR="007F450A">
              <w:rPr>
                <w:rFonts w:ascii="Times New Roman" w:hAnsi="Times New Roman" w:cs="Times New Roman"/>
                <w:sz w:val="24"/>
                <w:szCs w:val="24"/>
              </w:rPr>
              <w:t>nepieciešamās informācijas saņemšanu</w:t>
            </w:r>
            <w:r w:rsidR="00BB257E">
              <w:rPr>
                <w:rFonts w:ascii="Times New Roman" w:hAnsi="Times New Roman" w:cs="Times New Roman"/>
                <w:sz w:val="24"/>
                <w:szCs w:val="24"/>
              </w:rPr>
              <w:t>, lai</w:t>
            </w:r>
            <w:r w:rsidR="007F450A">
              <w:rPr>
                <w:rFonts w:ascii="Times New Roman" w:hAnsi="Times New Roman" w:cs="Times New Roman"/>
                <w:sz w:val="24"/>
                <w:szCs w:val="24"/>
              </w:rPr>
              <w:t xml:space="preserve"> </w:t>
            </w:r>
            <w:r w:rsidR="007F450A" w:rsidRPr="007F450A">
              <w:rPr>
                <w:rFonts w:ascii="Times New Roman" w:hAnsi="Times New Roman" w:cs="Times New Roman"/>
                <w:sz w:val="24"/>
                <w:szCs w:val="24"/>
              </w:rPr>
              <w:t>uzraudzības pārbaudes un novērtēšanas proces</w:t>
            </w:r>
            <w:r w:rsidR="007F450A">
              <w:rPr>
                <w:rFonts w:ascii="Times New Roman" w:hAnsi="Times New Roman" w:cs="Times New Roman"/>
                <w:sz w:val="24"/>
                <w:szCs w:val="24"/>
              </w:rPr>
              <w:t xml:space="preserve">a </w:t>
            </w:r>
            <w:r w:rsidR="00BB257E">
              <w:rPr>
                <w:rFonts w:ascii="Times New Roman" w:hAnsi="Times New Roman" w:cs="Times New Roman"/>
                <w:sz w:val="24"/>
                <w:szCs w:val="24"/>
              </w:rPr>
              <w:t xml:space="preserve">ietvaros </w:t>
            </w:r>
            <w:r w:rsidR="0024591D">
              <w:rPr>
                <w:rFonts w:ascii="Times New Roman" w:hAnsi="Times New Roman" w:cs="Times New Roman"/>
                <w:sz w:val="24"/>
                <w:szCs w:val="24"/>
              </w:rPr>
              <w:t xml:space="preserve">novērtētu kredītiestāžu veikto </w:t>
            </w:r>
            <w:r w:rsidR="0024591D" w:rsidRPr="0024591D">
              <w:rPr>
                <w:rFonts w:ascii="Times New Roman" w:hAnsi="Times New Roman" w:cs="Times New Roman"/>
                <w:sz w:val="24"/>
                <w:szCs w:val="24"/>
              </w:rPr>
              <w:t>kapitāla un likviditātes pietiekamības novērtēšanas procesu</w:t>
            </w:r>
            <w:r>
              <w:rPr>
                <w:rFonts w:ascii="Times New Roman" w:hAnsi="Times New Roman" w:cs="Times New Roman"/>
                <w:sz w:val="24"/>
                <w:szCs w:val="24"/>
              </w:rPr>
              <w:t>;</w:t>
            </w:r>
          </w:p>
          <w:p w14:paraId="4FDB57EF" w14:textId="68F5D3AB" w:rsidR="00D62FFA" w:rsidRDefault="00CA7D80" w:rsidP="0066606D">
            <w:pPr>
              <w:jc w:val="both"/>
              <w:rPr>
                <w:rFonts w:ascii="Times New Roman" w:hAnsi="Times New Roman" w:cs="Times New Roman"/>
                <w:sz w:val="24"/>
                <w:szCs w:val="24"/>
              </w:rPr>
            </w:pPr>
            <w:r>
              <w:rPr>
                <w:rFonts w:ascii="Times New Roman" w:hAnsi="Times New Roman" w:cs="Times New Roman"/>
                <w:sz w:val="24"/>
                <w:szCs w:val="24"/>
              </w:rPr>
              <w:t xml:space="preserve">2) </w:t>
            </w:r>
            <w:r w:rsidRPr="00CA7D80">
              <w:rPr>
                <w:rFonts w:ascii="Times New Roman" w:hAnsi="Times New Roman" w:cs="Times New Roman"/>
                <w:sz w:val="24"/>
                <w:szCs w:val="24"/>
              </w:rPr>
              <w:t>Pamatnostādn</w:t>
            </w:r>
            <w:r w:rsidR="00D236D5">
              <w:rPr>
                <w:rFonts w:ascii="Times New Roman" w:hAnsi="Times New Roman" w:cs="Times New Roman"/>
                <w:sz w:val="24"/>
                <w:szCs w:val="24"/>
              </w:rPr>
              <w:t>ē</w:t>
            </w:r>
            <w:r w:rsidRPr="00CA7D80">
              <w:rPr>
                <w:rFonts w:ascii="Times New Roman" w:hAnsi="Times New Roman" w:cs="Times New Roman"/>
                <w:sz w:val="24"/>
                <w:szCs w:val="24"/>
              </w:rPr>
              <w:t xml:space="preserve">s (2014) par SREP </w:t>
            </w:r>
            <w:r w:rsidR="00D236D5">
              <w:rPr>
                <w:rFonts w:ascii="Times New Roman" w:hAnsi="Times New Roman" w:cs="Times New Roman"/>
                <w:sz w:val="24"/>
                <w:szCs w:val="24"/>
              </w:rPr>
              <w:t xml:space="preserve">noteikto </w:t>
            </w:r>
            <w:r w:rsidR="003233E5">
              <w:rPr>
                <w:rFonts w:ascii="Times New Roman" w:hAnsi="Times New Roman" w:cs="Times New Roman"/>
                <w:sz w:val="24"/>
                <w:szCs w:val="24"/>
              </w:rPr>
              <w:t xml:space="preserve">metodoloģiju </w:t>
            </w:r>
            <w:r w:rsidR="003233E5" w:rsidRPr="003233E5">
              <w:rPr>
                <w:rFonts w:ascii="Times New Roman" w:hAnsi="Times New Roman" w:cs="Times New Roman"/>
                <w:sz w:val="24"/>
                <w:szCs w:val="24"/>
              </w:rPr>
              <w:t>uzraudzības pārbaudes un novērtēšanas procesam</w:t>
            </w:r>
            <w:r w:rsidR="00D236D5">
              <w:rPr>
                <w:rFonts w:ascii="Times New Roman" w:hAnsi="Times New Roman" w:cs="Times New Roman"/>
                <w:sz w:val="24"/>
                <w:szCs w:val="24"/>
              </w:rPr>
              <w:t xml:space="preserve">, </w:t>
            </w:r>
            <w:r w:rsidR="00A742B2">
              <w:rPr>
                <w:rFonts w:ascii="Times New Roman" w:hAnsi="Times New Roman" w:cs="Times New Roman"/>
                <w:sz w:val="24"/>
                <w:szCs w:val="24"/>
              </w:rPr>
              <w:t xml:space="preserve">kas ietver </w:t>
            </w:r>
            <w:r w:rsidR="00BF3E01">
              <w:rPr>
                <w:rFonts w:ascii="Times New Roman" w:hAnsi="Times New Roman" w:cs="Times New Roman"/>
                <w:sz w:val="24"/>
                <w:szCs w:val="24"/>
              </w:rPr>
              <w:t xml:space="preserve">arī </w:t>
            </w:r>
            <w:r w:rsidR="00A742B2">
              <w:rPr>
                <w:rFonts w:ascii="Times New Roman" w:hAnsi="Times New Roman" w:cs="Times New Roman"/>
                <w:sz w:val="24"/>
                <w:szCs w:val="24"/>
              </w:rPr>
              <w:t>prasības kapitāla un likviditātes pietiekamības novērtēšana</w:t>
            </w:r>
            <w:r w:rsidR="0072388B">
              <w:rPr>
                <w:rFonts w:ascii="Times New Roman" w:hAnsi="Times New Roman" w:cs="Times New Roman"/>
                <w:sz w:val="24"/>
                <w:szCs w:val="24"/>
              </w:rPr>
              <w:t>i</w:t>
            </w:r>
            <w:r w:rsidR="007F450A">
              <w:rPr>
                <w:rFonts w:ascii="Times New Roman" w:hAnsi="Times New Roman" w:cs="Times New Roman"/>
                <w:sz w:val="24"/>
                <w:szCs w:val="24"/>
              </w:rPr>
              <w:t>.</w:t>
            </w:r>
          </w:p>
          <w:p w14:paraId="0E8F92F6" w14:textId="77777777" w:rsidR="000949D2" w:rsidRDefault="000949D2" w:rsidP="0066606D">
            <w:pPr>
              <w:jc w:val="both"/>
              <w:rPr>
                <w:rFonts w:ascii="Times New Roman" w:hAnsi="Times New Roman" w:cs="Times New Roman"/>
                <w:sz w:val="24"/>
                <w:szCs w:val="24"/>
              </w:rPr>
            </w:pPr>
          </w:p>
          <w:p w14:paraId="07F873D9" w14:textId="51760CE0" w:rsidR="000949D2" w:rsidRDefault="000949D2" w:rsidP="000949D2">
            <w:pPr>
              <w:jc w:val="both"/>
              <w:rPr>
                <w:rFonts w:ascii="Times New Roman" w:hAnsi="Times New Roman" w:cs="Times New Roman"/>
                <w:sz w:val="24"/>
                <w:szCs w:val="24"/>
              </w:rPr>
            </w:pPr>
            <w:r>
              <w:rPr>
                <w:rFonts w:ascii="Times New Roman" w:hAnsi="Times New Roman" w:cs="Times New Roman"/>
                <w:sz w:val="24"/>
                <w:szCs w:val="24"/>
              </w:rPr>
              <w:t>Noteikumos Nr.</w:t>
            </w:r>
            <w:r w:rsidR="008770CE">
              <w:rPr>
                <w:rFonts w:ascii="Times New Roman" w:hAnsi="Times New Roman" w:cs="Times New Roman"/>
                <w:sz w:val="24"/>
                <w:szCs w:val="24"/>
              </w:rPr>
              <w:t> </w:t>
            </w:r>
            <w:r>
              <w:rPr>
                <w:rFonts w:ascii="Times New Roman" w:hAnsi="Times New Roman" w:cs="Times New Roman"/>
                <w:sz w:val="24"/>
                <w:szCs w:val="24"/>
              </w:rPr>
              <w:t xml:space="preserve">209 </w:t>
            </w:r>
            <w:r w:rsidR="004E6A40">
              <w:rPr>
                <w:rFonts w:ascii="Times New Roman" w:hAnsi="Times New Roman" w:cs="Times New Roman"/>
                <w:sz w:val="24"/>
                <w:szCs w:val="24"/>
              </w:rPr>
              <w:t xml:space="preserve">ietvertas prasības </w:t>
            </w:r>
            <w:r w:rsidRPr="00D6150A">
              <w:rPr>
                <w:rFonts w:ascii="Times New Roman" w:hAnsi="Times New Roman" w:cs="Times New Roman"/>
                <w:sz w:val="24"/>
                <w:szCs w:val="24"/>
              </w:rPr>
              <w:t xml:space="preserve">attiecībā uz </w:t>
            </w:r>
            <w:r w:rsidRPr="00C8656A">
              <w:rPr>
                <w:rFonts w:ascii="Times New Roman" w:hAnsi="Times New Roman" w:cs="Times New Roman"/>
                <w:sz w:val="24"/>
                <w:szCs w:val="24"/>
              </w:rPr>
              <w:t xml:space="preserve">kapitāla </w:t>
            </w:r>
            <w:r w:rsidRPr="005E3226">
              <w:rPr>
                <w:rFonts w:ascii="Times New Roman" w:hAnsi="Times New Roman" w:cs="Times New Roman"/>
                <w:sz w:val="24"/>
                <w:szCs w:val="24"/>
              </w:rPr>
              <w:t>un likviditātes</w:t>
            </w:r>
            <w:r w:rsidRPr="00C8656A">
              <w:rPr>
                <w:rFonts w:ascii="Times New Roman" w:hAnsi="Times New Roman" w:cs="Times New Roman"/>
                <w:sz w:val="24"/>
                <w:szCs w:val="24"/>
              </w:rPr>
              <w:t xml:space="preserve"> pietiekamības novērtēšanas procesa </w:t>
            </w:r>
            <w:r w:rsidR="00C23BF9" w:rsidRPr="00C8656A">
              <w:rPr>
                <w:rFonts w:ascii="Times New Roman" w:hAnsi="Times New Roman" w:cs="Times New Roman"/>
                <w:sz w:val="24"/>
                <w:szCs w:val="24"/>
              </w:rPr>
              <w:t>izveid</w:t>
            </w:r>
            <w:r w:rsidR="00C23BF9">
              <w:rPr>
                <w:rFonts w:ascii="Times New Roman" w:hAnsi="Times New Roman" w:cs="Times New Roman"/>
                <w:sz w:val="24"/>
                <w:szCs w:val="24"/>
              </w:rPr>
              <w:t xml:space="preserve">i un </w:t>
            </w:r>
            <w:r w:rsidR="00C23BF9" w:rsidRPr="00C8656A">
              <w:rPr>
                <w:rFonts w:ascii="Times New Roman" w:hAnsi="Times New Roman" w:cs="Times New Roman"/>
                <w:sz w:val="24"/>
                <w:szCs w:val="24"/>
              </w:rPr>
              <w:t>satur</w:t>
            </w:r>
            <w:r w:rsidR="00C23BF9">
              <w:rPr>
                <w:rFonts w:ascii="Times New Roman" w:hAnsi="Times New Roman" w:cs="Times New Roman"/>
                <w:sz w:val="24"/>
                <w:szCs w:val="24"/>
              </w:rPr>
              <w:t>u</w:t>
            </w:r>
            <w:r>
              <w:rPr>
                <w:rFonts w:ascii="Times New Roman" w:hAnsi="Times New Roman" w:cs="Times New Roman"/>
                <w:sz w:val="24"/>
                <w:szCs w:val="24"/>
              </w:rPr>
              <w:t>,</w:t>
            </w:r>
            <w:r w:rsidRPr="00D6150A">
              <w:rPr>
                <w:rFonts w:ascii="Times New Roman" w:hAnsi="Times New Roman" w:cs="Times New Roman"/>
                <w:sz w:val="24"/>
                <w:szCs w:val="24"/>
              </w:rPr>
              <w:t xml:space="preserve"> kā arī pārskata par kapitāla pietiekamības novērtēšanas procesu un </w:t>
            </w:r>
            <w:r>
              <w:rPr>
                <w:rFonts w:ascii="Times New Roman" w:hAnsi="Times New Roman" w:cs="Times New Roman"/>
                <w:sz w:val="24"/>
                <w:szCs w:val="24"/>
              </w:rPr>
              <w:t>ziņojuma</w:t>
            </w:r>
            <w:r w:rsidRPr="00D6150A">
              <w:rPr>
                <w:rFonts w:ascii="Times New Roman" w:hAnsi="Times New Roman" w:cs="Times New Roman"/>
                <w:sz w:val="24"/>
                <w:szCs w:val="24"/>
              </w:rPr>
              <w:t xml:space="preserve"> par likviditātes pietiekamības novērtēšanas procesu sagatavošanu un iesniegšanu</w:t>
            </w:r>
            <w:r w:rsidR="004E6A40">
              <w:rPr>
                <w:rFonts w:ascii="Times New Roman" w:hAnsi="Times New Roman" w:cs="Times New Roman"/>
                <w:sz w:val="24"/>
                <w:szCs w:val="24"/>
              </w:rPr>
              <w:t>.</w:t>
            </w:r>
          </w:p>
          <w:p w14:paraId="655FF380" w14:textId="77777777" w:rsidR="0057133C" w:rsidRPr="00D6150A" w:rsidRDefault="0057133C" w:rsidP="000F3755">
            <w:pPr>
              <w:jc w:val="both"/>
              <w:rPr>
                <w:rFonts w:ascii="Times New Roman" w:hAnsi="Times New Roman" w:cs="Times New Roman"/>
                <w:sz w:val="24"/>
                <w:szCs w:val="24"/>
              </w:rPr>
            </w:pPr>
          </w:p>
          <w:p w14:paraId="261A4152" w14:textId="616A4A68" w:rsidR="00C80499" w:rsidRDefault="00FD50EF" w:rsidP="007A070F">
            <w:pPr>
              <w:jc w:val="both"/>
              <w:rPr>
                <w:rFonts w:ascii="Times New Roman" w:hAnsi="Times New Roman" w:cs="Times New Roman"/>
                <w:sz w:val="24"/>
                <w:szCs w:val="24"/>
              </w:rPr>
            </w:pPr>
            <w:r w:rsidRPr="008770CE">
              <w:rPr>
                <w:rFonts w:ascii="Times New Roman" w:hAnsi="Times New Roman" w:cs="Times New Roman"/>
                <w:sz w:val="24"/>
                <w:szCs w:val="24"/>
              </w:rPr>
              <w:t>N</w:t>
            </w:r>
            <w:r w:rsidR="002F1A2F" w:rsidRPr="008770CE">
              <w:rPr>
                <w:rFonts w:ascii="Times New Roman" w:hAnsi="Times New Roman" w:cs="Times New Roman"/>
                <w:sz w:val="24"/>
                <w:szCs w:val="24"/>
              </w:rPr>
              <w:t>oteikumu projekts</w:t>
            </w:r>
            <w:r w:rsidR="002A24EA">
              <w:rPr>
                <w:rFonts w:ascii="Times New Roman" w:hAnsi="Times New Roman" w:cs="Times New Roman"/>
                <w:sz w:val="24"/>
                <w:szCs w:val="24"/>
              </w:rPr>
              <w:t>,</w:t>
            </w:r>
            <w:r w:rsidR="002F1A2F" w:rsidRPr="008770CE">
              <w:rPr>
                <w:rFonts w:ascii="Times New Roman" w:hAnsi="Times New Roman" w:cs="Times New Roman"/>
                <w:sz w:val="24"/>
                <w:szCs w:val="24"/>
              </w:rPr>
              <w:t xml:space="preserve"> </w:t>
            </w:r>
            <w:r w:rsidR="002A24EA" w:rsidRPr="008770CE">
              <w:rPr>
                <w:rFonts w:ascii="Times New Roman" w:hAnsi="Times New Roman" w:cs="Times New Roman"/>
                <w:sz w:val="24"/>
                <w:szCs w:val="24"/>
              </w:rPr>
              <w:t xml:space="preserve">ievērojot </w:t>
            </w:r>
            <w:r w:rsidR="00BF3E01">
              <w:rPr>
                <w:rFonts w:ascii="Times New Roman" w:hAnsi="Times New Roman" w:cs="Times New Roman"/>
                <w:sz w:val="24"/>
                <w:szCs w:val="24"/>
              </w:rPr>
              <w:t xml:space="preserve">arī </w:t>
            </w:r>
            <w:r w:rsidR="002A24EA" w:rsidRPr="008770CE">
              <w:rPr>
                <w:rFonts w:ascii="Times New Roman" w:hAnsi="Times New Roman" w:cs="Times New Roman"/>
                <w:sz w:val="24"/>
                <w:szCs w:val="24"/>
              </w:rPr>
              <w:t>Pamatnostādnes (2022) par SREP un Pamatnostādnes par informāciju</w:t>
            </w:r>
            <w:r w:rsidR="002A24EA">
              <w:rPr>
                <w:rFonts w:ascii="Times New Roman" w:hAnsi="Times New Roman" w:cs="Times New Roman"/>
                <w:sz w:val="24"/>
                <w:szCs w:val="24"/>
              </w:rPr>
              <w:t>,</w:t>
            </w:r>
            <w:r w:rsidR="002A24EA" w:rsidRPr="008770CE">
              <w:rPr>
                <w:rFonts w:ascii="Times New Roman" w:hAnsi="Times New Roman" w:cs="Times New Roman"/>
                <w:sz w:val="24"/>
                <w:szCs w:val="24"/>
              </w:rPr>
              <w:t xml:space="preserve"> </w:t>
            </w:r>
            <w:r w:rsidR="002F1A2F" w:rsidRPr="008770CE">
              <w:rPr>
                <w:rFonts w:ascii="Times New Roman" w:hAnsi="Times New Roman" w:cs="Times New Roman"/>
                <w:sz w:val="24"/>
                <w:szCs w:val="24"/>
              </w:rPr>
              <w:t>izstrādāts ar mērķi noteikt</w:t>
            </w:r>
            <w:r w:rsidR="0005215D" w:rsidRPr="008770CE">
              <w:rPr>
                <w:rFonts w:ascii="Times New Roman" w:hAnsi="Times New Roman" w:cs="Times New Roman"/>
                <w:sz w:val="24"/>
                <w:szCs w:val="24"/>
              </w:rPr>
              <w:t xml:space="preserve"> </w:t>
            </w:r>
            <w:r w:rsidR="00132940" w:rsidRPr="008770CE">
              <w:rPr>
                <w:rFonts w:ascii="Times New Roman" w:hAnsi="Times New Roman" w:cs="Times New Roman"/>
                <w:sz w:val="24"/>
                <w:szCs w:val="24"/>
              </w:rPr>
              <w:t xml:space="preserve">kapitāla pietiekamības novērtēšanas procesa izveides vispārējos principus, kapitāla pietiekamības novērtēšanas procesa </w:t>
            </w:r>
            <w:r w:rsidR="00202A97">
              <w:rPr>
                <w:rFonts w:ascii="Times New Roman" w:hAnsi="Times New Roman" w:cs="Times New Roman"/>
                <w:sz w:val="24"/>
                <w:szCs w:val="24"/>
              </w:rPr>
              <w:t>īstenošanas prasības</w:t>
            </w:r>
            <w:r w:rsidR="00132940" w:rsidRPr="008770CE">
              <w:rPr>
                <w:rFonts w:ascii="Times New Roman" w:hAnsi="Times New Roman" w:cs="Times New Roman"/>
                <w:sz w:val="24"/>
                <w:szCs w:val="24"/>
              </w:rPr>
              <w:t xml:space="preserve">, kā arī </w:t>
            </w:r>
            <w:r w:rsidR="00BA4DEB">
              <w:rPr>
                <w:rFonts w:ascii="Times New Roman" w:hAnsi="Times New Roman" w:cs="Times New Roman"/>
                <w:sz w:val="24"/>
                <w:szCs w:val="24"/>
              </w:rPr>
              <w:t xml:space="preserve">prasības </w:t>
            </w:r>
            <w:r w:rsidR="00202A97">
              <w:rPr>
                <w:rFonts w:ascii="Times New Roman" w:hAnsi="Times New Roman" w:cs="Times New Roman"/>
                <w:sz w:val="24"/>
                <w:szCs w:val="24"/>
              </w:rPr>
              <w:t>informācijas</w:t>
            </w:r>
            <w:r w:rsidR="007A070F" w:rsidRPr="008770CE">
              <w:rPr>
                <w:rFonts w:ascii="Times New Roman" w:hAnsi="Times New Roman" w:cs="Times New Roman"/>
                <w:sz w:val="24"/>
                <w:szCs w:val="24"/>
              </w:rPr>
              <w:t xml:space="preserve"> </w:t>
            </w:r>
            <w:r w:rsidR="00132940" w:rsidRPr="008770CE">
              <w:rPr>
                <w:rFonts w:ascii="Times New Roman" w:hAnsi="Times New Roman" w:cs="Times New Roman"/>
                <w:sz w:val="24"/>
                <w:szCs w:val="24"/>
              </w:rPr>
              <w:t>par kapitāla pietiekamības novērtēšanas procesu</w:t>
            </w:r>
            <w:r w:rsidR="00202A97">
              <w:rPr>
                <w:rFonts w:ascii="Times New Roman" w:hAnsi="Times New Roman" w:cs="Times New Roman"/>
                <w:sz w:val="24"/>
                <w:szCs w:val="24"/>
              </w:rPr>
              <w:t xml:space="preserve"> </w:t>
            </w:r>
            <w:r w:rsidR="00BA4DEB" w:rsidRPr="00202A97">
              <w:rPr>
                <w:rFonts w:ascii="Times New Roman" w:hAnsi="Times New Roman" w:cs="Times New Roman"/>
                <w:sz w:val="24"/>
                <w:szCs w:val="24"/>
              </w:rPr>
              <w:t>sagatavošana</w:t>
            </w:r>
            <w:r w:rsidR="00BA4DEB">
              <w:rPr>
                <w:rFonts w:ascii="Times New Roman" w:hAnsi="Times New Roman" w:cs="Times New Roman"/>
                <w:sz w:val="24"/>
                <w:szCs w:val="24"/>
              </w:rPr>
              <w:t>i</w:t>
            </w:r>
            <w:r w:rsidR="00BA4DEB" w:rsidRPr="00202A97">
              <w:rPr>
                <w:rFonts w:ascii="Times New Roman" w:hAnsi="Times New Roman" w:cs="Times New Roman"/>
                <w:sz w:val="24"/>
                <w:szCs w:val="24"/>
              </w:rPr>
              <w:t xml:space="preserve"> </w:t>
            </w:r>
            <w:r w:rsidR="00202A97" w:rsidRPr="00202A97">
              <w:rPr>
                <w:rFonts w:ascii="Times New Roman" w:hAnsi="Times New Roman" w:cs="Times New Roman"/>
                <w:sz w:val="24"/>
                <w:szCs w:val="24"/>
              </w:rPr>
              <w:t xml:space="preserve">un </w:t>
            </w:r>
            <w:r w:rsidR="00BA4DEB" w:rsidRPr="00202A97">
              <w:rPr>
                <w:rFonts w:ascii="Times New Roman" w:hAnsi="Times New Roman" w:cs="Times New Roman"/>
                <w:sz w:val="24"/>
                <w:szCs w:val="24"/>
              </w:rPr>
              <w:t>iesniegšana</w:t>
            </w:r>
            <w:r w:rsidR="00BA4DEB">
              <w:rPr>
                <w:rFonts w:ascii="Times New Roman" w:hAnsi="Times New Roman" w:cs="Times New Roman"/>
                <w:sz w:val="24"/>
                <w:szCs w:val="24"/>
              </w:rPr>
              <w:t>i</w:t>
            </w:r>
            <w:r w:rsidR="00BA4DEB" w:rsidRPr="00202A97">
              <w:rPr>
                <w:rFonts w:ascii="Times New Roman" w:hAnsi="Times New Roman" w:cs="Times New Roman"/>
                <w:sz w:val="24"/>
                <w:szCs w:val="24"/>
              </w:rPr>
              <w:t xml:space="preserve"> </w:t>
            </w:r>
            <w:r w:rsidR="00202A97" w:rsidRPr="00202A97">
              <w:rPr>
                <w:rFonts w:ascii="Times New Roman" w:hAnsi="Times New Roman" w:cs="Times New Roman"/>
                <w:sz w:val="24"/>
                <w:szCs w:val="24"/>
              </w:rPr>
              <w:t>Latvijas Bank</w:t>
            </w:r>
            <w:r w:rsidR="004E4029">
              <w:rPr>
                <w:rFonts w:ascii="Times New Roman" w:hAnsi="Times New Roman" w:cs="Times New Roman"/>
                <w:sz w:val="24"/>
                <w:szCs w:val="24"/>
              </w:rPr>
              <w:t>ā</w:t>
            </w:r>
            <w:r w:rsidR="00845B1B" w:rsidRPr="008770CE">
              <w:rPr>
                <w:rFonts w:ascii="Times New Roman" w:hAnsi="Times New Roman" w:cs="Times New Roman"/>
                <w:sz w:val="24"/>
                <w:szCs w:val="24"/>
              </w:rPr>
              <w:t>.</w:t>
            </w:r>
          </w:p>
          <w:p w14:paraId="41E8F559" w14:textId="77777777" w:rsidR="00C80499" w:rsidRDefault="00C80499" w:rsidP="007A070F">
            <w:pPr>
              <w:jc w:val="both"/>
              <w:rPr>
                <w:rFonts w:ascii="Times New Roman" w:hAnsi="Times New Roman" w:cs="Times New Roman"/>
                <w:sz w:val="24"/>
                <w:szCs w:val="24"/>
              </w:rPr>
            </w:pPr>
          </w:p>
          <w:p w14:paraId="6B1C2E82" w14:textId="76F4B48C" w:rsidR="000266FD" w:rsidRPr="00D6150A" w:rsidRDefault="00FD50EF" w:rsidP="007A070F">
            <w:pPr>
              <w:jc w:val="both"/>
              <w:rPr>
                <w:rFonts w:ascii="Times New Roman" w:hAnsi="Times New Roman" w:cs="Times New Roman"/>
                <w:sz w:val="24"/>
                <w:szCs w:val="24"/>
              </w:rPr>
            </w:pPr>
            <w:r>
              <w:rPr>
                <w:rFonts w:ascii="Times New Roman" w:hAnsi="Times New Roman" w:cs="Times New Roman"/>
                <w:sz w:val="24"/>
                <w:szCs w:val="24"/>
              </w:rPr>
              <w:t>Noteikumos Nr. </w:t>
            </w:r>
            <w:r w:rsidR="005C45AD">
              <w:rPr>
                <w:rFonts w:ascii="Times New Roman" w:hAnsi="Times New Roman" w:cs="Times New Roman"/>
                <w:sz w:val="24"/>
                <w:szCs w:val="24"/>
              </w:rPr>
              <w:t>209 iekļaut</w:t>
            </w:r>
            <w:r w:rsidR="006B1CF6">
              <w:rPr>
                <w:rFonts w:ascii="Times New Roman" w:hAnsi="Times New Roman" w:cs="Times New Roman"/>
                <w:sz w:val="24"/>
                <w:szCs w:val="24"/>
              </w:rPr>
              <w:t>ais regulējums</w:t>
            </w:r>
            <w:r w:rsidR="005C45AD">
              <w:rPr>
                <w:rFonts w:ascii="Times New Roman" w:hAnsi="Times New Roman" w:cs="Times New Roman"/>
                <w:sz w:val="24"/>
                <w:szCs w:val="24"/>
              </w:rPr>
              <w:t xml:space="preserve"> attiecībā uz </w:t>
            </w:r>
            <w:r w:rsidR="00CF0BDA">
              <w:rPr>
                <w:rFonts w:ascii="Times New Roman" w:hAnsi="Times New Roman" w:cs="Times New Roman"/>
                <w:sz w:val="24"/>
                <w:szCs w:val="24"/>
              </w:rPr>
              <w:t>likviditātes pietiekamības novērtēšanas procesa izveides vispārējiem principiem</w:t>
            </w:r>
            <w:r w:rsidR="00C23BF9">
              <w:rPr>
                <w:rFonts w:ascii="Times New Roman" w:hAnsi="Times New Roman" w:cs="Times New Roman"/>
                <w:sz w:val="24"/>
                <w:szCs w:val="24"/>
              </w:rPr>
              <w:t xml:space="preserve"> un </w:t>
            </w:r>
            <w:r w:rsidR="00C23BF9" w:rsidRPr="00CF0BDA">
              <w:rPr>
                <w:rFonts w:ascii="Times New Roman" w:hAnsi="Times New Roman" w:cs="Times New Roman"/>
                <w:sz w:val="24"/>
                <w:szCs w:val="24"/>
              </w:rPr>
              <w:t>satur</w:t>
            </w:r>
            <w:r w:rsidR="00C23BF9">
              <w:rPr>
                <w:rFonts w:ascii="Times New Roman" w:hAnsi="Times New Roman" w:cs="Times New Roman"/>
                <w:sz w:val="24"/>
                <w:szCs w:val="24"/>
              </w:rPr>
              <w:t>u</w:t>
            </w:r>
            <w:r w:rsidR="00CF0BDA">
              <w:rPr>
                <w:rFonts w:ascii="Times New Roman" w:hAnsi="Times New Roman" w:cs="Times New Roman"/>
                <w:sz w:val="24"/>
                <w:szCs w:val="24"/>
              </w:rPr>
              <w:t xml:space="preserve">, </w:t>
            </w:r>
            <w:r w:rsidR="00CF0BDA" w:rsidRPr="00CF0BDA">
              <w:rPr>
                <w:rFonts w:ascii="Times New Roman" w:hAnsi="Times New Roman" w:cs="Times New Roman"/>
                <w:sz w:val="24"/>
                <w:szCs w:val="24"/>
              </w:rPr>
              <w:t xml:space="preserve">kā arī Latvijas Bankai iesniedzamā </w:t>
            </w:r>
            <w:r w:rsidR="00D662BC">
              <w:rPr>
                <w:rFonts w:ascii="Times New Roman" w:hAnsi="Times New Roman" w:cs="Times New Roman"/>
                <w:sz w:val="24"/>
                <w:szCs w:val="24"/>
              </w:rPr>
              <w:t>ziņojuma</w:t>
            </w:r>
            <w:r w:rsidR="00CF0BDA" w:rsidRPr="00CF0BDA">
              <w:rPr>
                <w:rFonts w:ascii="Times New Roman" w:hAnsi="Times New Roman" w:cs="Times New Roman"/>
                <w:sz w:val="24"/>
                <w:szCs w:val="24"/>
              </w:rPr>
              <w:t xml:space="preserve"> par </w:t>
            </w:r>
            <w:r w:rsidR="00CF0BDA">
              <w:rPr>
                <w:rFonts w:ascii="Times New Roman" w:hAnsi="Times New Roman" w:cs="Times New Roman"/>
                <w:sz w:val="24"/>
                <w:szCs w:val="24"/>
              </w:rPr>
              <w:t>likviditātes</w:t>
            </w:r>
            <w:r w:rsidR="00CF0BDA" w:rsidRPr="00CF0BDA">
              <w:rPr>
                <w:rFonts w:ascii="Times New Roman" w:hAnsi="Times New Roman" w:cs="Times New Roman"/>
                <w:sz w:val="24"/>
                <w:szCs w:val="24"/>
              </w:rPr>
              <w:t xml:space="preserve"> pietiekamības novērtēšanas procesu </w:t>
            </w:r>
            <w:r w:rsidR="008770CE">
              <w:rPr>
                <w:rFonts w:ascii="Times New Roman" w:hAnsi="Times New Roman" w:cs="Times New Roman"/>
                <w:sz w:val="24"/>
                <w:szCs w:val="24"/>
              </w:rPr>
              <w:t xml:space="preserve">sagatavošanas un </w:t>
            </w:r>
            <w:r w:rsidR="00CF0BDA" w:rsidRPr="00CF0BDA">
              <w:rPr>
                <w:rFonts w:ascii="Times New Roman" w:hAnsi="Times New Roman" w:cs="Times New Roman"/>
                <w:sz w:val="24"/>
                <w:szCs w:val="24"/>
              </w:rPr>
              <w:t>sniegšanas kārtību</w:t>
            </w:r>
            <w:r w:rsidR="00CF0BDA">
              <w:rPr>
                <w:rFonts w:ascii="Times New Roman" w:hAnsi="Times New Roman" w:cs="Times New Roman"/>
                <w:sz w:val="24"/>
                <w:szCs w:val="24"/>
              </w:rPr>
              <w:t xml:space="preserve"> tiks iekļauts Latvijas Bankas noteikumos, kas regulē</w:t>
            </w:r>
            <w:r w:rsidR="00AA303C">
              <w:rPr>
                <w:rFonts w:ascii="Times New Roman" w:hAnsi="Times New Roman" w:cs="Times New Roman"/>
                <w:sz w:val="24"/>
                <w:szCs w:val="24"/>
              </w:rPr>
              <w:t>s</w:t>
            </w:r>
            <w:r w:rsidR="00CF0BDA">
              <w:rPr>
                <w:rFonts w:ascii="Times New Roman" w:hAnsi="Times New Roman" w:cs="Times New Roman"/>
                <w:sz w:val="24"/>
                <w:szCs w:val="24"/>
              </w:rPr>
              <w:t xml:space="preserve"> </w:t>
            </w:r>
            <w:r w:rsidR="009216DB">
              <w:rPr>
                <w:rFonts w:ascii="Times New Roman" w:hAnsi="Times New Roman" w:cs="Times New Roman"/>
                <w:sz w:val="24"/>
                <w:szCs w:val="24"/>
              </w:rPr>
              <w:t>l</w:t>
            </w:r>
            <w:r w:rsidR="009216DB" w:rsidRPr="009216DB">
              <w:rPr>
                <w:rFonts w:ascii="Times New Roman" w:hAnsi="Times New Roman" w:cs="Times New Roman"/>
                <w:sz w:val="24"/>
                <w:szCs w:val="24"/>
              </w:rPr>
              <w:t>ikviditātes riska pārvaldīšan</w:t>
            </w:r>
            <w:r w:rsidR="009216DB">
              <w:rPr>
                <w:rFonts w:ascii="Times New Roman" w:hAnsi="Times New Roman" w:cs="Times New Roman"/>
                <w:sz w:val="24"/>
                <w:szCs w:val="24"/>
              </w:rPr>
              <w:t>u</w:t>
            </w:r>
            <w:r w:rsidR="009216DB" w:rsidRPr="009216DB">
              <w:rPr>
                <w:rFonts w:ascii="Times New Roman" w:hAnsi="Times New Roman" w:cs="Times New Roman"/>
                <w:sz w:val="24"/>
                <w:szCs w:val="24"/>
              </w:rPr>
              <w:t xml:space="preserve"> un likviditātes pietiekamības novērtēšanas proces</w:t>
            </w:r>
            <w:r w:rsidR="009216DB">
              <w:rPr>
                <w:rFonts w:ascii="Times New Roman" w:hAnsi="Times New Roman" w:cs="Times New Roman"/>
                <w:sz w:val="24"/>
                <w:szCs w:val="24"/>
              </w:rPr>
              <w:t>u</w:t>
            </w:r>
            <w:r w:rsidR="009216DB" w:rsidRPr="009216DB">
              <w:rPr>
                <w:rFonts w:ascii="Times New Roman" w:hAnsi="Times New Roman" w:cs="Times New Roman"/>
                <w:sz w:val="24"/>
                <w:szCs w:val="24"/>
              </w:rPr>
              <w:t xml:space="preserve"> </w:t>
            </w:r>
            <w:r w:rsidR="009D2A03">
              <w:rPr>
                <w:rFonts w:ascii="Times New Roman" w:hAnsi="Times New Roman" w:cs="Times New Roman"/>
                <w:sz w:val="24"/>
                <w:szCs w:val="24"/>
              </w:rPr>
              <w:t xml:space="preserve">(pašlaik Finanšu un kapitāla tirgus komisijas </w:t>
            </w:r>
            <w:r w:rsidR="0068575F" w:rsidRPr="0068575F">
              <w:rPr>
                <w:rFonts w:ascii="Times New Roman" w:hAnsi="Times New Roman" w:cs="Times New Roman"/>
                <w:sz w:val="24"/>
                <w:szCs w:val="24"/>
              </w:rPr>
              <w:t>2020.</w:t>
            </w:r>
            <w:r w:rsidR="0068575F">
              <w:rPr>
                <w:rFonts w:ascii="Times New Roman" w:hAnsi="Times New Roman" w:cs="Times New Roman"/>
                <w:sz w:val="24"/>
                <w:szCs w:val="24"/>
              </w:rPr>
              <w:t> </w:t>
            </w:r>
            <w:r w:rsidR="0068575F" w:rsidRPr="0068575F">
              <w:rPr>
                <w:rFonts w:ascii="Times New Roman" w:hAnsi="Times New Roman" w:cs="Times New Roman"/>
                <w:sz w:val="24"/>
                <w:szCs w:val="24"/>
              </w:rPr>
              <w:t>gada 10.</w:t>
            </w:r>
            <w:r w:rsidR="0068575F">
              <w:rPr>
                <w:rFonts w:ascii="Times New Roman" w:hAnsi="Times New Roman" w:cs="Times New Roman"/>
                <w:sz w:val="24"/>
                <w:szCs w:val="24"/>
              </w:rPr>
              <w:t> </w:t>
            </w:r>
            <w:r w:rsidR="0068575F" w:rsidRPr="0068575F">
              <w:rPr>
                <w:rFonts w:ascii="Times New Roman" w:hAnsi="Times New Roman" w:cs="Times New Roman"/>
                <w:sz w:val="24"/>
                <w:szCs w:val="24"/>
              </w:rPr>
              <w:t>novembr</w:t>
            </w:r>
            <w:r w:rsidR="0068575F">
              <w:rPr>
                <w:rFonts w:ascii="Times New Roman" w:hAnsi="Times New Roman" w:cs="Times New Roman"/>
                <w:sz w:val="24"/>
                <w:szCs w:val="24"/>
              </w:rPr>
              <w:t xml:space="preserve">a normatīvie noteikumi Nr. 218 </w:t>
            </w:r>
            <w:r w:rsidR="00DB6416">
              <w:rPr>
                <w:rFonts w:ascii="Times New Roman" w:hAnsi="Times New Roman" w:cs="Times New Roman"/>
                <w:sz w:val="24"/>
                <w:szCs w:val="24"/>
              </w:rPr>
              <w:t>"</w:t>
            </w:r>
            <w:r w:rsidR="0068575F" w:rsidRPr="0068575F">
              <w:rPr>
                <w:rFonts w:ascii="Times New Roman" w:hAnsi="Times New Roman" w:cs="Times New Roman"/>
                <w:sz w:val="24"/>
                <w:szCs w:val="24"/>
              </w:rPr>
              <w:t>Likviditātes prasību, to izpildes kārtības un likviditātes riska pārvaldīšanas normatīvie noteikumi</w:t>
            </w:r>
            <w:r w:rsidR="00DB6416">
              <w:rPr>
                <w:rFonts w:ascii="Times New Roman" w:hAnsi="Times New Roman" w:cs="Times New Roman"/>
                <w:sz w:val="24"/>
                <w:szCs w:val="24"/>
              </w:rPr>
              <w:t>"</w:t>
            </w:r>
            <w:r w:rsidR="00C80499">
              <w:rPr>
                <w:rFonts w:ascii="Times New Roman" w:hAnsi="Times New Roman" w:cs="Times New Roman"/>
                <w:sz w:val="24"/>
                <w:szCs w:val="24"/>
              </w:rPr>
              <w:t>)</w:t>
            </w:r>
            <w:r w:rsidR="0068575F">
              <w:rPr>
                <w:rFonts w:ascii="Times New Roman" w:hAnsi="Times New Roman" w:cs="Times New Roman"/>
                <w:sz w:val="24"/>
                <w:szCs w:val="24"/>
              </w:rPr>
              <w:t>.</w:t>
            </w:r>
          </w:p>
          <w:p w14:paraId="2CF01E77" w14:textId="77777777" w:rsidR="00D82E57" w:rsidRPr="00D6150A" w:rsidRDefault="00D82E57" w:rsidP="007A070F">
            <w:pPr>
              <w:jc w:val="both"/>
              <w:rPr>
                <w:rFonts w:ascii="Times New Roman" w:hAnsi="Times New Roman" w:cs="Times New Roman"/>
                <w:sz w:val="24"/>
                <w:szCs w:val="24"/>
              </w:rPr>
            </w:pPr>
          </w:p>
          <w:p w14:paraId="1EB3C49C" w14:textId="5A122763" w:rsidR="00F401C0" w:rsidRDefault="00CB2F15" w:rsidP="003770FF">
            <w:pPr>
              <w:jc w:val="both"/>
              <w:rPr>
                <w:rFonts w:ascii="Times New Roman" w:hAnsi="Times New Roman" w:cs="Times New Roman"/>
                <w:sz w:val="24"/>
                <w:szCs w:val="24"/>
              </w:rPr>
            </w:pPr>
            <w:r w:rsidRPr="002C329B">
              <w:rPr>
                <w:rFonts w:ascii="Times New Roman" w:hAnsi="Times New Roman" w:cs="Times New Roman"/>
                <w:sz w:val="24"/>
                <w:szCs w:val="24"/>
              </w:rPr>
              <w:t>Noteikumu projekt</w:t>
            </w:r>
            <w:r w:rsidR="002B6725" w:rsidRPr="002C329B">
              <w:rPr>
                <w:rFonts w:ascii="Times New Roman" w:hAnsi="Times New Roman" w:cs="Times New Roman"/>
                <w:sz w:val="24"/>
                <w:szCs w:val="24"/>
              </w:rPr>
              <w:t xml:space="preserve">ā paredzētās </w:t>
            </w:r>
            <w:r w:rsidR="00132940" w:rsidRPr="002C329B">
              <w:rPr>
                <w:rFonts w:ascii="Times New Roman" w:hAnsi="Times New Roman" w:cs="Times New Roman"/>
                <w:sz w:val="24"/>
                <w:szCs w:val="24"/>
              </w:rPr>
              <w:t>prasības</w:t>
            </w:r>
            <w:r w:rsidR="002B6725" w:rsidRPr="002C329B">
              <w:rPr>
                <w:rFonts w:ascii="Times New Roman" w:hAnsi="Times New Roman" w:cs="Times New Roman"/>
                <w:sz w:val="24"/>
                <w:szCs w:val="24"/>
              </w:rPr>
              <w:t xml:space="preserve"> </w:t>
            </w:r>
            <w:r w:rsidR="00CC52E3" w:rsidRPr="002C329B">
              <w:rPr>
                <w:rFonts w:ascii="Times New Roman" w:hAnsi="Times New Roman" w:cs="Times New Roman"/>
                <w:sz w:val="24"/>
                <w:szCs w:val="24"/>
              </w:rPr>
              <w:t xml:space="preserve">būs </w:t>
            </w:r>
            <w:r w:rsidR="00844507" w:rsidRPr="002C329B">
              <w:rPr>
                <w:rFonts w:ascii="Times New Roman" w:hAnsi="Times New Roman" w:cs="Times New Roman"/>
                <w:sz w:val="24"/>
                <w:szCs w:val="24"/>
              </w:rPr>
              <w:t xml:space="preserve">saistošas </w:t>
            </w:r>
            <w:r w:rsidR="00CC52E3" w:rsidRPr="002C329B">
              <w:rPr>
                <w:rFonts w:ascii="Times New Roman" w:hAnsi="Times New Roman" w:cs="Times New Roman"/>
                <w:sz w:val="24"/>
                <w:szCs w:val="24"/>
              </w:rPr>
              <w:t>Latvijas Republikā reģistrētām kredītiestādēm</w:t>
            </w:r>
            <w:r w:rsidR="00AA7E79" w:rsidRPr="002C329B">
              <w:rPr>
                <w:rFonts w:ascii="Times New Roman" w:hAnsi="Times New Roman" w:cs="Times New Roman"/>
                <w:sz w:val="24"/>
                <w:szCs w:val="24"/>
              </w:rPr>
              <w:t xml:space="preserve">, </w:t>
            </w:r>
            <w:r w:rsidR="00BF0E98" w:rsidRPr="002C329B">
              <w:rPr>
                <w:rFonts w:ascii="Times New Roman" w:hAnsi="Times New Roman" w:cs="Times New Roman"/>
                <w:sz w:val="24"/>
                <w:szCs w:val="24"/>
              </w:rPr>
              <w:t>izņemot nozīmīgās uzraudzītās kredītiestādes Kredītiestāžu likuma 1.</w:t>
            </w:r>
            <w:r w:rsidR="001947DB" w:rsidRPr="002C329B">
              <w:rPr>
                <w:rFonts w:ascii="Times New Roman" w:hAnsi="Times New Roman" w:cs="Times New Roman"/>
                <w:sz w:val="24"/>
                <w:szCs w:val="24"/>
              </w:rPr>
              <w:t> </w:t>
            </w:r>
            <w:r w:rsidR="00BF0E98" w:rsidRPr="002C329B">
              <w:rPr>
                <w:rFonts w:ascii="Times New Roman" w:hAnsi="Times New Roman" w:cs="Times New Roman"/>
                <w:sz w:val="24"/>
                <w:szCs w:val="24"/>
              </w:rPr>
              <w:t>panta pirmās daļas 67.</w:t>
            </w:r>
            <w:r w:rsidR="004A3786" w:rsidRPr="002C329B">
              <w:rPr>
                <w:rFonts w:ascii="Times New Roman" w:hAnsi="Times New Roman" w:cs="Times New Roman"/>
                <w:sz w:val="24"/>
                <w:szCs w:val="24"/>
              </w:rPr>
              <w:t> </w:t>
            </w:r>
            <w:r w:rsidR="00BF0E98" w:rsidRPr="002C329B">
              <w:rPr>
                <w:rFonts w:ascii="Times New Roman" w:hAnsi="Times New Roman" w:cs="Times New Roman"/>
                <w:sz w:val="24"/>
                <w:szCs w:val="24"/>
              </w:rPr>
              <w:t>punkta izpratnē</w:t>
            </w:r>
            <w:r w:rsidR="002C329B" w:rsidRPr="002C329B">
              <w:rPr>
                <w:rFonts w:ascii="Times New Roman" w:hAnsi="Times New Roman" w:cs="Times New Roman"/>
                <w:sz w:val="24"/>
                <w:szCs w:val="24"/>
              </w:rPr>
              <w:t>,</w:t>
            </w:r>
            <w:r w:rsidR="00F401C0" w:rsidRPr="002C329B">
              <w:rPr>
                <w:rFonts w:ascii="Times New Roman" w:hAnsi="Times New Roman" w:cs="Times New Roman"/>
                <w:sz w:val="24"/>
                <w:szCs w:val="24"/>
              </w:rPr>
              <w:t xml:space="preserve"> (turpmāk – kredītiestāde).</w:t>
            </w:r>
          </w:p>
          <w:p w14:paraId="350E67A9" w14:textId="77777777" w:rsidR="003848C0" w:rsidRDefault="003848C0" w:rsidP="003770FF">
            <w:pPr>
              <w:jc w:val="both"/>
              <w:rPr>
                <w:rFonts w:ascii="Times New Roman" w:hAnsi="Times New Roman" w:cs="Times New Roman"/>
                <w:sz w:val="24"/>
                <w:szCs w:val="24"/>
              </w:rPr>
            </w:pPr>
          </w:p>
          <w:p w14:paraId="5E35983B" w14:textId="2626AFE1" w:rsidR="003848C0" w:rsidRDefault="003848C0" w:rsidP="003770FF">
            <w:pPr>
              <w:jc w:val="both"/>
              <w:rPr>
                <w:rFonts w:ascii="Times New Roman" w:hAnsi="Times New Roman" w:cs="Times New Roman"/>
                <w:sz w:val="24"/>
                <w:szCs w:val="24"/>
              </w:rPr>
            </w:pPr>
            <w:r w:rsidRPr="003848C0">
              <w:rPr>
                <w:rFonts w:ascii="Times New Roman" w:hAnsi="Times New Roman" w:cs="Times New Roman"/>
                <w:sz w:val="24"/>
                <w:szCs w:val="24"/>
              </w:rPr>
              <w:t>Noteikumu projektā paredzētās prasības n</w:t>
            </w:r>
            <w:r w:rsidR="002B447E">
              <w:rPr>
                <w:rFonts w:ascii="Times New Roman" w:hAnsi="Times New Roman" w:cs="Times New Roman"/>
                <w:sz w:val="24"/>
                <w:szCs w:val="24"/>
              </w:rPr>
              <w:t>ebūs</w:t>
            </w:r>
            <w:r w:rsidRPr="003848C0">
              <w:rPr>
                <w:rFonts w:ascii="Times New Roman" w:hAnsi="Times New Roman" w:cs="Times New Roman"/>
                <w:sz w:val="24"/>
                <w:szCs w:val="24"/>
              </w:rPr>
              <w:t xml:space="preserve"> saistošas Latvijas Republikā reģistrētām kredītiestādēm, kas ir nozīmīgās uzraudzītās kredītiestādes Kredītiestāžu likuma 1.</w:t>
            </w:r>
            <w:r w:rsidR="001E409F">
              <w:rPr>
                <w:rFonts w:ascii="Times New Roman" w:hAnsi="Times New Roman" w:cs="Times New Roman"/>
                <w:sz w:val="24"/>
                <w:szCs w:val="24"/>
              </w:rPr>
              <w:t> </w:t>
            </w:r>
            <w:r w:rsidRPr="003848C0">
              <w:rPr>
                <w:rFonts w:ascii="Times New Roman" w:hAnsi="Times New Roman" w:cs="Times New Roman"/>
                <w:sz w:val="24"/>
                <w:szCs w:val="24"/>
              </w:rPr>
              <w:t>panta pirmās daļas 67.</w:t>
            </w:r>
            <w:r w:rsidR="001E409F">
              <w:rPr>
                <w:rFonts w:ascii="Times New Roman" w:hAnsi="Times New Roman" w:cs="Times New Roman"/>
                <w:sz w:val="24"/>
                <w:szCs w:val="24"/>
              </w:rPr>
              <w:t> </w:t>
            </w:r>
            <w:r w:rsidRPr="003848C0">
              <w:rPr>
                <w:rFonts w:ascii="Times New Roman" w:hAnsi="Times New Roman" w:cs="Times New Roman"/>
                <w:sz w:val="24"/>
                <w:szCs w:val="24"/>
              </w:rPr>
              <w:t>punkta izpratnē, jo minētajām kredītiestādēm ir saistošas Eiropas Centrālās bankas 2018.</w:t>
            </w:r>
            <w:r w:rsidR="001E409F">
              <w:rPr>
                <w:rFonts w:ascii="Times New Roman" w:hAnsi="Times New Roman" w:cs="Times New Roman"/>
                <w:sz w:val="24"/>
                <w:szCs w:val="24"/>
              </w:rPr>
              <w:t> </w:t>
            </w:r>
            <w:r w:rsidRPr="003848C0">
              <w:rPr>
                <w:rFonts w:ascii="Times New Roman" w:hAnsi="Times New Roman" w:cs="Times New Roman"/>
                <w:sz w:val="24"/>
                <w:szCs w:val="24"/>
              </w:rPr>
              <w:t>gada novembr</w:t>
            </w:r>
            <w:r w:rsidR="00BF3E01">
              <w:rPr>
                <w:rFonts w:ascii="Times New Roman" w:hAnsi="Times New Roman" w:cs="Times New Roman"/>
                <w:sz w:val="24"/>
                <w:szCs w:val="24"/>
              </w:rPr>
              <w:t>ī</w:t>
            </w:r>
            <w:r w:rsidRPr="003848C0">
              <w:rPr>
                <w:rFonts w:ascii="Times New Roman" w:hAnsi="Times New Roman" w:cs="Times New Roman"/>
                <w:sz w:val="24"/>
                <w:szCs w:val="24"/>
              </w:rPr>
              <w:t xml:space="preserve"> noteiktās prasības kapitāla un likviditātes pietiekamības novērtēšanas procesam (</w:t>
            </w:r>
            <w:hyperlink r:id="rId11" w:history="1">
              <w:r w:rsidR="007E5D11" w:rsidRPr="007E5D11">
                <w:rPr>
                  <w:rStyle w:val="Hyperlink"/>
                  <w:rFonts w:ascii="Times New Roman" w:hAnsi="Times New Roman" w:cs="Times New Roman"/>
                  <w:i/>
                  <w:iCs/>
                  <w:sz w:val="24"/>
                  <w:szCs w:val="24"/>
                </w:rPr>
                <w:t>ECB Guide to the internal capital adequacy assessment process (ICAAP)</w:t>
              </w:r>
            </w:hyperlink>
            <w:r w:rsidRPr="003848C0">
              <w:rPr>
                <w:rFonts w:ascii="Times New Roman" w:hAnsi="Times New Roman" w:cs="Times New Roman"/>
                <w:sz w:val="24"/>
                <w:szCs w:val="24"/>
              </w:rPr>
              <w:t xml:space="preserve"> un </w:t>
            </w:r>
            <w:hyperlink r:id="rId12" w:history="1">
              <w:r w:rsidR="007E5D11" w:rsidRPr="007E5D11">
                <w:rPr>
                  <w:rStyle w:val="Hyperlink"/>
                  <w:rFonts w:ascii="Times New Roman" w:hAnsi="Times New Roman" w:cs="Times New Roman"/>
                  <w:i/>
                  <w:iCs/>
                  <w:sz w:val="24"/>
                  <w:szCs w:val="24"/>
                </w:rPr>
                <w:t>ECB Guide to the internal liquidity adequacy assessment process (ILAAP)</w:t>
              </w:r>
            </w:hyperlink>
            <w:r w:rsidRPr="003848C0">
              <w:rPr>
                <w:rFonts w:ascii="Times New Roman" w:hAnsi="Times New Roman" w:cs="Times New Roman"/>
                <w:sz w:val="24"/>
                <w:szCs w:val="24"/>
              </w:rPr>
              <w:t>).</w:t>
            </w:r>
          </w:p>
          <w:p w14:paraId="285C9216" w14:textId="77777777" w:rsidR="007E5D11" w:rsidRDefault="007E5D11" w:rsidP="003770FF">
            <w:pPr>
              <w:jc w:val="both"/>
              <w:rPr>
                <w:rFonts w:ascii="Times New Roman" w:hAnsi="Times New Roman" w:cs="Times New Roman"/>
                <w:sz w:val="24"/>
                <w:szCs w:val="24"/>
              </w:rPr>
            </w:pPr>
          </w:p>
          <w:p w14:paraId="25D20B86" w14:textId="311AD9BB" w:rsidR="00CE2D53" w:rsidRDefault="00F401C0" w:rsidP="003770FF">
            <w:pPr>
              <w:jc w:val="both"/>
              <w:rPr>
                <w:rFonts w:ascii="Times New Roman" w:hAnsi="Times New Roman" w:cs="Times New Roman"/>
                <w:sz w:val="24"/>
                <w:szCs w:val="24"/>
              </w:rPr>
            </w:pPr>
            <w:r w:rsidRPr="003770C2">
              <w:rPr>
                <w:rFonts w:ascii="Times New Roman" w:hAnsi="Times New Roman" w:cs="Times New Roman"/>
                <w:sz w:val="24"/>
                <w:szCs w:val="24"/>
              </w:rPr>
              <w:t>Noteikumu projektā paredzētās prasības būs saistošas arī</w:t>
            </w:r>
            <w:r w:rsidRPr="003770C2">
              <w:t xml:space="preserve"> </w:t>
            </w:r>
            <w:r w:rsidRPr="003770C2">
              <w:rPr>
                <w:rFonts w:ascii="Times New Roman" w:hAnsi="Times New Roman" w:cs="Times New Roman"/>
                <w:sz w:val="24"/>
                <w:szCs w:val="24"/>
              </w:rPr>
              <w:t>Kredītiestāžu likuma 11.</w:t>
            </w:r>
            <w:r w:rsidRPr="003770C2">
              <w:rPr>
                <w:rFonts w:ascii="Times New Roman" w:hAnsi="Times New Roman" w:cs="Times New Roman"/>
                <w:sz w:val="24"/>
                <w:szCs w:val="24"/>
                <w:vertAlign w:val="superscript"/>
              </w:rPr>
              <w:t>2 </w:t>
            </w:r>
            <w:r w:rsidRPr="003770C2">
              <w:rPr>
                <w:rFonts w:ascii="Times New Roman" w:hAnsi="Times New Roman" w:cs="Times New Roman"/>
                <w:sz w:val="24"/>
                <w:szCs w:val="24"/>
              </w:rPr>
              <w:t>pantā</w:t>
            </w:r>
            <w:r w:rsidR="00CC52E3" w:rsidRPr="003770C2">
              <w:rPr>
                <w:rFonts w:ascii="Times New Roman" w:hAnsi="Times New Roman" w:cs="Times New Roman"/>
                <w:sz w:val="24"/>
                <w:szCs w:val="24"/>
              </w:rPr>
              <w:t xml:space="preserve"> </w:t>
            </w:r>
            <w:r w:rsidRPr="003770C2">
              <w:rPr>
                <w:rFonts w:ascii="Times New Roman" w:hAnsi="Times New Roman" w:cs="Times New Roman"/>
                <w:sz w:val="24"/>
                <w:szCs w:val="24"/>
              </w:rPr>
              <w:t xml:space="preserve">minētajām ieguldījumu brokeru sabiedrībām un </w:t>
            </w:r>
            <w:r w:rsidR="00CC52E3" w:rsidRPr="003770C2">
              <w:rPr>
                <w:rFonts w:ascii="Times New Roman" w:hAnsi="Times New Roman" w:cs="Times New Roman"/>
                <w:sz w:val="24"/>
                <w:szCs w:val="24"/>
              </w:rPr>
              <w:t xml:space="preserve">tām ieguldījumu brokeru sabiedrībām, kuras minētas </w:t>
            </w:r>
            <w:r w:rsidR="00D040FF" w:rsidRPr="003770C2">
              <w:rPr>
                <w:rFonts w:ascii="Times New Roman" w:hAnsi="Times New Roman" w:cs="Times New Roman"/>
                <w:sz w:val="24"/>
                <w:szCs w:val="24"/>
              </w:rPr>
              <w:t>Eiropas Parlamenta un Padomes 2019.</w:t>
            </w:r>
            <w:r w:rsidR="001947DB" w:rsidRPr="003770C2">
              <w:rPr>
                <w:rFonts w:ascii="Times New Roman" w:hAnsi="Times New Roman" w:cs="Times New Roman"/>
                <w:sz w:val="24"/>
                <w:szCs w:val="24"/>
              </w:rPr>
              <w:t> </w:t>
            </w:r>
            <w:r w:rsidR="00D040FF" w:rsidRPr="003770C2">
              <w:rPr>
                <w:rFonts w:ascii="Times New Roman" w:hAnsi="Times New Roman" w:cs="Times New Roman"/>
                <w:sz w:val="24"/>
                <w:szCs w:val="24"/>
              </w:rPr>
              <w:t>gada 27.</w:t>
            </w:r>
            <w:r w:rsidR="001947DB" w:rsidRPr="003770C2">
              <w:rPr>
                <w:rFonts w:ascii="Times New Roman" w:hAnsi="Times New Roman" w:cs="Times New Roman"/>
                <w:sz w:val="24"/>
                <w:szCs w:val="24"/>
              </w:rPr>
              <w:t> </w:t>
            </w:r>
            <w:r w:rsidR="00D040FF" w:rsidRPr="003770C2">
              <w:rPr>
                <w:rFonts w:ascii="Times New Roman" w:hAnsi="Times New Roman" w:cs="Times New Roman"/>
                <w:sz w:val="24"/>
                <w:szCs w:val="24"/>
              </w:rPr>
              <w:t xml:space="preserve">novembra </w:t>
            </w:r>
            <w:r w:rsidR="00AD679B" w:rsidRPr="00D40121">
              <w:rPr>
                <w:rFonts w:ascii="Times New Roman" w:hAnsi="Times New Roman" w:cs="Times New Roman"/>
                <w:sz w:val="24"/>
                <w:szCs w:val="24"/>
              </w:rPr>
              <w:t>r</w:t>
            </w:r>
            <w:r w:rsidR="00D040FF" w:rsidRPr="003770C2">
              <w:rPr>
                <w:rFonts w:ascii="Times New Roman" w:hAnsi="Times New Roman" w:cs="Times New Roman"/>
                <w:sz w:val="24"/>
                <w:szCs w:val="24"/>
              </w:rPr>
              <w:t>egulas (ES)</w:t>
            </w:r>
            <w:r w:rsidR="00601CE0" w:rsidRPr="003770C2">
              <w:rPr>
                <w:rFonts w:ascii="Times New Roman" w:hAnsi="Times New Roman" w:cs="Times New Roman"/>
                <w:sz w:val="24"/>
                <w:szCs w:val="24"/>
              </w:rPr>
              <w:t> </w:t>
            </w:r>
            <w:r w:rsidR="00D040FF" w:rsidRPr="003770C2">
              <w:rPr>
                <w:rFonts w:ascii="Times New Roman" w:hAnsi="Times New Roman" w:cs="Times New Roman"/>
                <w:sz w:val="24"/>
                <w:szCs w:val="24"/>
              </w:rPr>
              <w:t xml:space="preserve">2019/2033 par prudenciālajām prasībām ieguldījumu brokeru sabiedrībām un ar ko groza </w:t>
            </w:r>
            <w:r w:rsidR="008F3174" w:rsidRPr="00D40121">
              <w:rPr>
                <w:rFonts w:ascii="Times New Roman" w:hAnsi="Times New Roman" w:cs="Times New Roman"/>
                <w:sz w:val="24"/>
                <w:szCs w:val="24"/>
              </w:rPr>
              <w:t>r</w:t>
            </w:r>
            <w:r w:rsidR="00D040FF" w:rsidRPr="003770C2">
              <w:rPr>
                <w:rFonts w:ascii="Times New Roman" w:hAnsi="Times New Roman" w:cs="Times New Roman"/>
                <w:sz w:val="24"/>
                <w:szCs w:val="24"/>
              </w:rPr>
              <w:t>egulas (ES) Nr.</w:t>
            </w:r>
            <w:r w:rsidR="001947DB" w:rsidRPr="003770C2">
              <w:rPr>
                <w:rFonts w:ascii="Times New Roman" w:hAnsi="Times New Roman" w:cs="Times New Roman"/>
                <w:sz w:val="24"/>
                <w:szCs w:val="24"/>
              </w:rPr>
              <w:t> </w:t>
            </w:r>
            <w:r w:rsidR="00D040FF" w:rsidRPr="003770C2">
              <w:rPr>
                <w:rFonts w:ascii="Times New Roman" w:hAnsi="Times New Roman" w:cs="Times New Roman"/>
                <w:sz w:val="24"/>
                <w:szCs w:val="24"/>
              </w:rPr>
              <w:t>1093/2010, (ES) Nr.</w:t>
            </w:r>
            <w:r w:rsidR="001947DB" w:rsidRPr="003770C2">
              <w:rPr>
                <w:rFonts w:ascii="Times New Roman" w:hAnsi="Times New Roman" w:cs="Times New Roman"/>
                <w:sz w:val="24"/>
                <w:szCs w:val="24"/>
              </w:rPr>
              <w:t> </w:t>
            </w:r>
            <w:r w:rsidR="00D040FF" w:rsidRPr="003770C2">
              <w:rPr>
                <w:rFonts w:ascii="Times New Roman" w:hAnsi="Times New Roman" w:cs="Times New Roman"/>
                <w:sz w:val="24"/>
                <w:szCs w:val="24"/>
              </w:rPr>
              <w:t>575/2013, (ES) Nr.</w:t>
            </w:r>
            <w:r w:rsidR="001947DB" w:rsidRPr="003770C2">
              <w:rPr>
                <w:rFonts w:ascii="Times New Roman" w:hAnsi="Times New Roman" w:cs="Times New Roman"/>
                <w:sz w:val="24"/>
                <w:szCs w:val="24"/>
              </w:rPr>
              <w:t> </w:t>
            </w:r>
            <w:r w:rsidR="00D040FF" w:rsidRPr="003770C2">
              <w:rPr>
                <w:rFonts w:ascii="Times New Roman" w:hAnsi="Times New Roman" w:cs="Times New Roman"/>
                <w:sz w:val="24"/>
                <w:szCs w:val="24"/>
              </w:rPr>
              <w:t>600/2014 un (ES) Nr.</w:t>
            </w:r>
            <w:r w:rsidR="001947DB" w:rsidRPr="003770C2">
              <w:rPr>
                <w:rFonts w:ascii="Times New Roman" w:hAnsi="Times New Roman" w:cs="Times New Roman"/>
                <w:sz w:val="24"/>
                <w:szCs w:val="24"/>
              </w:rPr>
              <w:t> </w:t>
            </w:r>
            <w:r w:rsidR="00D040FF" w:rsidRPr="003770C2">
              <w:rPr>
                <w:rFonts w:ascii="Times New Roman" w:hAnsi="Times New Roman" w:cs="Times New Roman"/>
                <w:sz w:val="24"/>
                <w:szCs w:val="24"/>
              </w:rPr>
              <w:t>806/2014 (turpmāk</w:t>
            </w:r>
            <w:r w:rsidR="001947DB" w:rsidRPr="003770C2">
              <w:rPr>
                <w:rFonts w:ascii="Times New Roman" w:hAnsi="Times New Roman" w:cs="Times New Roman"/>
                <w:sz w:val="24"/>
                <w:szCs w:val="24"/>
              </w:rPr>
              <w:t> </w:t>
            </w:r>
            <w:r w:rsidR="00D040FF" w:rsidRPr="003770C2">
              <w:rPr>
                <w:rFonts w:ascii="Times New Roman" w:hAnsi="Times New Roman" w:cs="Times New Roman"/>
                <w:sz w:val="24"/>
                <w:szCs w:val="24"/>
              </w:rPr>
              <w:t xml:space="preserve">– </w:t>
            </w:r>
            <w:r w:rsidR="000C2186" w:rsidRPr="003770C2">
              <w:rPr>
                <w:rFonts w:ascii="Times New Roman" w:hAnsi="Times New Roman" w:cs="Times New Roman"/>
                <w:sz w:val="24"/>
                <w:szCs w:val="24"/>
              </w:rPr>
              <w:t>R</w:t>
            </w:r>
            <w:r w:rsidR="00D040FF" w:rsidRPr="003770C2">
              <w:rPr>
                <w:rFonts w:ascii="Times New Roman" w:hAnsi="Times New Roman" w:cs="Times New Roman"/>
                <w:sz w:val="24"/>
                <w:szCs w:val="24"/>
              </w:rPr>
              <w:t>egula</w:t>
            </w:r>
            <w:r w:rsidR="000C2186" w:rsidRPr="003770C2">
              <w:rPr>
                <w:rFonts w:ascii="Times New Roman" w:hAnsi="Times New Roman" w:cs="Times New Roman"/>
                <w:sz w:val="24"/>
                <w:szCs w:val="24"/>
              </w:rPr>
              <w:t xml:space="preserve"> Nr.</w:t>
            </w:r>
            <w:r w:rsidR="004A3786" w:rsidRPr="003770C2">
              <w:rPr>
                <w:rFonts w:ascii="Times New Roman" w:hAnsi="Times New Roman" w:cs="Times New Roman"/>
                <w:sz w:val="24"/>
                <w:szCs w:val="24"/>
              </w:rPr>
              <w:t> </w:t>
            </w:r>
            <w:r w:rsidR="00D040FF" w:rsidRPr="003770C2">
              <w:rPr>
                <w:rFonts w:ascii="Times New Roman" w:hAnsi="Times New Roman" w:cs="Times New Roman"/>
                <w:sz w:val="24"/>
                <w:szCs w:val="24"/>
              </w:rPr>
              <w:t>2019/2033)</w:t>
            </w:r>
            <w:r w:rsidR="00CC52E3" w:rsidRPr="003770C2">
              <w:rPr>
                <w:rFonts w:ascii="Times New Roman" w:hAnsi="Times New Roman" w:cs="Times New Roman"/>
                <w:sz w:val="24"/>
                <w:szCs w:val="24"/>
              </w:rPr>
              <w:t xml:space="preserve"> 1.</w:t>
            </w:r>
            <w:r w:rsidR="001947DB" w:rsidRPr="003770C2">
              <w:rPr>
                <w:rFonts w:ascii="Times New Roman" w:hAnsi="Times New Roman" w:cs="Times New Roman"/>
                <w:sz w:val="24"/>
                <w:szCs w:val="24"/>
              </w:rPr>
              <w:t> </w:t>
            </w:r>
            <w:r w:rsidR="00CC52E3" w:rsidRPr="003770C2">
              <w:rPr>
                <w:rFonts w:ascii="Times New Roman" w:hAnsi="Times New Roman" w:cs="Times New Roman"/>
                <w:sz w:val="24"/>
                <w:szCs w:val="24"/>
              </w:rPr>
              <w:t>panta 2.</w:t>
            </w:r>
            <w:r w:rsidR="001E409F">
              <w:rPr>
                <w:rFonts w:ascii="Times New Roman" w:hAnsi="Times New Roman" w:cs="Times New Roman"/>
                <w:sz w:val="24"/>
                <w:szCs w:val="24"/>
              </w:rPr>
              <w:t xml:space="preserve"> </w:t>
            </w:r>
            <w:r w:rsidR="00CC52E3" w:rsidRPr="003770C2">
              <w:rPr>
                <w:rFonts w:ascii="Times New Roman" w:hAnsi="Times New Roman" w:cs="Times New Roman"/>
                <w:sz w:val="24"/>
                <w:szCs w:val="24"/>
              </w:rPr>
              <w:t>un 5.</w:t>
            </w:r>
            <w:r w:rsidR="001947DB" w:rsidRPr="003770C2">
              <w:rPr>
                <w:rFonts w:ascii="Times New Roman" w:hAnsi="Times New Roman" w:cs="Times New Roman"/>
                <w:sz w:val="24"/>
                <w:szCs w:val="24"/>
              </w:rPr>
              <w:t> </w:t>
            </w:r>
            <w:r w:rsidR="00CC52E3" w:rsidRPr="003770C2">
              <w:rPr>
                <w:rFonts w:ascii="Times New Roman" w:hAnsi="Times New Roman" w:cs="Times New Roman"/>
                <w:sz w:val="24"/>
                <w:szCs w:val="24"/>
              </w:rPr>
              <w:t>punktā</w:t>
            </w:r>
            <w:r w:rsidR="00C30A6F" w:rsidRPr="003770C2">
              <w:rPr>
                <w:rFonts w:ascii="Times New Roman" w:hAnsi="Times New Roman" w:cs="Times New Roman"/>
                <w:sz w:val="24"/>
                <w:szCs w:val="24"/>
              </w:rPr>
              <w:t>. Noteikum</w:t>
            </w:r>
            <w:r w:rsidR="002B447E">
              <w:rPr>
                <w:rFonts w:ascii="Times New Roman" w:hAnsi="Times New Roman" w:cs="Times New Roman"/>
                <w:sz w:val="24"/>
                <w:szCs w:val="24"/>
              </w:rPr>
              <w:t>u projektā paredzētās prasības</w:t>
            </w:r>
            <w:r w:rsidR="00C30A6F" w:rsidRPr="003770C2">
              <w:rPr>
                <w:rFonts w:ascii="Times New Roman" w:hAnsi="Times New Roman" w:cs="Times New Roman"/>
                <w:sz w:val="24"/>
                <w:szCs w:val="24"/>
              </w:rPr>
              <w:t xml:space="preserve"> būs saistoš</w:t>
            </w:r>
            <w:r w:rsidR="002B447E">
              <w:rPr>
                <w:rFonts w:ascii="Times New Roman" w:hAnsi="Times New Roman" w:cs="Times New Roman"/>
                <w:sz w:val="24"/>
                <w:szCs w:val="24"/>
              </w:rPr>
              <w:t>as</w:t>
            </w:r>
            <w:r w:rsidR="00C30A6F" w:rsidRPr="003770C2">
              <w:rPr>
                <w:rFonts w:ascii="Times New Roman" w:hAnsi="Times New Roman" w:cs="Times New Roman"/>
                <w:sz w:val="24"/>
                <w:szCs w:val="24"/>
              </w:rPr>
              <w:t xml:space="preserve"> ieguldījumu brokeru sabiedrībām, kuras minētas Regulas Nr.</w:t>
            </w:r>
            <w:r w:rsidR="00D21C73" w:rsidRPr="003770C2">
              <w:rPr>
                <w:rFonts w:ascii="Times New Roman" w:hAnsi="Times New Roman" w:cs="Times New Roman"/>
                <w:sz w:val="24"/>
                <w:szCs w:val="24"/>
              </w:rPr>
              <w:t> </w:t>
            </w:r>
            <w:r w:rsidR="00C30A6F" w:rsidRPr="003770C2">
              <w:rPr>
                <w:rFonts w:ascii="Times New Roman" w:hAnsi="Times New Roman" w:cs="Times New Roman"/>
                <w:sz w:val="24"/>
                <w:szCs w:val="24"/>
              </w:rPr>
              <w:t>2019/2033 1.</w:t>
            </w:r>
            <w:r w:rsidR="00D21C73" w:rsidRPr="003770C2">
              <w:rPr>
                <w:rFonts w:ascii="Times New Roman" w:hAnsi="Times New Roman" w:cs="Times New Roman"/>
                <w:sz w:val="24"/>
                <w:szCs w:val="24"/>
              </w:rPr>
              <w:t> </w:t>
            </w:r>
            <w:r w:rsidR="00C30A6F" w:rsidRPr="003770C2">
              <w:rPr>
                <w:rFonts w:ascii="Times New Roman" w:hAnsi="Times New Roman" w:cs="Times New Roman"/>
                <w:sz w:val="24"/>
                <w:szCs w:val="24"/>
              </w:rPr>
              <w:t>panta 2. un 5.</w:t>
            </w:r>
            <w:r w:rsidR="00D21C73" w:rsidRPr="003770C2">
              <w:rPr>
                <w:rFonts w:ascii="Times New Roman" w:hAnsi="Times New Roman" w:cs="Times New Roman"/>
                <w:sz w:val="24"/>
                <w:szCs w:val="24"/>
              </w:rPr>
              <w:t> </w:t>
            </w:r>
            <w:r w:rsidR="00C30A6F" w:rsidRPr="003770C2">
              <w:rPr>
                <w:rFonts w:ascii="Times New Roman" w:hAnsi="Times New Roman" w:cs="Times New Roman"/>
                <w:sz w:val="24"/>
                <w:szCs w:val="24"/>
              </w:rPr>
              <w:t>punktā</w:t>
            </w:r>
            <w:r w:rsidR="00FA51E9" w:rsidRPr="003770C2">
              <w:rPr>
                <w:rFonts w:ascii="Times New Roman" w:hAnsi="Times New Roman" w:cs="Times New Roman"/>
                <w:sz w:val="24"/>
                <w:szCs w:val="24"/>
              </w:rPr>
              <w:t>, ņemot vērā Ieguldījumu brokeru sabiedrību likuma 3.</w:t>
            </w:r>
            <w:r w:rsidR="00CE2D53" w:rsidRPr="003770C2">
              <w:rPr>
                <w:rFonts w:ascii="Times New Roman" w:hAnsi="Times New Roman" w:cs="Times New Roman"/>
                <w:sz w:val="24"/>
                <w:szCs w:val="24"/>
              </w:rPr>
              <w:t> </w:t>
            </w:r>
            <w:r w:rsidR="00FA51E9" w:rsidRPr="003770C2">
              <w:rPr>
                <w:rFonts w:ascii="Times New Roman" w:hAnsi="Times New Roman" w:cs="Times New Roman"/>
                <w:sz w:val="24"/>
                <w:szCs w:val="24"/>
              </w:rPr>
              <w:t>panta trešo daļu, kas nosaka, ka tām piemēro Kredītiestāžu likumā un uz tā pamata Latvijas Bankas izdotajos noteikumos paredzētās prudenciālās prasības.</w:t>
            </w:r>
          </w:p>
          <w:p w14:paraId="2EB7E701" w14:textId="77777777" w:rsidR="00BF3E01" w:rsidRDefault="00BF3E01" w:rsidP="003770FF">
            <w:pPr>
              <w:jc w:val="both"/>
              <w:rPr>
                <w:rFonts w:ascii="Times New Roman" w:hAnsi="Times New Roman" w:cs="Times New Roman"/>
                <w:sz w:val="24"/>
                <w:szCs w:val="24"/>
              </w:rPr>
            </w:pPr>
          </w:p>
          <w:p w14:paraId="0DCC1BD2" w14:textId="416ACC79" w:rsidR="00FB5371" w:rsidRDefault="00B33DE6" w:rsidP="003770FF">
            <w:pPr>
              <w:jc w:val="both"/>
              <w:rPr>
                <w:rFonts w:ascii="Times New Roman" w:hAnsi="Times New Roman" w:cs="Times New Roman"/>
                <w:sz w:val="24"/>
                <w:szCs w:val="24"/>
              </w:rPr>
            </w:pPr>
            <w:r w:rsidRPr="00D6150A">
              <w:rPr>
                <w:rFonts w:ascii="Times New Roman" w:hAnsi="Times New Roman" w:cs="Times New Roman"/>
                <w:sz w:val="24"/>
                <w:szCs w:val="24"/>
              </w:rPr>
              <w:t>Šobrīd nav tādu Latvijas Republikā reģistrētu ieguldījumu brokeru sabiedrību, kuras minētas Kredītiestāžu likuma 11.</w:t>
            </w:r>
            <w:r w:rsidRPr="00D6150A">
              <w:rPr>
                <w:rFonts w:ascii="Times New Roman" w:hAnsi="Times New Roman" w:cs="Times New Roman"/>
                <w:sz w:val="24"/>
                <w:szCs w:val="24"/>
                <w:vertAlign w:val="superscript"/>
              </w:rPr>
              <w:t>2</w:t>
            </w:r>
            <w:r>
              <w:rPr>
                <w:rFonts w:ascii="Times New Roman" w:hAnsi="Times New Roman" w:cs="Times New Roman"/>
                <w:sz w:val="24"/>
                <w:szCs w:val="24"/>
                <w:vertAlign w:val="superscript"/>
              </w:rPr>
              <w:t> </w:t>
            </w:r>
            <w:r w:rsidRPr="00D6150A">
              <w:rPr>
                <w:rFonts w:ascii="Times New Roman" w:hAnsi="Times New Roman" w:cs="Times New Roman"/>
                <w:sz w:val="24"/>
                <w:szCs w:val="24"/>
              </w:rPr>
              <w:t>pantā un Regulas Nr.</w:t>
            </w:r>
            <w:r>
              <w:rPr>
                <w:rFonts w:ascii="Times New Roman" w:hAnsi="Times New Roman" w:cs="Times New Roman"/>
                <w:sz w:val="24"/>
                <w:szCs w:val="24"/>
              </w:rPr>
              <w:t> </w:t>
            </w:r>
            <w:r w:rsidRPr="00D6150A">
              <w:rPr>
                <w:rFonts w:ascii="Times New Roman" w:hAnsi="Times New Roman" w:cs="Times New Roman"/>
                <w:sz w:val="24"/>
                <w:szCs w:val="24"/>
              </w:rPr>
              <w:t>2019/2033 1.</w:t>
            </w:r>
            <w:r>
              <w:rPr>
                <w:rFonts w:ascii="Times New Roman" w:hAnsi="Times New Roman" w:cs="Times New Roman"/>
                <w:sz w:val="24"/>
                <w:szCs w:val="24"/>
              </w:rPr>
              <w:t> </w:t>
            </w:r>
            <w:r w:rsidRPr="00D6150A">
              <w:rPr>
                <w:rFonts w:ascii="Times New Roman" w:hAnsi="Times New Roman" w:cs="Times New Roman"/>
                <w:sz w:val="24"/>
                <w:szCs w:val="24"/>
              </w:rPr>
              <w:t>panta 2.</w:t>
            </w:r>
            <w:r w:rsidR="001E409F">
              <w:rPr>
                <w:rFonts w:ascii="Times New Roman" w:hAnsi="Times New Roman" w:cs="Times New Roman"/>
                <w:sz w:val="24"/>
                <w:szCs w:val="24"/>
              </w:rPr>
              <w:t xml:space="preserve"> </w:t>
            </w:r>
            <w:r w:rsidRPr="00D6150A">
              <w:rPr>
                <w:rFonts w:ascii="Times New Roman" w:hAnsi="Times New Roman" w:cs="Times New Roman"/>
                <w:sz w:val="24"/>
                <w:szCs w:val="24"/>
              </w:rPr>
              <w:t>un 5.</w:t>
            </w:r>
            <w:r>
              <w:rPr>
                <w:rFonts w:ascii="Times New Roman" w:hAnsi="Times New Roman" w:cs="Times New Roman"/>
                <w:sz w:val="24"/>
                <w:szCs w:val="24"/>
              </w:rPr>
              <w:t> </w:t>
            </w:r>
            <w:r w:rsidRPr="00D6150A">
              <w:rPr>
                <w:rFonts w:ascii="Times New Roman" w:hAnsi="Times New Roman" w:cs="Times New Roman"/>
                <w:sz w:val="24"/>
                <w:szCs w:val="24"/>
              </w:rPr>
              <w:t>punktā.</w:t>
            </w:r>
          </w:p>
          <w:p w14:paraId="76F12C9E" w14:textId="77777777" w:rsidR="00516DA7" w:rsidRPr="00D6150A" w:rsidRDefault="00516DA7" w:rsidP="003770FF">
            <w:pPr>
              <w:jc w:val="both"/>
              <w:rPr>
                <w:rFonts w:ascii="Times New Roman" w:hAnsi="Times New Roman" w:cs="Times New Roman"/>
                <w:sz w:val="24"/>
                <w:szCs w:val="24"/>
              </w:rPr>
            </w:pPr>
          </w:p>
          <w:p w14:paraId="0ABBFD64" w14:textId="65CA0425" w:rsidR="00084E26" w:rsidRPr="00D6150A" w:rsidRDefault="00084E26" w:rsidP="00084E26">
            <w:pPr>
              <w:jc w:val="both"/>
              <w:rPr>
                <w:rFonts w:ascii="Times New Roman" w:hAnsi="Times New Roman" w:cs="Times New Roman"/>
                <w:sz w:val="24"/>
                <w:szCs w:val="24"/>
                <w:shd w:val="clear" w:color="auto" w:fill="FFFFFF"/>
              </w:rPr>
            </w:pPr>
            <w:bookmarkStart w:id="2" w:name="_Hlk133340156"/>
            <w:r w:rsidRPr="00B06BB1">
              <w:rPr>
                <w:rFonts w:ascii="Times New Roman" w:hAnsi="Times New Roman" w:cs="Times New Roman"/>
                <w:sz w:val="24"/>
                <w:szCs w:val="24"/>
                <w:shd w:val="clear" w:color="auto" w:fill="FFFFFF"/>
              </w:rPr>
              <w:lastRenderedPageBreak/>
              <w:t>Noteikumu projekts,</w:t>
            </w:r>
            <w:r w:rsidRPr="00B06BB1">
              <w:t xml:space="preserve"> </w:t>
            </w:r>
            <w:r w:rsidRPr="00CC399F">
              <w:rPr>
                <w:rFonts w:ascii="Times New Roman" w:hAnsi="Times New Roman" w:cs="Times New Roman"/>
                <w:sz w:val="24"/>
                <w:szCs w:val="24"/>
                <w:shd w:val="clear" w:color="auto" w:fill="FFFFFF"/>
              </w:rPr>
              <w:t xml:space="preserve">ievērojot </w:t>
            </w:r>
            <w:r w:rsidR="00BF3E01">
              <w:rPr>
                <w:rFonts w:ascii="Times New Roman" w:hAnsi="Times New Roman" w:cs="Times New Roman"/>
                <w:sz w:val="24"/>
                <w:szCs w:val="24"/>
                <w:shd w:val="clear" w:color="auto" w:fill="FFFFFF"/>
              </w:rPr>
              <w:t xml:space="preserve">arī </w:t>
            </w:r>
            <w:r w:rsidR="00CC399F" w:rsidRPr="00CC399F">
              <w:rPr>
                <w:rFonts w:ascii="Times New Roman" w:hAnsi="Times New Roman" w:cs="Times New Roman"/>
                <w:sz w:val="24"/>
                <w:szCs w:val="24"/>
                <w:shd w:val="clear" w:color="auto" w:fill="FFFFFF"/>
              </w:rPr>
              <w:t>Pamatnostādnes (2022) par SREP un Pamatnostādnes par informāciju</w:t>
            </w:r>
            <w:r w:rsidRPr="00CC399F">
              <w:rPr>
                <w:rFonts w:ascii="Times New Roman" w:hAnsi="Times New Roman" w:cs="Times New Roman"/>
                <w:sz w:val="24"/>
                <w:szCs w:val="24"/>
                <w:shd w:val="clear" w:color="auto" w:fill="FFFFFF"/>
              </w:rPr>
              <w:t>,</w:t>
            </w:r>
            <w:r w:rsidRPr="00D6150A">
              <w:rPr>
                <w:rFonts w:ascii="Times New Roman" w:hAnsi="Times New Roman" w:cs="Times New Roman"/>
                <w:sz w:val="24"/>
                <w:szCs w:val="24"/>
                <w:shd w:val="clear" w:color="auto" w:fill="FFFFFF"/>
              </w:rPr>
              <w:t xml:space="preserve"> paredz šādus </w:t>
            </w:r>
            <w:r w:rsidR="00B33016" w:rsidRPr="00D6150A">
              <w:rPr>
                <w:rFonts w:ascii="Times New Roman" w:hAnsi="Times New Roman" w:cs="Times New Roman"/>
                <w:sz w:val="24"/>
                <w:szCs w:val="24"/>
                <w:shd w:val="clear" w:color="auto" w:fill="FFFFFF"/>
              </w:rPr>
              <w:t xml:space="preserve">būtiskākos </w:t>
            </w:r>
            <w:r w:rsidRPr="00D6150A">
              <w:rPr>
                <w:rFonts w:ascii="Times New Roman" w:hAnsi="Times New Roman" w:cs="Times New Roman"/>
                <w:sz w:val="24"/>
                <w:szCs w:val="24"/>
                <w:shd w:val="clear" w:color="auto" w:fill="FFFFFF"/>
              </w:rPr>
              <w:t xml:space="preserve">grozījumus attiecībā pret </w:t>
            </w:r>
            <w:r w:rsidR="00E3411C">
              <w:rPr>
                <w:rFonts w:ascii="Times New Roman" w:hAnsi="Times New Roman" w:cs="Times New Roman"/>
                <w:sz w:val="24"/>
                <w:szCs w:val="24"/>
                <w:shd w:val="clear" w:color="auto" w:fill="FFFFFF"/>
              </w:rPr>
              <w:t>N</w:t>
            </w:r>
            <w:r w:rsidRPr="00D6150A">
              <w:rPr>
                <w:rFonts w:ascii="Times New Roman" w:hAnsi="Times New Roman" w:cs="Times New Roman"/>
                <w:sz w:val="24"/>
                <w:szCs w:val="24"/>
                <w:shd w:val="clear" w:color="auto" w:fill="FFFFFF"/>
              </w:rPr>
              <w:t>oteikumiem Nr.</w:t>
            </w:r>
            <w:r w:rsidR="004A3786">
              <w:rPr>
                <w:rFonts w:ascii="Times New Roman" w:hAnsi="Times New Roman" w:cs="Times New Roman"/>
                <w:sz w:val="24"/>
                <w:szCs w:val="24"/>
                <w:shd w:val="clear" w:color="auto" w:fill="FFFFFF"/>
              </w:rPr>
              <w:t> </w:t>
            </w:r>
            <w:r w:rsidRPr="00D6150A">
              <w:rPr>
                <w:rFonts w:ascii="Times New Roman" w:hAnsi="Times New Roman" w:cs="Times New Roman"/>
                <w:sz w:val="24"/>
                <w:szCs w:val="24"/>
                <w:shd w:val="clear" w:color="auto" w:fill="FFFFFF"/>
              </w:rPr>
              <w:t>209:</w:t>
            </w:r>
          </w:p>
          <w:p w14:paraId="6180F64B" w14:textId="26393D33" w:rsidR="00EC7BB0" w:rsidRPr="000C7AB3" w:rsidRDefault="00084E26" w:rsidP="00D935EB">
            <w:pPr>
              <w:jc w:val="both"/>
              <w:rPr>
                <w:rFonts w:ascii="Times New Roman" w:hAnsi="Times New Roman" w:cs="Times New Roman"/>
                <w:sz w:val="24"/>
                <w:szCs w:val="24"/>
                <w:shd w:val="clear" w:color="auto" w:fill="FFFFFF"/>
              </w:rPr>
            </w:pPr>
            <w:r w:rsidRPr="00D6150A">
              <w:rPr>
                <w:rFonts w:ascii="Times New Roman" w:hAnsi="Times New Roman" w:cs="Times New Roman"/>
                <w:sz w:val="24"/>
                <w:szCs w:val="24"/>
                <w:shd w:val="clear" w:color="auto" w:fill="FFFFFF"/>
              </w:rPr>
              <w:t xml:space="preserve">1) </w:t>
            </w:r>
            <w:bookmarkEnd w:id="2"/>
            <w:r w:rsidR="001E740F" w:rsidRPr="000C7AB3">
              <w:rPr>
                <w:rFonts w:ascii="Times New Roman" w:hAnsi="Times New Roman" w:cs="Times New Roman"/>
                <w:sz w:val="24"/>
                <w:szCs w:val="24"/>
                <w:shd w:val="clear" w:color="auto" w:fill="FFFFFF"/>
              </w:rPr>
              <w:t>precizē</w:t>
            </w:r>
            <w:r w:rsidR="005B4D11">
              <w:rPr>
                <w:rFonts w:ascii="Times New Roman" w:hAnsi="Times New Roman" w:cs="Times New Roman"/>
                <w:sz w:val="24"/>
                <w:szCs w:val="24"/>
                <w:shd w:val="clear" w:color="auto" w:fill="FFFFFF"/>
              </w:rPr>
              <w:t xml:space="preserve"> </w:t>
            </w:r>
            <w:r w:rsidR="00C966CA">
              <w:rPr>
                <w:rFonts w:ascii="Times New Roman" w:hAnsi="Times New Roman" w:cs="Times New Roman"/>
                <w:sz w:val="24"/>
                <w:szCs w:val="24"/>
                <w:shd w:val="clear" w:color="auto" w:fill="FFFFFF"/>
              </w:rPr>
              <w:t xml:space="preserve">izmantotos </w:t>
            </w:r>
            <w:r w:rsidR="005B4D11">
              <w:rPr>
                <w:rFonts w:ascii="Times New Roman" w:hAnsi="Times New Roman" w:cs="Times New Roman"/>
                <w:sz w:val="24"/>
                <w:szCs w:val="24"/>
                <w:shd w:val="clear" w:color="auto" w:fill="FFFFFF"/>
              </w:rPr>
              <w:t xml:space="preserve">un </w:t>
            </w:r>
            <w:r w:rsidR="0051769C">
              <w:rPr>
                <w:rFonts w:ascii="Times New Roman" w:hAnsi="Times New Roman" w:cs="Times New Roman"/>
                <w:sz w:val="24"/>
                <w:szCs w:val="24"/>
                <w:shd w:val="clear" w:color="auto" w:fill="FFFFFF"/>
              </w:rPr>
              <w:t>ievieš jaunus</w:t>
            </w:r>
            <w:r w:rsidR="004A44F2">
              <w:rPr>
                <w:rFonts w:ascii="Times New Roman" w:hAnsi="Times New Roman" w:cs="Times New Roman"/>
                <w:sz w:val="24"/>
                <w:szCs w:val="24"/>
                <w:shd w:val="clear" w:color="auto" w:fill="FFFFFF"/>
              </w:rPr>
              <w:t xml:space="preserve"> terminus</w:t>
            </w:r>
            <w:r w:rsidR="00F8076A" w:rsidRPr="000C7AB3">
              <w:rPr>
                <w:rFonts w:ascii="Times New Roman" w:hAnsi="Times New Roman" w:cs="Times New Roman"/>
                <w:sz w:val="24"/>
                <w:szCs w:val="24"/>
                <w:shd w:val="clear" w:color="auto" w:fill="FFFFFF"/>
              </w:rPr>
              <w:t xml:space="preserve">: </w:t>
            </w:r>
            <w:r w:rsidR="009F1C7B" w:rsidRPr="000C7AB3">
              <w:rPr>
                <w:rFonts w:ascii="Times New Roman" w:hAnsi="Times New Roman" w:cs="Times New Roman"/>
                <w:sz w:val="24"/>
                <w:szCs w:val="24"/>
                <w:shd w:val="clear" w:color="auto" w:fill="FFFFFF"/>
              </w:rPr>
              <w:t xml:space="preserve">pārmērīgas sviras riska segšanai nepieciešamā kapitāla apmērs, </w:t>
            </w:r>
            <w:r w:rsidR="00B5433D" w:rsidRPr="000C7AB3">
              <w:rPr>
                <w:rFonts w:ascii="Times New Roman" w:hAnsi="Times New Roman" w:cs="Times New Roman"/>
                <w:sz w:val="24"/>
                <w:szCs w:val="24"/>
                <w:shd w:val="clear" w:color="auto" w:fill="FFFFFF"/>
              </w:rPr>
              <w:t>pārmērīgas sviras riska</w:t>
            </w:r>
            <w:r w:rsidR="00522E82" w:rsidRPr="000C7AB3">
              <w:rPr>
                <w:rFonts w:ascii="Times New Roman" w:hAnsi="Times New Roman" w:cs="Times New Roman"/>
                <w:sz w:val="24"/>
                <w:szCs w:val="24"/>
                <w:shd w:val="clear" w:color="auto" w:fill="FFFFFF"/>
              </w:rPr>
              <w:t xml:space="preserve"> kapitāla rezerve</w:t>
            </w:r>
            <w:r w:rsidR="001E740F" w:rsidRPr="000C7AB3">
              <w:rPr>
                <w:rFonts w:ascii="Times New Roman" w:hAnsi="Times New Roman" w:cs="Times New Roman"/>
                <w:sz w:val="24"/>
                <w:szCs w:val="24"/>
                <w:shd w:val="clear" w:color="auto" w:fill="FFFFFF"/>
              </w:rPr>
              <w:t>;</w:t>
            </w:r>
          </w:p>
          <w:p w14:paraId="4F0FE879" w14:textId="464B46E7" w:rsidR="00CE1BCD" w:rsidRPr="00D6150A" w:rsidRDefault="00B33DE6" w:rsidP="00D935EB">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w:t>
            </w:r>
            <w:r w:rsidR="00CE1BCD" w:rsidRPr="006874B0">
              <w:rPr>
                <w:rFonts w:ascii="Times New Roman" w:hAnsi="Times New Roman" w:cs="Times New Roman"/>
                <w:sz w:val="24"/>
                <w:szCs w:val="24"/>
                <w:shd w:val="clear" w:color="auto" w:fill="FFFFFF"/>
              </w:rPr>
              <w:t xml:space="preserve">) </w:t>
            </w:r>
            <w:r w:rsidR="00BF3E01">
              <w:rPr>
                <w:rFonts w:ascii="Times New Roman" w:hAnsi="Times New Roman" w:cs="Times New Roman"/>
                <w:sz w:val="24"/>
                <w:szCs w:val="24"/>
                <w:shd w:val="clear" w:color="auto" w:fill="FFFFFF"/>
              </w:rPr>
              <w:t>paredz</w:t>
            </w:r>
            <w:r w:rsidR="00BF3E01" w:rsidRPr="006874B0">
              <w:rPr>
                <w:rFonts w:ascii="Times New Roman" w:hAnsi="Times New Roman" w:cs="Times New Roman"/>
                <w:sz w:val="24"/>
                <w:szCs w:val="24"/>
                <w:shd w:val="clear" w:color="auto" w:fill="FFFFFF"/>
              </w:rPr>
              <w:t xml:space="preserve"> </w:t>
            </w:r>
            <w:r w:rsidR="00CE1BCD" w:rsidRPr="006874B0">
              <w:rPr>
                <w:rFonts w:ascii="Times New Roman" w:hAnsi="Times New Roman" w:cs="Times New Roman"/>
                <w:sz w:val="24"/>
                <w:szCs w:val="24"/>
                <w:shd w:val="clear" w:color="auto" w:fill="FFFFFF"/>
              </w:rPr>
              <w:t xml:space="preserve">prasību </w:t>
            </w:r>
            <w:r w:rsidR="00D8121E" w:rsidRPr="006874B0">
              <w:rPr>
                <w:rFonts w:ascii="Times New Roman" w:hAnsi="Times New Roman" w:cs="Times New Roman"/>
                <w:sz w:val="24"/>
                <w:szCs w:val="24"/>
                <w:shd w:val="clear" w:color="auto" w:fill="FFFFFF"/>
              </w:rPr>
              <w:t xml:space="preserve">noteikt </w:t>
            </w:r>
            <w:r w:rsidR="00D8121E" w:rsidRPr="00B44D55">
              <w:rPr>
                <w:rFonts w:ascii="Times New Roman" w:hAnsi="Times New Roman" w:cs="Times New Roman"/>
                <w:sz w:val="24"/>
                <w:szCs w:val="24"/>
                <w:shd w:val="clear" w:color="auto" w:fill="FFFFFF"/>
              </w:rPr>
              <w:t>kritērijus</w:t>
            </w:r>
            <w:r w:rsidR="00C966CA" w:rsidRPr="00B44D55">
              <w:rPr>
                <w:rFonts w:ascii="Times New Roman" w:hAnsi="Times New Roman" w:cs="Times New Roman"/>
                <w:sz w:val="24"/>
                <w:szCs w:val="24"/>
                <w:shd w:val="clear" w:color="auto" w:fill="FFFFFF"/>
              </w:rPr>
              <w:t>, ko kredītiestāde izmanto, lai identificētu</w:t>
            </w:r>
            <w:r w:rsidR="00D8121E" w:rsidRPr="00B44D55">
              <w:rPr>
                <w:rFonts w:ascii="Times New Roman" w:hAnsi="Times New Roman" w:cs="Times New Roman"/>
                <w:sz w:val="24"/>
                <w:szCs w:val="24"/>
                <w:shd w:val="clear" w:color="auto" w:fill="FFFFFF"/>
              </w:rPr>
              <w:t xml:space="preserve"> </w:t>
            </w:r>
            <w:r w:rsidR="00C966CA" w:rsidRPr="00B44D55">
              <w:rPr>
                <w:rFonts w:ascii="Times New Roman" w:hAnsi="Times New Roman" w:cs="Times New Roman"/>
                <w:sz w:val="24"/>
                <w:szCs w:val="24"/>
                <w:shd w:val="clear" w:color="auto" w:fill="FFFFFF"/>
              </w:rPr>
              <w:t xml:space="preserve">būtiskas izmaiņas tās </w:t>
            </w:r>
            <w:r w:rsidR="00D8121E" w:rsidRPr="00B44D55">
              <w:rPr>
                <w:rFonts w:ascii="Times New Roman" w:hAnsi="Times New Roman" w:cs="Times New Roman"/>
                <w:sz w:val="24"/>
                <w:szCs w:val="24"/>
                <w:shd w:val="clear" w:color="auto" w:fill="FFFFFF"/>
              </w:rPr>
              <w:t xml:space="preserve">darbībā vai darbību ietekmējošajos apstākļos un </w:t>
            </w:r>
            <w:r w:rsidR="00C966CA" w:rsidRPr="00B44D55">
              <w:rPr>
                <w:rFonts w:ascii="Times New Roman" w:hAnsi="Times New Roman" w:cs="Times New Roman"/>
                <w:sz w:val="24"/>
                <w:szCs w:val="24"/>
                <w:shd w:val="clear" w:color="auto" w:fill="FFFFFF"/>
              </w:rPr>
              <w:t xml:space="preserve">būtiskas izmaiņas </w:t>
            </w:r>
            <w:r w:rsidR="00D8121E" w:rsidRPr="00B44D55">
              <w:rPr>
                <w:rFonts w:ascii="Times New Roman" w:hAnsi="Times New Roman" w:cs="Times New Roman"/>
                <w:sz w:val="24"/>
                <w:szCs w:val="24"/>
                <w:shd w:val="clear" w:color="auto" w:fill="FFFFFF"/>
              </w:rPr>
              <w:t>kapitāla pietiekamības novērtēšanas procesa rezultātos</w:t>
            </w:r>
            <w:r w:rsidR="00C966CA">
              <w:rPr>
                <w:rFonts w:ascii="Times New Roman" w:hAnsi="Times New Roman" w:cs="Times New Roman"/>
                <w:sz w:val="24"/>
                <w:szCs w:val="24"/>
                <w:shd w:val="clear" w:color="auto" w:fill="FFFFFF"/>
              </w:rPr>
              <w:t xml:space="preserve">. </w:t>
            </w:r>
            <w:r w:rsidR="00B768EB">
              <w:rPr>
                <w:rFonts w:ascii="Times New Roman" w:hAnsi="Times New Roman" w:cs="Times New Roman"/>
                <w:sz w:val="24"/>
                <w:szCs w:val="24"/>
                <w:shd w:val="clear" w:color="auto" w:fill="FFFFFF"/>
              </w:rPr>
              <w:t>Minēto kritēriju iestāšanās gadījumā kredītiestādei nepieciešams</w:t>
            </w:r>
            <w:r w:rsidR="003E5C21" w:rsidRPr="00476DA7">
              <w:rPr>
                <w:rFonts w:ascii="Times New Roman" w:hAnsi="Times New Roman" w:cs="Times New Roman"/>
                <w:sz w:val="24"/>
                <w:szCs w:val="24"/>
                <w:shd w:val="clear" w:color="auto" w:fill="FFFFFF"/>
              </w:rPr>
              <w:t xml:space="preserve"> </w:t>
            </w:r>
            <w:r w:rsidR="00B768EB" w:rsidRPr="00476DA7">
              <w:rPr>
                <w:rFonts w:ascii="Times New Roman" w:hAnsi="Times New Roman" w:cs="Times New Roman"/>
                <w:sz w:val="24"/>
                <w:szCs w:val="24"/>
                <w:shd w:val="clear" w:color="auto" w:fill="FFFFFF"/>
              </w:rPr>
              <w:t>pārskat</w:t>
            </w:r>
            <w:r w:rsidR="00B768EB">
              <w:rPr>
                <w:rFonts w:ascii="Times New Roman" w:hAnsi="Times New Roman" w:cs="Times New Roman"/>
                <w:sz w:val="24"/>
                <w:szCs w:val="24"/>
                <w:shd w:val="clear" w:color="auto" w:fill="FFFFFF"/>
              </w:rPr>
              <w:t>īt</w:t>
            </w:r>
            <w:r w:rsidR="00B768EB" w:rsidRPr="00476DA7">
              <w:rPr>
                <w:rFonts w:ascii="Times New Roman" w:hAnsi="Times New Roman" w:cs="Times New Roman"/>
                <w:sz w:val="24"/>
                <w:szCs w:val="24"/>
                <w:shd w:val="clear" w:color="auto" w:fill="FFFFFF"/>
              </w:rPr>
              <w:t xml:space="preserve"> </w:t>
            </w:r>
            <w:r w:rsidR="003E5C21" w:rsidRPr="00476DA7">
              <w:rPr>
                <w:rFonts w:ascii="Times New Roman" w:hAnsi="Times New Roman" w:cs="Times New Roman"/>
                <w:sz w:val="24"/>
                <w:szCs w:val="24"/>
                <w:shd w:val="clear" w:color="auto" w:fill="FFFFFF"/>
              </w:rPr>
              <w:t xml:space="preserve">tās </w:t>
            </w:r>
            <w:r w:rsidR="00CE1BCD" w:rsidRPr="00476DA7">
              <w:rPr>
                <w:rFonts w:ascii="Times New Roman" w:hAnsi="Times New Roman" w:cs="Times New Roman"/>
                <w:sz w:val="24"/>
                <w:szCs w:val="24"/>
                <w:shd w:val="clear" w:color="auto" w:fill="FFFFFF"/>
              </w:rPr>
              <w:t xml:space="preserve">kapitāla pietiekamības novērtēšanas procesa </w:t>
            </w:r>
            <w:r w:rsidR="0040268C" w:rsidRPr="00476DA7">
              <w:rPr>
                <w:rFonts w:ascii="Times New Roman" w:hAnsi="Times New Roman" w:cs="Times New Roman"/>
                <w:sz w:val="24"/>
                <w:szCs w:val="24"/>
                <w:shd w:val="clear" w:color="auto" w:fill="FFFFFF"/>
              </w:rPr>
              <w:t xml:space="preserve">skaitliskos </w:t>
            </w:r>
            <w:r w:rsidR="00CE1BCD" w:rsidRPr="00476DA7">
              <w:rPr>
                <w:rFonts w:ascii="Times New Roman" w:hAnsi="Times New Roman" w:cs="Times New Roman"/>
                <w:sz w:val="24"/>
                <w:szCs w:val="24"/>
                <w:shd w:val="clear" w:color="auto" w:fill="FFFFFF"/>
              </w:rPr>
              <w:t>rezultātus</w:t>
            </w:r>
            <w:r w:rsidR="00856A5D" w:rsidRPr="00476DA7">
              <w:rPr>
                <w:rFonts w:ascii="Times New Roman" w:hAnsi="Times New Roman" w:cs="Times New Roman"/>
                <w:sz w:val="24"/>
                <w:szCs w:val="24"/>
                <w:shd w:val="clear" w:color="auto" w:fill="FFFFFF"/>
              </w:rPr>
              <w:t>;</w:t>
            </w:r>
          </w:p>
          <w:p w14:paraId="1448B022" w14:textId="2B4DD262" w:rsidR="0050509B" w:rsidRPr="00D6150A" w:rsidRDefault="009216DB" w:rsidP="00D935EB">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w:t>
            </w:r>
            <w:r w:rsidR="00BB2393" w:rsidRPr="009050E5">
              <w:rPr>
                <w:rFonts w:ascii="Times New Roman" w:hAnsi="Times New Roman" w:cs="Times New Roman"/>
                <w:sz w:val="24"/>
                <w:szCs w:val="24"/>
                <w:shd w:val="clear" w:color="auto" w:fill="FFFFFF"/>
              </w:rPr>
              <w:t xml:space="preserve">) </w:t>
            </w:r>
            <w:r w:rsidR="003E4459" w:rsidRPr="003B1811">
              <w:rPr>
                <w:rFonts w:ascii="Times New Roman" w:hAnsi="Times New Roman" w:cs="Times New Roman"/>
                <w:sz w:val="24"/>
                <w:szCs w:val="24"/>
                <w:shd w:val="clear" w:color="auto" w:fill="FFFFFF"/>
              </w:rPr>
              <w:t>n</w:t>
            </w:r>
            <w:r w:rsidR="0050509B" w:rsidRPr="003B1811">
              <w:rPr>
                <w:rFonts w:ascii="Times New Roman" w:hAnsi="Times New Roman" w:cs="Times New Roman"/>
                <w:sz w:val="24"/>
                <w:szCs w:val="24"/>
                <w:shd w:val="clear" w:color="auto" w:fill="FFFFFF"/>
              </w:rPr>
              <w:t>osaka</w:t>
            </w:r>
            <w:r w:rsidR="00CE728D" w:rsidRPr="003B1811">
              <w:rPr>
                <w:rFonts w:ascii="Times New Roman" w:hAnsi="Times New Roman" w:cs="Times New Roman"/>
                <w:sz w:val="24"/>
                <w:szCs w:val="24"/>
                <w:shd w:val="clear" w:color="auto" w:fill="FFFFFF"/>
              </w:rPr>
              <w:t xml:space="preserve"> prasību kvantitatīv</w:t>
            </w:r>
            <w:r w:rsidR="009D6F6E" w:rsidRPr="003B1811">
              <w:rPr>
                <w:rFonts w:ascii="Times New Roman" w:hAnsi="Times New Roman" w:cs="Times New Roman"/>
                <w:sz w:val="24"/>
                <w:szCs w:val="24"/>
                <w:shd w:val="clear" w:color="auto" w:fill="FFFFFF"/>
              </w:rPr>
              <w:t>i</w:t>
            </w:r>
            <w:r w:rsidR="00EB2079" w:rsidRPr="003B1811">
              <w:rPr>
                <w:rFonts w:ascii="Times New Roman" w:hAnsi="Times New Roman" w:cs="Times New Roman"/>
                <w:sz w:val="24"/>
                <w:szCs w:val="24"/>
                <w:shd w:val="clear" w:color="auto" w:fill="FFFFFF"/>
              </w:rPr>
              <w:t xml:space="preserve"> (t.</w:t>
            </w:r>
            <w:r w:rsidR="001E409F">
              <w:rPr>
                <w:rFonts w:ascii="Times New Roman" w:hAnsi="Times New Roman" w:cs="Times New Roman"/>
                <w:sz w:val="24"/>
                <w:szCs w:val="24"/>
                <w:shd w:val="clear" w:color="auto" w:fill="FFFFFF"/>
              </w:rPr>
              <w:t> </w:t>
            </w:r>
            <w:r w:rsidR="00EB2079" w:rsidRPr="003B1811">
              <w:rPr>
                <w:rFonts w:ascii="Times New Roman" w:hAnsi="Times New Roman" w:cs="Times New Roman"/>
                <w:sz w:val="24"/>
                <w:szCs w:val="24"/>
                <w:shd w:val="clear" w:color="auto" w:fill="FFFFFF"/>
              </w:rPr>
              <w:t xml:space="preserve">i., </w:t>
            </w:r>
            <w:r w:rsidR="00F531FE" w:rsidRPr="003B1811">
              <w:rPr>
                <w:rFonts w:ascii="Times New Roman" w:hAnsi="Times New Roman" w:cs="Times New Roman"/>
                <w:sz w:val="24"/>
                <w:szCs w:val="24"/>
                <w:shd w:val="clear" w:color="auto" w:fill="FFFFFF"/>
              </w:rPr>
              <w:t>n</w:t>
            </w:r>
            <w:r w:rsidR="009B52B2" w:rsidRPr="003B1811">
              <w:rPr>
                <w:rFonts w:ascii="Times New Roman" w:hAnsi="Times New Roman" w:cs="Times New Roman"/>
                <w:sz w:val="24"/>
                <w:szCs w:val="24"/>
                <w:shd w:val="clear" w:color="auto" w:fill="FFFFFF"/>
              </w:rPr>
              <w:t>enosak</w:t>
            </w:r>
            <w:r w:rsidR="00EB2079" w:rsidRPr="003B1811">
              <w:rPr>
                <w:rFonts w:ascii="Times New Roman" w:hAnsi="Times New Roman" w:cs="Times New Roman"/>
                <w:sz w:val="24"/>
                <w:szCs w:val="24"/>
                <w:shd w:val="clear" w:color="auto" w:fill="FFFFFF"/>
              </w:rPr>
              <w:t>a</w:t>
            </w:r>
            <w:r w:rsidR="009B52B2" w:rsidRPr="003B1811">
              <w:rPr>
                <w:rFonts w:ascii="Times New Roman" w:hAnsi="Times New Roman" w:cs="Times New Roman"/>
                <w:sz w:val="24"/>
                <w:szCs w:val="24"/>
                <w:shd w:val="clear" w:color="auto" w:fill="FFFFFF"/>
              </w:rPr>
              <w:t xml:space="preserve"> prasīb</w:t>
            </w:r>
            <w:r w:rsidR="00EB2079" w:rsidRPr="003B1811">
              <w:rPr>
                <w:rFonts w:ascii="Times New Roman" w:hAnsi="Times New Roman" w:cs="Times New Roman"/>
                <w:sz w:val="24"/>
                <w:szCs w:val="24"/>
                <w:shd w:val="clear" w:color="auto" w:fill="FFFFFF"/>
              </w:rPr>
              <w:t>u</w:t>
            </w:r>
            <w:r w:rsidR="00397201">
              <w:rPr>
                <w:rFonts w:ascii="Times New Roman" w:hAnsi="Times New Roman" w:cs="Times New Roman"/>
                <w:sz w:val="24"/>
                <w:szCs w:val="24"/>
                <w:shd w:val="clear" w:color="auto" w:fill="FFFFFF"/>
              </w:rPr>
              <w:t xml:space="preserve"> piemērot</w:t>
            </w:r>
            <w:r w:rsidR="009B52B2" w:rsidRPr="003B1811">
              <w:rPr>
                <w:rFonts w:ascii="Times New Roman" w:hAnsi="Times New Roman" w:cs="Times New Roman"/>
                <w:sz w:val="24"/>
                <w:szCs w:val="24"/>
                <w:shd w:val="clear" w:color="auto" w:fill="FFFFFF"/>
              </w:rPr>
              <w:t xml:space="preserve"> specifiskas izvērtējuma metodes</w:t>
            </w:r>
            <w:r w:rsidR="00EB2079" w:rsidRPr="003B1811">
              <w:rPr>
                <w:rFonts w:ascii="Times New Roman" w:hAnsi="Times New Roman" w:cs="Times New Roman"/>
                <w:sz w:val="24"/>
                <w:szCs w:val="24"/>
                <w:shd w:val="clear" w:color="auto" w:fill="FFFFFF"/>
              </w:rPr>
              <w:t>)</w:t>
            </w:r>
            <w:r w:rsidR="00F531FE" w:rsidRPr="003B1811">
              <w:rPr>
                <w:rFonts w:ascii="Times New Roman" w:hAnsi="Times New Roman" w:cs="Times New Roman"/>
                <w:sz w:val="24"/>
                <w:szCs w:val="24"/>
                <w:shd w:val="clear" w:color="auto" w:fill="FFFFFF"/>
              </w:rPr>
              <w:t xml:space="preserve"> </w:t>
            </w:r>
            <w:r w:rsidR="00CE728D" w:rsidRPr="003B1811">
              <w:rPr>
                <w:rFonts w:ascii="Times New Roman" w:hAnsi="Times New Roman" w:cs="Times New Roman"/>
                <w:sz w:val="24"/>
                <w:szCs w:val="24"/>
                <w:shd w:val="clear" w:color="auto" w:fill="FFFFFF"/>
              </w:rPr>
              <w:t>izvērtē</w:t>
            </w:r>
            <w:r w:rsidR="009D6F6E" w:rsidRPr="003B1811">
              <w:rPr>
                <w:rFonts w:ascii="Times New Roman" w:hAnsi="Times New Roman" w:cs="Times New Roman"/>
                <w:sz w:val="24"/>
                <w:szCs w:val="24"/>
                <w:shd w:val="clear" w:color="auto" w:fill="FFFFFF"/>
              </w:rPr>
              <w:t>t</w:t>
            </w:r>
            <w:r w:rsidR="0050509B" w:rsidRPr="003B1811">
              <w:rPr>
                <w:rFonts w:ascii="Times New Roman" w:hAnsi="Times New Roman" w:cs="Times New Roman"/>
                <w:sz w:val="24"/>
                <w:szCs w:val="24"/>
                <w:shd w:val="clear" w:color="auto" w:fill="FFFFFF"/>
              </w:rPr>
              <w:t xml:space="preserve">, </w:t>
            </w:r>
            <w:r w:rsidR="00A414BA" w:rsidRPr="003B1811">
              <w:rPr>
                <w:rFonts w:ascii="Times New Roman" w:hAnsi="Times New Roman" w:cs="Times New Roman"/>
                <w:sz w:val="24"/>
                <w:szCs w:val="24"/>
                <w:shd w:val="clear" w:color="auto" w:fill="FFFFFF"/>
              </w:rPr>
              <w:t xml:space="preserve">vai </w:t>
            </w:r>
            <w:r w:rsidR="00A14375">
              <w:rPr>
                <w:rFonts w:ascii="Times New Roman" w:hAnsi="Times New Roman" w:cs="Times New Roman"/>
                <w:sz w:val="24"/>
                <w:szCs w:val="24"/>
                <w:shd w:val="clear" w:color="auto" w:fill="FFFFFF"/>
              </w:rPr>
              <w:t xml:space="preserve">risku, </w:t>
            </w:r>
            <w:r w:rsidR="00A14375" w:rsidRPr="00A14375">
              <w:rPr>
                <w:rFonts w:ascii="Times New Roman" w:hAnsi="Times New Roman" w:cs="Times New Roman"/>
                <w:sz w:val="24"/>
                <w:szCs w:val="24"/>
                <w:shd w:val="clear" w:color="auto" w:fill="FFFFFF"/>
              </w:rPr>
              <w:t xml:space="preserve">kuriem </w:t>
            </w:r>
            <w:r w:rsidR="00497F91" w:rsidRPr="003B1811">
              <w:rPr>
                <w:rFonts w:ascii="Times New Roman" w:hAnsi="Times New Roman" w:cs="Times New Roman"/>
                <w:sz w:val="24"/>
                <w:szCs w:val="24"/>
                <w:shd w:val="clear" w:color="auto" w:fill="FFFFFF"/>
              </w:rPr>
              <w:t>Eiropas Parlamenta un Padomes 2013.</w:t>
            </w:r>
            <w:r w:rsidR="00E635C2" w:rsidRPr="003B1811">
              <w:rPr>
                <w:rFonts w:ascii="Times New Roman" w:hAnsi="Times New Roman" w:cs="Times New Roman"/>
                <w:sz w:val="24"/>
                <w:szCs w:val="24"/>
                <w:shd w:val="clear" w:color="auto" w:fill="FFFFFF"/>
              </w:rPr>
              <w:t> </w:t>
            </w:r>
            <w:r w:rsidR="00497F91" w:rsidRPr="003B1811">
              <w:rPr>
                <w:rFonts w:ascii="Times New Roman" w:hAnsi="Times New Roman" w:cs="Times New Roman"/>
                <w:sz w:val="24"/>
                <w:szCs w:val="24"/>
                <w:shd w:val="clear" w:color="auto" w:fill="FFFFFF"/>
              </w:rPr>
              <w:t>gada 26.</w:t>
            </w:r>
            <w:r w:rsidR="00E635C2" w:rsidRPr="003B1811">
              <w:rPr>
                <w:rFonts w:ascii="Times New Roman" w:hAnsi="Times New Roman" w:cs="Times New Roman"/>
                <w:sz w:val="24"/>
                <w:szCs w:val="24"/>
                <w:shd w:val="clear" w:color="auto" w:fill="FFFFFF"/>
              </w:rPr>
              <w:t> </w:t>
            </w:r>
            <w:r w:rsidR="00497F91" w:rsidRPr="003B1811">
              <w:rPr>
                <w:rFonts w:ascii="Times New Roman" w:hAnsi="Times New Roman" w:cs="Times New Roman"/>
                <w:sz w:val="24"/>
                <w:szCs w:val="24"/>
                <w:shd w:val="clear" w:color="auto" w:fill="FFFFFF"/>
              </w:rPr>
              <w:t>jūnija regul</w:t>
            </w:r>
            <w:r w:rsidR="00BF3E01">
              <w:rPr>
                <w:rFonts w:ascii="Times New Roman" w:hAnsi="Times New Roman" w:cs="Times New Roman"/>
                <w:sz w:val="24"/>
                <w:szCs w:val="24"/>
                <w:shd w:val="clear" w:color="auto" w:fill="FFFFFF"/>
              </w:rPr>
              <w:t>ā</w:t>
            </w:r>
            <w:r w:rsidR="00497F91" w:rsidRPr="003B1811">
              <w:rPr>
                <w:rFonts w:ascii="Times New Roman" w:hAnsi="Times New Roman" w:cs="Times New Roman"/>
                <w:sz w:val="24"/>
                <w:szCs w:val="24"/>
                <w:shd w:val="clear" w:color="auto" w:fill="FFFFFF"/>
              </w:rPr>
              <w:t xml:space="preserve"> (ES) Nr.</w:t>
            </w:r>
            <w:r w:rsidR="00A953C7" w:rsidRPr="003B1811">
              <w:rPr>
                <w:rFonts w:ascii="Times New Roman" w:hAnsi="Times New Roman" w:cs="Times New Roman"/>
                <w:sz w:val="24"/>
                <w:szCs w:val="24"/>
                <w:shd w:val="clear" w:color="auto" w:fill="FFFFFF"/>
              </w:rPr>
              <w:t> </w:t>
            </w:r>
            <w:r w:rsidR="00497F91" w:rsidRPr="003B1811">
              <w:rPr>
                <w:rFonts w:ascii="Times New Roman" w:hAnsi="Times New Roman" w:cs="Times New Roman"/>
                <w:sz w:val="24"/>
                <w:szCs w:val="24"/>
                <w:shd w:val="clear" w:color="auto" w:fill="FFFFFF"/>
              </w:rPr>
              <w:t>575/2013 par prudenciālajām prasībām attiecībā uz kredītiestādēm, un ar ko groza regulu (ES) Nr.</w:t>
            </w:r>
            <w:r w:rsidR="00E635C2" w:rsidRPr="003B1811">
              <w:rPr>
                <w:rFonts w:ascii="Times New Roman" w:hAnsi="Times New Roman" w:cs="Times New Roman"/>
                <w:sz w:val="24"/>
                <w:szCs w:val="24"/>
                <w:shd w:val="clear" w:color="auto" w:fill="FFFFFF"/>
              </w:rPr>
              <w:t> </w:t>
            </w:r>
            <w:r w:rsidR="00497F91" w:rsidRPr="003B1811">
              <w:rPr>
                <w:rFonts w:ascii="Times New Roman" w:hAnsi="Times New Roman" w:cs="Times New Roman"/>
                <w:sz w:val="24"/>
                <w:szCs w:val="24"/>
                <w:shd w:val="clear" w:color="auto" w:fill="FFFFFF"/>
              </w:rPr>
              <w:t xml:space="preserve">648/2012 </w:t>
            </w:r>
            <w:r w:rsidR="004A0E49">
              <w:rPr>
                <w:rFonts w:ascii="Times New Roman" w:hAnsi="Times New Roman" w:cs="Times New Roman"/>
                <w:sz w:val="24"/>
                <w:szCs w:val="24"/>
                <w:shd w:val="clear" w:color="auto" w:fill="FFFFFF"/>
              </w:rPr>
              <w:t>(turpmāk </w:t>
            </w:r>
            <w:r w:rsidR="004A0E49" w:rsidRPr="004A0E49">
              <w:rPr>
                <w:rFonts w:ascii="Times New Roman" w:hAnsi="Times New Roman" w:cs="Times New Roman"/>
                <w:sz w:val="24"/>
                <w:szCs w:val="24"/>
                <w:shd w:val="clear" w:color="auto" w:fill="FFFFFF"/>
              </w:rPr>
              <w:t>–</w:t>
            </w:r>
            <w:r w:rsidR="004A0E49">
              <w:rPr>
                <w:rFonts w:ascii="Times New Roman" w:hAnsi="Times New Roman" w:cs="Times New Roman"/>
                <w:sz w:val="24"/>
                <w:szCs w:val="24"/>
                <w:shd w:val="clear" w:color="auto" w:fill="FFFFFF"/>
              </w:rPr>
              <w:t xml:space="preserve"> Regula Nr.</w:t>
            </w:r>
            <w:r w:rsidR="00D21C73">
              <w:rPr>
                <w:rFonts w:ascii="Times New Roman" w:hAnsi="Times New Roman" w:cs="Times New Roman"/>
                <w:sz w:val="24"/>
                <w:szCs w:val="24"/>
                <w:shd w:val="clear" w:color="auto" w:fill="FFFFFF"/>
              </w:rPr>
              <w:t> </w:t>
            </w:r>
            <w:r w:rsidR="004A0E49">
              <w:rPr>
                <w:rFonts w:ascii="Times New Roman" w:hAnsi="Times New Roman" w:cs="Times New Roman"/>
                <w:sz w:val="24"/>
                <w:szCs w:val="24"/>
                <w:shd w:val="clear" w:color="auto" w:fill="FFFFFF"/>
              </w:rPr>
              <w:t xml:space="preserve">575/2013) </w:t>
            </w:r>
            <w:r w:rsidR="00A14375" w:rsidRPr="00A14375">
              <w:rPr>
                <w:rFonts w:ascii="Times New Roman" w:hAnsi="Times New Roman" w:cs="Times New Roman"/>
                <w:sz w:val="24"/>
                <w:szCs w:val="24"/>
                <w:shd w:val="clear" w:color="auto" w:fill="FFFFFF"/>
              </w:rPr>
              <w:t>no</w:t>
            </w:r>
            <w:r w:rsidR="00BF3E01">
              <w:rPr>
                <w:rFonts w:ascii="Times New Roman" w:hAnsi="Times New Roman" w:cs="Times New Roman"/>
                <w:sz w:val="24"/>
                <w:szCs w:val="24"/>
                <w:shd w:val="clear" w:color="auto" w:fill="FFFFFF"/>
              </w:rPr>
              <w:t>teiktas</w:t>
            </w:r>
            <w:r w:rsidR="00A14375" w:rsidRPr="00A14375">
              <w:rPr>
                <w:rFonts w:ascii="Times New Roman" w:hAnsi="Times New Roman" w:cs="Times New Roman"/>
                <w:sz w:val="24"/>
                <w:szCs w:val="24"/>
                <w:shd w:val="clear" w:color="auto" w:fill="FFFFFF"/>
              </w:rPr>
              <w:t xml:space="preserve"> minimālās pašu kapitāla prasības</w:t>
            </w:r>
            <w:r w:rsidR="00A14375">
              <w:rPr>
                <w:rFonts w:ascii="Times New Roman" w:hAnsi="Times New Roman" w:cs="Times New Roman"/>
                <w:sz w:val="24"/>
                <w:szCs w:val="24"/>
                <w:shd w:val="clear" w:color="auto" w:fill="FFFFFF"/>
              </w:rPr>
              <w:t>,</w:t>
            </w:r>
            <w:r w:rsidR="00A14375" w:rsidRPr="00A14375">
              <w:rPr>
                <w:rFonts w:ascii="Times New Roman" w:hAnsi="Times New Roman" w:cs="Times New Roman"/>
                <w:sz w:val="24"/>
                <w:szCs w:val="24"/>
                <w:shd w:val="clear" w:color="auto" w:fill="FFFFFF"/>
              </w:rPr>
              <w:t xml:space="preserve"> </w:t>
            </w:r>
            <w:r w:rsidR="00A14375">
              <w:rPr>
                <w:rFonts w:ascii="Times New Roman" w:hAnsi="Times New Roman" w:cs="Times New Roman"/>
                <w:sz w:val="24"/>
                <w:szCs w:val="24"/>
                <w:shd w:val="clear" w:color="auto" w:fill="FFFFFF"/>
              </w:rPr>
              <w:t>segšanai</w:t>
            </w:r>
            <w:r w:rsidR="00A14375" w:rsidRPr="003B1811">
              <w:rPr>
                <w:rFonts w:ascii="Times New Roman" w:hAnsi="Times New Roman" w:cs="Times New Roman"/>
                <w:sz w:val="24"/>
                <w:szCs w:val="24"/>
                <w:shd w:val="clear" w:color="auto" w:fill="FFFFFF"/>
              </w:rPr>
              <w:t xml:space="preserve"> </w:t>
            </w:r>
            <w:r w:rsidR="00A623B6" w:rsidRPr="003B1811">
              <w:rPr>
                <w:rFonts w:ascii="Times New Roman" w:hAnsi="Times New Roman" w:cs="Times New Roman"/>
                <w:sz w:val="24"/>
                <w:szCs w:val="24"/>
                <w:shd w:val="clear" w:color="auto" w:fill="FFFFFF"/>
              </w:rPr>
              <w:t>aprēķināt</w:t>
            </w:r>
            <w:r w:rsidR="00A414BA" w:rsidRPr="003B1811">
              <w:rPr>
                <w:rFonts w:ascii="Times New Roman" w:hAnsi="Times New Roman" w:cs="Times New Roman"/>
                <w:sz w:val="24"/>
                <w:szCs w:val="24"/>
                <w:shd w:val="clear" w:color="auto" w:fill="FFFFFF"/>
              </w:rPr>
              <w:t xml:space="preserve">ais pašu kapitāla apmērs </w:t>
            </w:r>
            <w:r w:rsidR="000C3FB1" w:rsidRPr="003B1811">
              <w:rPr>
                <w:rFonts w:ascii="Times New Roman" w:hAnsi="Times New Roman" w:cs="Times New Roman"/>
                <w:sz w:val="24"/>
                <w:szCs w:val="24"/>
                <w:shd w:val="clear" w:color="auto" w:fill="FFFFFF"/>
              </w:rPr>
              <w:t xml:space="preserve">ir pietiekams </w:t>
            </w:r>
            <w:r w:rsidR="00C95CE4" w:rsidRPr="003B1811">
              <w:rPr>
                <w:rFonts w:ascii="Times New Roman" w:hAnsi="Times New Roman" w:cs="Times New Roman"/>
                <w:sz w:val="24"/>
                <w:szCs w:val="24"/>
                <w:shd w:val="clear" w:color="auto" w:fill="FFFFFF"/>
              </w:rPr>
              <w:t xml:space="preserve">kredītiestādes darbībai piemītošā </w:t>
            </w:r>
            <w:r w:rsidR="00C95CE4" w:rsidRPr="003F74CB">
              <w:rPr>
                <w:rFonts w:ascii="Times New Roman" w:hAnsi="Times New Roman" w:cs="Times New Roman"/>
                <w:sz w:val="24"/>
                <w:szCs w:val="24"/>
                <w:shd w:val="clear" w:color="auto" w:fill="FFFFFF"/>
              </w:rPr>
              <w:t xml:space="preserve">attiecīgā riska segšanai </w:t>
            </w:r>
            <w:r w:rsidR="00A414BA" w:rsidRPr="003F74CB">
              <w:rPr>
                <w:rFonts w:ascii="Times New Roman" w:hAnsi="Times New Roman" w:cs="Times New Roman"/>
                <w:sz w:val="24"/>
                <w:szCs w:val="24"/>
                <w:shd w:val="clear" w:color="auto" w:fill="FFFFFF"/>
              </w:rPr>
              <w:t>(pašlaik spēkā esošā prasība</w:t>
            </w:r>
            <w:r w:rsidR="004A3188" w:rsidRPr="003F74CB">
              <w:rPr>
                <w:rFonts w:ascii="Times New Roman" w:hAnsi="Times New Roman" w:cs="Times New Roman"/>
                <w:sz w:val="24"/>
                <w:szCs w:val="24"/>
                <w:shd w:val="clear" w:color="auto" w:fill="FFFFFF"/>
              </w:rPr>
              <w:t> </w:t>
            </w:r>
            <w:r w:rsidR="00A414BA" w:rsidRPr="003F74CB">
              <w:rPr>
                <w:rFonts w:ascii="Times New Roman" w:hAnsi="Times New Roman" w:cs="Times New Roman"/>
                <w:sz w:val="24"/>
                <w:szCs w:val="24"/>
                <w:shd w:val="clear" w:color="auto" w:fill="FFFFFF"/>
              </w:rPr>
              <w:t xml:space="preserve">– </w:t>
            </w:r>
            <w:r w:rsidR="00253C49" w:rsidRPr="003F74CB">
              <w:rPr>
                <w:rFonts w:ascii="Times New Roman" w:hAnsi="Times New Roman" w:cs="Times New Roman"/>
                <w:sz w:val="24"/>
                <w:szCs w:val="24"/>
                <w:shd w:val="clear" w:color="auto" w:fill="FFFFFF"/>
              </w:rPr>
              <w:t xml:space="preserve">minētā pašu kapitāla apmēra pietiekamību </w:t>
            </w:r>
            <w:r w:rsidR="009C38F1" w:rsidRPr="003F74CB">
              <w:rPr>
                <w:rFonts w:ascii="Times New Roman" w:hAnsi="Times New Roman" w:cs="Times New Roman"/>
                <w:sz w:val="24"/>
                <w:szCs w:val="24"/>
                <w:shd w:val="clear" w:color="auto" w:fill="FFFFFF"/>
              </w:rPr>
              <w:t>izvērt</w:t>
            </w:r>
            <w:r w:rsidR="004F1D64" w:rsidRPr="003F74CB">
              <w:rPr>
                <w:rFonts w:ascii="Times New Roman" w:hAnsi="Times New Roman" w:cs="Times New Roman"/>
                <w:sz w:val="24"/>
                <w:szCs w:val="24"/>
                <w:shd w:val="clear" w:color="auto" w:fill="FFFFFF"/>
              </w:rPr>
              <w:t>ē, veicot stresa testēšanu, pamatojoties uz bāzes scenāriju turpmākajiem 12</w:t>
            </w:r>
            <w:r w:rsidR="00D25A42" w:rsidRPr="003F74CB">
              <w:rPr>
                <w:rFonts w:ascii="Times New Roman" w:hAnsi="Times New Roman" w:cs="Times New Roman"/>
                <w:sz w:val="24"/>
                <w:szCs w:val="24"/>
                <w:shd w:val="clear" w:color="auto" w:fill="FFFFFF"/>
              </w:rPr>
              <w:t> </w:t>
            </w:r>
            <w:r w:rsidR="004F1D64" w:rsidRPr="003F74CB">
              <w:rPr>
                <w:rFonts w:ascii="Times New Roman" w:hAnsi="Times New Roman" w:cs="Times New Roman"/>
                <w:sz w:val="24"/>
                <w:szCs w:val="24"/>
                <w:shd w:val="clear" w:color="auto" w:fill="FFFFFF"/>
              </w:rPr>
              <w:t>mēnešiem</w:t>
            </w:r>
            <w:r w:rsidR="00E215A2" w:rsidRPr="003B1811">
              <w:rPr>
                <w:rFonts w:ascii="Times New Roman" w:hAnsi="Times New Roman" w:cs="Times New Roman"/>
                <w:sz w:val="24"/>
                <w:szCs w:val="24"/>
                <w:shd w:val="clear" w:color="auto" w:fill="FFFFFF"/>
              </w:rPr>
              <w:t>)</w:t>
            </w:r>
            <w:r w:rsidR="00B64D23">
              <w:rPr>
                <w:rFonts w:ascii="Times New Roman" w:hAnsi="Times New Roman" w:cs="Times New Roman"/>
                <w:sz w:val="24"/>
                <w:szCs w:val="24"/>
                <w:shd w:val="clear" w:color="auto" w:fill="FFFFFF"/>
              </w:rPr>
              <w:t xml:space="preserve">. </w:t>
            </w:r>
            <w:r w:rsidR="005A6148">
              <w:rPr>
                <w:rFonts w:ascii="Times New Roman" w:hAnsi="Times New Roman" w:cs="Times New Roman"/>
                <w:sz w:val="24"/>
                <w:szCs w:val="24"/>
                <w:shd w:val="clear" w:color="auto" w:fill="FFFFFF"/>
              </w:rPr>
              <w:t xml:space="preserve">Vienlaikus </w:t>
            </w:r>
            <w:r w:rsidR="00C966CA">
              <w:rPr>
                <w:rFonts w:ascii="Times New Roman" w:hAnsi="Times New Roman" w:cs="Times New Roman"/>
                <w:sz w:val="24"/>
                <w:szCs w:val="24"/>
                <w:shd w:val="clear" w:color="auto" w:fill="FFFFFF"/>
              </w:rPr>
              <w:t xml:space="preserve">noteikumu </w:t>
            </w:r>
            <w:r w:rsidR="00B64D23">
              <w:rPr>
                <w:rFonts w:ascii="Times New Roman" w:hAnsi="Times New Roman" w:cs="Times New Roman"/>
                <w:sz w:val="24"/>
                <w:szCs w:val="24"/>
                <w:shd w:val="clear" w:color="auto" w:fill="FFFFFF"/>
              </w:rPr>
              <w:t xml:space="preserve">projekts </w:t>
            </w:r>
            <w:r w:rsidR="00B64D23" w:rsidRPr="000A4DA7">
              <w:rPr>
                <w:rFonts w:ascii="Times New Roman" w:hAnsi="Times New Roman" w:cs="Times New Roman"/>
                <w:sz w:val="24"/>
                <w:szCs w:val="24"/>
                <w:shd w:val="clear" w:color="auto" w:fill="FFFFFF"/>
              </w:rPr>
              <w:t xml:space="preserve">neparedz </w:t>
            </w:r>
            <w:r w:rsidR="00FC20E2">
              <w:rPr>
                <w:rFonts w:ascii="Times New Roman" w:hAnsi="Times New Roman" w:cs="Times New Roman"/>
                <w:sz w:val="24"/>
                <w:szCs w:val="24"/>
                <w:shd w:val="clear" w:color="auto" w:fill="FFFFFF"/>
              </w:rPr>
              <w:t xml:space="preserve">risku, </w:t>
            </w:r>
            <w:r w:rsidR="00FC20E2" w:rsidRPr="00FC20E2">
              <w:rPr>
                <w:rFonts w:ascii="Times New Roman" w:hAnsi="Times New Roman" w:cs="Times New Roman"/>
                <w:sz w:val="24"/>
                <w:szCs w:val="24"/>
                <w:shd w:val="clear" w:color="auto" w:fill="FFFFFF"/>
              </w:rPr>
              <w:t>kuriem Regul</w:t>
            </w:r>
            <w:r w:rsidR="00BF3E01">
              <w:rPr>
                <w:rFonts w:ascii="Times New Roman" w:hAnsi="Times New Roman" w:cs="Times New Roman"/>
                <w:sz w:val="24"/>
                <w:szCs w:val="24"/>
                <w:shd w:val="clear" w:color="auto" w:fill="FFFFFF"/>
              </w:rPr>
              <w:t>ā</w:t>
            </w:r>
            <w:r w:rsidR="00FC20E2" w:rsidRPr="00FC20E2">
              <w:rPr>
                <w:rFonts w:ascii="Times New Roman" w:hAnsi="Times New Roman" w:cs="Times New Roman"/>
                <w:sz w:val="24"/>
                <w:szCs w:val="24"/>
                <w:shd w:val="clear" w:color="auto" w:fill="FFFFFF"/>
              </w:rPr>
              <w:t xml:space="preserve"> Nr.</w:t>
            </w:r>
            <w:r w:rsidR="00FC20E2">
              <w:rPr>
                <w:rFonts w:ascii="Times New Roman" w:hAnsi="Times New Roman" w:cs="Times New Roman"/>
                <w:sz w:val="24"/>
                <w:szCs w:val="24"/>
                <w:shd w:val="clear" w:color="auto" w:fill="FFFFFF"/>
              </w:rPr>
              <w:t> </w:t>
            </w:r>
            <w:r w:rsidR="00FC20E2" w:rsidRPr="00FC20E2">
              <w:rPr>
                <w:rFonts w:ascii="Times New Roman" w:hAnsi="Times New Roman" w:cs="Times New Roman"/>
                <w:sz w:val="24"/>
                <w:szCs w:val="24"/>
                <w:shd w:val="clear" w:color="auto" w:fill="FFFFFF"/>
              </w:rPr>
              <w:t>575/2013 no</w:t>
            </w:r>
            <w:r w:rsidR="00BF3E01">
              <w:rPr>
                <w:rFonts w:ascii="Times New Roman" w:hAnsi="Times New Roman" w:cs="Times New Roman"/>
                <w:sz w:val="24"/>
                <w:szCs w:val="24"/>
                <w:shd w:val="clear" w:color="auto" w:fill="FFFFFF"/>
              </w:rPr>
              <w:t>teiktas</w:t>
            </w:r>
            <w:r w:rsidR="00FC20E2" w:rsidRPr="00FC20E2">
              <w:rPr>
                <w:rFonts w:ascii="Times New Roman" w:hAnsi="Times New Roman" w:cs="Times New Roman"/>
                <w:sz w:val="24"/>
                <w:szCs w:val="24"/>
                <w:shd w:val="clear" w:color="auto" w:fill="FFFFFF"/>
              </w:rPr>
              <w:t xml:space="preserve"> minimālās pašu kapitāla prasības</w:t>
            </w:r>
            <w:r w:rsidR="00FC20E2">
              <w:rPr>
                <w:rFonts w:ascii="Times New Roman" w:hAnsi="Times New Roman" w:cs="Times New Roman"/>
                <w:sz w:val="24"/>
                <w:szCs w:val="24"/>
                <w:shd w:val="clear" w:color="auto" w:fill="FFFFFF"/>
              </w:rPr>
              <w:t>,</w:t>
            </w:r>
            <w:r w:rsidR="00B64D23" w:rsidRPr="000A4DA7">
              <w:rPr>
                <w:rFonts w:ascii="Times New Roman" w:hAnsi="Times New Roman" w:cs="Times New Roman"/>
                <w:sz w:val="24"/>
                <w:szCs w:val="24"/>
                <w:shd w:val="clear" w:color="auto" w:fill="FFFFFF"/>
              </w:rPr>
              <w:t xml:space="preserve"> segšanai nepieciešamā kapitāla apmēra aprēķinam izmantot kredītiestādes izstrādāto iekšējo modeli, metodi vai pieeju</w:t>
            </w:r>
            <w:r w:rsidR="005A6148">
              <w:rPr>
                <w:rFonts w:ascii="Times New Roman" w:hAnsi="Times New Roman" w:cs="Times New Roman"/>
                <w:sz w:val="24"/>
                <w:szCs w:val="24"/>
                <w:shd w:val="clear" w:color="auto" w:fill="FFFFFF"/>
              </w:rPr>
              <w:t>, ja tāda netiek izmantota minēto risku pašu kapitāla prasību aprēķina nolūkā saskaņā ar Regulu Nr. 575/2013</w:t>
            </w:r>
            <w:r w:rsidR="00E215A2" w:rsidRPr="003B1811">
              <w:rPr>
                <w:rFonts w:ascii="Times New Roman" w:hAnsi="Times New Roman" w:cs="Times New Roman"/>
                <w:sz w:val="24"/>
                <w:szCs w:val="24"/>
                <w:shd w:val="clear" w:color="auto" w:fill="FFFFFF"/>
              </w:rPr>
              <w:t>;</w:t>
            </w:r>
          </w:p>
          <w:p w14:paraId="7BC55CEB" w14:textId="21A39C51" w:rsidR="00BB2393" w:rsidRPr="004A4814" w:rsidRDefault="009216DB" w:rsidP="00D935EB">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w:t>
            </w:r>
            <w:r w:rsidR="00BB2393" w:rsidRPr="00D6150A">
              <w:rPr>
                <w:rFonts w:ascii="Times New Roman" w:hAnsi="Times New Roman" w:cs="Times New Roman"/>
                <w:sz w:val="24"/>
                <w:szCs w:val="24"/>
                <w:shd w:val="clear" w:color="auto" w:fill="FFFFFF"/>
              </w:rPr>
              <w:t xml:space="preserve">) </w:t>
            </w:r>
            <w:r w:rsidR="00570D51" w:rsidRPr="004A4814">
              <w:rPr>
                <w:rFonts w:ascii="Times New Roman" w:hAnsi="Times New Roman" w:cs="Times New Roman"/>
                <w:sz w:val="24"/>
                <w:szCs w:val="24"/>
                <w:shd w:val="clear" w:color="auto" w:fill="FFFFFF"/>
              </w:rPr>
              <w:t>precizē</w:t>
            </w:r>
            <w:r w:rsidR="001C2E3A" w:rsidRPr="004A4814">
              <w:rPr>
                <w:rFonts w:ascii="Times New Roman" w:hAnsi="Times New Roman" w:cs="Times New Roman"/>
                <w:sz w:val="24"/>
                <w:szCs w:val="24"/>
                <w:shd w:val="clear" w:color="auto" w:fill="FFFFFF"/>
              </w:rPr>
              <w:t xml:space="preserve"> </w:t>
            </w:r>
            <w:r w:rsidR="00833AAD" w:rsidRPr="004A4814">
              <w:rPr>
                <w:rFonts w:ascii="Times New Roman" w:hAnsi="Times New Roman" w:cs="Times New Roman"/>
                <w:sz w:val="24"/>
                <w:szCs w:val="24"/>
                <w:shd w:val="clear" w:color="auto" w:fill="FFFFFF"/>
              </w:rPr>
              <w:t xml:space="preserve">kredītriska, </w:t>
            </w:r>
            <w:r w:rsidR="001C2E3A" w:rsidRPr="004A4814">
              <w:rPr>
                <w:rFonts w:ascii="Times New Roman" w:hAnsi="Times New Roman" w:cs="Times New Roman"/>
                <w:sz w:val="24"/>
                <w:szCs w:val="24"/>
                <w:shd w:val="clear" w:color="auto" w:fill="FFFFFF"/>
              </w:rPr>
              <w:t>kredīta vērtības korekcijas</w:t>
            </w:r>
            <w:r w:rsidR="00E02391" w:rsidRPr="004A4814">
              <w:rPr>
                <w:rFonts w:ascii="Times New Roman" w:hAnsi="Times New Roman" w:cs="Times New Roman"/>
                <w:sz w:val="24"/>
                <w:szCs w:val="24"/>
                <w:shd w:val="clear" w:color="auto" w:fill="FFFFFF"/>
              </w:rPr>
              <w:t xml:space="preserve"> riska,</w:t>
            </w:r>
            <w:r w:rsidR="00570D51" w:rsidRPr="004A4814">
              <w:rPr>
                <w:rFonts w:ascii="Times New Roman" w:hAnsi="Times New Roman" w:cs="Times New Roman"/>
                <w:sz w:val="24"/>
                <w:szCs w:val="24"/>
                <w:shd w:val="clear" w:color="auto" w:fill="FFFFFF"/>
              </w:rPr>
              <w:t xml:space="preserve"> tirgus riska</w:t>
            </w:r>
            <w:r w:rsidR="00F47B9A" w:rsidRPr="004A4814">
              <w:rPr>
                <w:rFonts w:ascii="Times New Roman" w:hAnsi="Times New Roman" w:cs="Times New Roman"/>
                <w:sz w:val="24"/>
                <w:szCs w:val="24"/>
                <w:shd w:val="clear" w:color="auto" w:fill="FFFFFF"/>
              </w:rPr>
              <w:t xml:space="preserve">, </w:t>
            </w:r>
            <w:r w:rsidR="009D464D">
              <w:rPr>
                <w:rFonts w:ascii="Times New Roman" w:hAnsi="Times New Roman" w:cs="Times New Roman"/>
                <w:sz w:val="24"/>
                <w:szCs w:val="24"/>
                <w:shd w:val="clear" w:color="auto" w:fill="FFFFFF"/>
              </w:rPr>
              <w:t>tai skaitā</w:t>
            </w:r>
            <w:r w:rsidR="009D464D" w:rsidRPr="004A4814">
              <w:rPr>
                <w:rFonts w:ascii="Times New Roman" w:hAnsi="Times New Roman" w:cs="Times New Roman"/>
                <w:sz w:val="24"/>
                <w:szCs w:val="24"/>
                <w:shd w:val="clear" w:color="auto" w:fill="FFFFFF"/>
              </w:rPr>
              <w:t xml:space="preserve"> </w:t>
            </w:r>
            <w:r w:rsidR="00F47B9A" w:rsidRPr="004A4814">
              <w:rPr>
                <w:rFonts w:ascii="Times New Roman" w:hAnsi="Times New Roman" w:cs="Times New Roman"/>
                <w:sz w:val="24"/>
                <w:szCs w:val="24"/>
                <w:shd w:val="clear" w:color="auto" w:fill="FFFFFF"/>
              </w:rPr>
              <w:t xml:space="preserve">preču riska un ārvalstu </w:t>
            </w:r>
            <w:r w:rsidR="00F47B9A" w:rsidRPr="00BE73E2">
              <w:rPr>
                <w:rFonts w:ascii="Times New Roman" w:hAnsi="Times New Roman" w:cs="Times New Roman"/>
                <w:sz w:val="24"/>
                <w:szCs w:val="24"/>
                <w:shd w:val="clear" w:color="auto" w:fill="FFFFFF"/>
              </w:rPr>
              <w:t>valūtas riska</w:t>
            </w:r>
            <w:r w:rsidR="00F47B9A" w:rsidRPr="004A4814">
              <w:rPr>
                <w:rFonts w:ascii="Times New Roman" w:hAnsi="Times New Roman" w:cs="Times New Roman"/>
                <w:sz w:val="24"/>
                <w:szCs w:val="24"/>
                <w:shd w:val="clear" w:color="auto" w:fill="FFFFFF"/>
              </w:rPr>
              <w:t>,</w:t>
            </w:r>
            <w:r w:rsidR="00570D51" w:rsidRPr="004A4814">
              <w:rPr>
                <w:rFonts w:ascii="Times New Roman" w:hAnsi="Times New Roman" w:cs="Times New Roman"/>
                <w:sz w:val="24"/>
                <w:szCs w:val="24"/>
                <w:shd w:val="clear" w:color="auto" w:fill="FFFFFF"/>
              </w:rPr>
              <w:t xml:space="preserve"> </w:t>
            </w:r>
            <w:r w:rsidR="009D409E">
              <w:rPr>
                <w:rFonts w:ascii="Times New Roman" w:hAnsi="Times New Roman" w:cs="Times New Roman"/>
                <w:sz w:val="24"/>
                <w:szCs w:val="24"/>
                <w:shd w:val="clear" w:color="auto" w:fill="FFFFFF"/>
              </w:rPr>
              <w:t xml:space="preserve">un </w:t>
            </w:r>
            <w:r w:rsidR="00CE55E3">
              <w:rPr>
                <w:rFonts w:ascii="Times New Roman" w:hAnsi="Times New Roman" w:cs="Times New Roman"/>
                <w:sz w:val="24"/>
                <w:szCs w:val="24"/>
                <w:shd w:val="clear" w:color="auto" w:fill="FFFFFF"/>
              </w:rPr>
              <w:t xml:space="preserve">operacionālā riska </w:t>
            </w:r>
            <w:r w:rsidR="00570D51" w:rsidRPr="004A4814">
              <w:rPr>
                <w:rFonts w:ascii="Times New Roman" w:hAnsi="Times New Roman" w:cs="Times New Roman"/>
                <w:sz w:val="24"/>
                <w:szCs w:val="24"/>
                <w:shd w:val="clear" w:color="auto" w:fill="FFFFFF"/>
              </w:rPr>
              <w:t>segšanai nepieciešamā kapitāla apmēra noteikšanas kārtību</w:t>
            </w:r>
            <w:r w:rsidR="003C557F" w:rsidRPr="004A4814">
              <w:rPr>
                <w:rFonts w:ascii="Times New Roman" w:hAnsi="Times New Roman" w:cs="Times New Roman"/>
                <w:sz w:val="24"/>
                <w:szCs w:val="24"/>
                <w:shd w:val="clear" w:color="auto" w:fill="FFFFFF"/>
              </w:rPr>
              <w:t>;</w:t>
            </w:r>
          </w:p>
          <w:p w14:paraId="3B345167" w14:textId="1CB08D3E" w:rsidR="003C557F" w:rsidRPr="004A4814" w:rsidRDefault="009216DB" w:rsidP="00D935EB">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w:t>
            </w:r>
            <w:r w:rsidR="003C557F" w:rsidRPr="004A4814">
              <w:rPr>
                <w:rFonts w:ascii="Times New Roman" w:hAnsi="Times New Roman" w:cs="Times New Roman"/>
                <w:sz w:val="24"/>
                <w:szCs w:val="24"/>
                <w:shd w:val="clear" w:color="auto" w:fill="FFFFFF"/>
              </w:rPr>
              <w:t xml:space="preserve">) </w:t>
            </w:r>
            <w:r w:rsidR="003C557F" w:rsidRPr="00FC0613">
              <w:rPr>
                <w:rFonts w:ascii="Times New Roman" w:hAnsi="Times New Roman" w:cs="Times New Roman"/>
                <w:sz w:val="24"/>
                <w:szCs w:val="24"/>
                <w:shd w:val="clear" w:color="auto" w:fill="FFFFFF"/>
              </w:rPr>
              <w:t xml:space="preserve">nosaka </w:t>
            </w:r>
            <w:r w:rsidR="003C557F" w:rsidRPr="00B64D23">
              <w:rPr>
                <w:rFonts w:ascii="Times New Roman" w:hAnsi="Times New Roman" w:cs="Times New Roman"/>
                <w:sz w:val="24"/>
                <w:szCs w:val="24"/>
                <w:shd w:val="clear" w:color="auto" w:fill="FFFFFF"/>
              </w:rPr>
              <w:t>jaunas prasības pārmērīgas sviras riska, kredītriska starpības riska netirdzniecības portfelī</w:t>
            </w:r>
            <w:r w:rsidR="00B64D23">
              <w:rPr>
                <w:rFonts w:ascii="Times New Roman" w:hAnsi="Times New Roman" w:cs="Times New Roman"/>
                <w:sz w:val="24"/>
                <w:szCs w:val="24"/>
                <w:shd w:val="clear" w:color="auto" w:fill="FFFFFF"/>
              </w:rPr>
              <w:t xml:space="preserve">, </w:t>
            </w:r>
            <w:r w:rsidR="00FD531E" w:rsidRPr="00B64D23">
              <w:rPr>
                <w:rFonts w:ascii="Times New Roman" w:hAnsi="Times New Roman" w:cs="Times New Roman"/>
                <w:sz w:val="24"/>
                <w:szCs w:val="24"/>
                <w:shd w:val="clear" w:color="auto" w:fill="FFFFFF"/>
              </w:rPr>
              <w:t xml:space="preserve">procentu likmju riska netirdzniecības portfelī </w:t>
            </w:r>
            <w:r w:rsidR="00B64D23">
              <w:rPr>
                <w:rFonts w:ascii="Times New Roman" w:hAnsi="Times New Roman" w:cs="Times New Roman"/>
                <w:sz w:val="24"/>
                <w:szCs w:val="24"/>
                <w:shd w:val="clear" w:color="auto" w:fill="FFFFFF"/>
              </w:rPr>
              <w:t xml:space="preserve">un </w:t>
            </w:r>
            <w:r w:rsidR="00B64D23" w:rsidRPr="00B64D23">
              <w:rPr>
                <w:rFonts w:ascii="Times New Roman" w:hAnsi="Times New Roman" w:cs="Times New Roman"/>
                <w:sz w:val="24"/>
                <w:szCs w:val="24"/>
                <w:shd w:val="clear" w:color="auto" w:fill="FFFFFF"/>
              </w:rPr>
              <w:t xml:space="preserve">vides, sociālo un pārvaldības risku </w:t>
            </w:r>
            <w:r w:rsidR="003C557F" w:rsidRPr="00B64D23">
              <w:rPr>
                <w:rFonts w:ascii="Times New Roman" w:hAnsi="Times New Roman" w:cs="Times New Roman"/>
                <w:sz w:val="24"/>
                <w:szCs w:val="24"/>
                <w:shd w:val="clear" w:color="auto" w:fill="FFFFFF"/>
              </w:rPr>
              <w:t>izvērtēšanai</w:t>
            </w:r>
            <w:r w:rsidR="003C557F" w:rsidRPr="00FC0613">
              <w:rPr>
                <w:rFonts w:ascii="Times New Roman" w:hAnsi="Times New Roman" w:cs="Times New Roman"/>
                <w:sz w:val="24"/>
                <w:szCs w:val="24"/>
                <w:shd w:val="clear" w:color="auto" w:fill="FFFFFF"/>
              </w:rPr>
              <w:t xml:space="preserve"> un t</w:t>
            </w:r>
            <w:r w:rsidR="00BF3E01">
              <w:rPr>
                <w:rFonts w:ascii="Times New Roman" w:hAnsi="Times New Roman" w:cs="Times New Roman"/>
                <w:sz w:val="24"/>
                <w:szCs w:val="24"/>
                <w:shd w:val="clear" w:color="auto" w:fill="FFFFFF"/>
              </w:rPr>
              <w:t>o</w:t>
            </w:r>
            <w:r w:rsidR="003C557F" w:rsidRPr="00FC0613">
              <w:rPr>
                <w:rFonts w:ascii="Times New Roman" w:hAnsi="Times New Roman" w:cs="Times New Roman"/>
                <w:sz w:val="24"/>
                <w:szCs w:val="24"/>
                <w:shd w:val="clear" w:color="auto" w:fill="FFFFFF"/>
              </w:rPr>
              <w:t xml:space="preserve"> segšanai nepieciešamā kapitāla apmēra noteikšanai</w:t>
            </w:r>
            <w:r w:rsidR="003C557F" w:rsidRPr="004A4814">
              <w:rPr>
                <w:rFonts w:ascii="Times New Roman" w:hAnsi="Times New Roman" w:cs="Times New Roman"/>
                <w:sz w:val="24"/>
                <w:szCs w:val="24"/>
                <w:shd w:val="clear" w:color="auto" w:fill="FFFFFF"/>
              </w:rPr>
              <w:t>;</w:t>
            </w:r>
          </w:p>
          <w:p w14:paraId="6922D19E" w14:textId="3C2757BE" w:rsidR="00B33016" w:rsidRDefault="009216DB" w:rsidP="00F61DEB">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w:t>
            </w:r>
            <w:r w:rsidR="003C557F" w:rsidRPr="004A4814">
              <w:rPr>
                <w:rFonts w:ascii="Times New Roman" w:hAnsi="Times New Roman" w:cs="Times New Roman"/>
                <w:sz w:val="24"/>
                <w:szCs w:val="24"/>
                <w:shd w:val="clear" w:color="auto" w:fill="FFFFFF"/>
              </w:rPr>
              <w:t xml:space="preserve">) </w:t>
            </w:r>
            <w:r w:rsidR="00CE5218" w:rsidRPr="004A4814">
              <w:rPr>
                <w:rFonts w:ascii="Times New Roman" w:hAnsi="Times New Roman" w:cs="Times New Roman"/>
                <w:sz w:val="24"/>
                <w:szCs w:val="24"/>
                <w:shd w:val="clear" w:color="auto" w:fill="FFFFFF"/>
              </w:rPr>
              <w:t>precizē</w:t>
            </w:r>
            <w:r w:rsidR="00952E79" w:rsidRPr="004A4814">
              <w:rPr>
                <w:rFonts w:ascii="Times New Roman" w:hAnsi="Times New Roman" w:cs="Times New Roman"/>
                <w:sz w:val="24"/>
                <w:szCs w:val="24"/>
                <w:shd w:val="clear" w:color="auto" w:fill="FFFFFF"/>
              </w:rPr>
              <w:t>, ka</w:t>
            </w:r>
            <w:r w:rsidR="00B33016" w:rsidRPr="004A4814">
              <w:rPr>
                <w:rFonts w:ascii="Times New Roman" w:hAnsi="Times New Roman" w:cs="Times New Roman"/>
                <w:sz w:val="24"/>
                <w:szCs w:val="24"/>
                <w:shd w:val="clear" w:color="auto" w:fill="FFFFFF"/>
              </w:rPr>
              <w:t xml:space="preserve">, aprēķinot valūtu nesakritības koncentrācijas riska segšanai nepieciešamā kapitāla apmēru saskaņā ar vienkāršoto metodi, pret valūtu nesakritības risku nenodrošinātiem kredītņēmējiem izsniegto kredītu īpatsvara aprēķinā </w:t>
            </w:r>
            <w:r w:rsidR="002D24A8" w:rsidRPr="004A4814">
              <w:rPr>
                <w:rFonts w:ascii="Times New Roman" w:hAnsi="Times New Roman" w:cs="Times New Roman"/>
                <w:sz w:val="24"/>
                <w:szCs w:val="24"/>
                <w:shd w:val="clear" w:color="auto" w:fill="FFFFFF"/>
              </w:rPr>
              <w:t xml:space="preserve">iekļauj </w:t>
            </w:r>
            <w:r w:rsidR="00B33016" w:rsidRPr="004A4814">
              <w:rPr>
                <w:rFonts w:ascii="Times New Roman" w:hAnsi="Times New Roman" w:cs="Times New Roman"/>
                <w:sz w:val="24"/>
                <w:szCs w:val="24"/>
                <w:shd w:val="clear" w:color="auto" w:fill="FFFFFF"/>
              </w:rPr>
              <w:t>arī mikrouzņēmumus</w:t>
            </w:r>
            <w:r w:rsidR="00974307">
              <w:rPr>
                <w:rFonts w:ascii="Times New Roman" w:hAnsi="Times New Roman" w:cs="Times New Roman"/>
                <w:sz w:val="24"/>
                <w:szCs w:val="24"/>
                <w:shd w:val="clear" w:color="auto" w:fill="FFFFFF"/>
              </w:rPr>
              <w:t xml:space="preserve">, </w:t>
            </w:r>
            <w:r w:rsidR="00974307" w:rsidRPr="00974307">
              <w:rPr>
                <w:rFonts w:ascii="Times New Roman" w:hAnsi="Times New Roman" w:cs="Times New Roman"/>
                <w:sz w:val="24"/>
                <w:szCs w:val="24"/>
                <w:shd w:val="clear" w:color="auto" w:fill="FFFFFF"/>
              </w:rPr>
              <w:t xml:space="preserve">kā arī turpmāk </w:t>
            </w:r>
            <w:r w:rsidR="00974307" w:rsidRPr="00BE73E2">
              <w:rPr>
                <w:rFonts w:ascii="Times New Roman" w:hAnsi="Times New Roman" w:cs="Times New Roman"/>
                <w:sz w:val="24"/>
                <w:szCs w:val="24"/>
                <w:shd w:val="clear" w:color="auto" w:fill="FFFFFF"/>
              </w:rPr>
              <w:t>valūt</w:t>
            </w:r>
            <w:r w:rsidR="009D409E" w:rsidRPr="00BE73E2">
              <w:rPr>
                <w:rFonts w:ascii="Times New Roman" w:hAnsi="Times New Roman" w:cs="Times New Roman"/>
                <w:sz w:val="24"/>
                <w:szCs w:val="24"/>
                <w:shd w:val="clear" w:color="auto" w:fill="FFFFFF"/>
              </w:rPr>
              <w:t>u</w:t>
            </w:r>
            <w:r w:rsidR="00974307" w:rsidRPr="00974307">
              <w:rPr>
                <w:rFonts w:ascii="Times New Roman" w:hAnsi="Times New Roman" w:cs="Times New Roman"/>
                <w:sz w:val="24"/>
                <w:szCs w:val="24"/>
                <w:shd w:val="clear" w:color="auto" w:fill="FFFFFF"/>
              </w:rPr>
              <w:t xml:space="preserve"> nesakritības koncentrācijas riska segšanai nepieciešamā kapitāla aprēķinā neiekļauj mājsaimniecības, jo Regulas Nr.</w:t>
            </w:r>
            <w:r w:rsidR="00974307">
              <w:rPr>
                <w:rFonts w:ascii="Times New Roman" w:hAnsi="Times New Roman" w:cs="Times New Roman"/>
                <w:sz w:val="24"/>
                <w:szCs w:val="24"/>
                <w:shd w:val="clear" w:color="auto" w:fill="FFFFFF"/>
              </w:rPr>
              <w:t> </w:t>
            </w:r>
            <w:r w:rsidR="00974307" w:rsidRPr="00974307">
              <w:rPr>
                <w:rFonts w:ascii="Times New Roman" w:hAnsi="Times New Roman" w:cs="Times New Roman"/>
                <w:sz w:val="24"/>
                <w:szCs w:val="24"/>
                <w:shd w:val="clear" w:color="auto" w:fill="FFFFFF"/>
              </w:rPr>
              <w:t>575/2013 123.a</w:t>
            </w:r>
            <w:r w:rsidR="00974307">
              <w:rPr>
                <w:rFonts w:ascii="Times New Roman" w:hAnsi="Times New Roman" w:cs="Times New Roman"/>
                <w:sz w:val="24"/>
                <w:szCs w:val="24"/>
                <w:shd w:val="clear" w:color="auto" w:fill="FFFFFF"/>
              </w:rPr>
              <w:t> </w:t>
            </w:r>
            <w:r w:rsidR="00974307" w:rsidRPr="00974307">
              <w:rPr>
                <w:rFonts w:ascii="Times New Roman" w:hAnsi="Times New Roman" w:cs="Times New Roman"/>
                <w:sz w:val="24"/>
                <w:szCs w:val="24"/>
                <w:shd w:val="clear" w:color="auto" w:fill="FFFFFF"/>
              </w:rPr>
              <w:t xml:space="preserve">pants, kas stāsies spēkā ar </w:t>
            </w:r>
            <w:r w:rsidR="00974307">
              <w:rPr>
                <w:rFonts w:ascii="Times New Roman" w:hAnsi="Times New Roman" w:cs="Times New Roman"/>
                <w:sz w:val="24"/>
                <w:szCs w:val="24"/>
                <w:shd w:val="clear" w:color="auto" w:fill="FFFFFF"/>
              </w:rPr>
              <w:t>2025. gada 1. janvār</w:t>
            </w:r>
            <w:r w:rsidR="00724598">
              <w:rPr>
                <w:rFonts w:ascii="Times New Roman" w:hAnsi="Times New Roman" w:cs="Times New Roman"/>
                <w:sz w:val="24"/>
                <w:szCs w:val="24"/>
                <w:shd w:val="clear" w:color="auto" w:fill="FFFFFF"/>
              </w:rPr>
              <w:t>i</w:t>
            </w:r>
            <w:r w:rsidR="00974307" w:rsidRPr="00974307">
              <w:rPr>
                <w:rFonts w:ascii="Times New Roman" w:hAnsi="Times New Roman" w:cs="Times New Roman"/>
                <w:sz w:val="24"/>
                <w:szCs w:val="24"/>
                <w:shd w:val="clear" w:color="auto" w:fill="FFFFFF"/>
              </w:rPr>
              <w:t>, ietver prasību palielināt riska pakāpes, ko izmanto</w:t>
            </w:r>
            <w:r w:rsidR="00974307">
              <w:rPr>
                <w:rFonts w:ascii="Times New Roman" w:hAnsi="Times New Roman" w:cs="Times New Roman"/>
                <w:sz w:val="24"/>
                <w:szCs w:val="24"/>
                <w:shd w:val="clear" w:color="auto" w:fill="FFFFFF"/>
              </w:rPr>
              <w:t>, aprēķinot šiem riska darījumiem k</w:t>
            </w:r>
            <w:r w:rsidR="00974307" w:rsidRPr="00974307">
              <w:rPr>
                <w:rFonts w:ascii="Times New Roman" w:hAnsi="Times New Roman" w:cs="Times New Roman"/>
                <w:sz w:val="24"/>
                <w:szCs w:val="24"/>
                <w:shd w:val="clear" w:color="auto" w:fill="FFFFFF"/>
              </w:rPr>
              <w:t xml:space="preserve">redītriska </w:t>
            </w:r>
            <w:r w:rsidR="00974307">
              <w:rPr>
                <w:rFonts w:ascii="Times New Roman" w:hAnsi="Times New Roman" w:cs="Times New Roman"/>
                <w:sz w:val="24"/>
                <w:szCs w:val="24"/>
                <w:shd w:val="clear" w:color="auto" w:fill="FFFFFF"/>
              </w:rPr>
              <w:t xml:space="preserve">pašu </w:t>
            </w:r>
            <w:r w:rsidR="00974307" w:rsidRPr="00974307">
              <w:rPr>
                <w:rFonts w:ascii="Times New Roman" w:hAnsi="Times New Roman" w:cs="Times New Roman"/>
                <w:sz w:val="24"/>
                <w:szCs w:val="24"/>
                <w:shd w:val="clear" w:color="auto" w:fill="FFFFFF"/>
              </w:rPr>
              <w:t>kapitāla prasību</w:t>
            </w:r>
            <w:r w:rsidR="00B33016" w:rsidRPr="004A4814">
              <w:rPr>
                <w:rFonts w:ascii="Times New Roman" w:hAnsi="Times New Roman" w:cs="Times New Roman"/>
                <w:sz w:val="24"/>
                <w:szCs w:val="24"/>
                <w:shd w:val="clear" w:color="auto" w:fill="FFFFFF"/>
              </w:rPr>
              <w:t>;</w:t>
            </w:r>
          </w:p>
          <w:p w14:paraId="20E39DC7" w14:textId="4C5DF428" w:rsidR="00FF4778" w:rsidRPr="004A4814" w:rsidRDefault="009216DB" w:rsidP="00F61DEB">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7</w:t>
            </w:r>
            <w:r w:rsidR="00FF4778">
              <w:rPr>
                <w:rFonts w:ascii="Times New Roman" w:hAnsi="Times New Roman" w:cs="Times New Roman"/>
                <w:sz w:val="24"/>
                <w:szCs w:val="24"/>
                <w:shd w:val="clear" w:color="auto" w:fill="FFFFFF"/>
              </w:rPr>
              <w:t>) izslē</w:t>
            </w:r>
            <w:r w:rsidR="009D409E">
              <w:rPr>
                <w:rFonts w:ascii="Times New Roman" w:hAnsi="Times New Roman" w:cs="Times New Roman"/>
                <w:sz w:val="24"/>
                <w:szCs w:val="24"/>
                <w:shd w:val="clear" w:color="auto" w:fill="FFFFFF"/>
              </w:rPr>
              <w:t>dz</w:t>
            </w:r>
            <w:r w:rsidR="00FF4778">
              <w:rPr>
                <w:rFonts w:ascii="Times New Roman" w:hAnsi="Times New Roman" w:cs="Times New Roman"/>
                <w:sz w:val="24"/>
                <w:szCs w:val="24"/>
                <w:shd w:val="clear" w:color="auto" w:fill="FFFFFF"/>
              </w:rPr>
              <w:t xml:space="preserve"> prasīb</w:t>
            </w:r>
            <w:r w:rsidR="009D409E">
              <w:rPr>
                <w:rFonts w:ascii="Times New Roman" w:hAnsi="Times New Roman" w:cs="Times New Roman"/>
                <w:sz w:val="24"/>
                <w:szCs w:val="24"/>
                <w:shd w:val="clear" w:color="auto" w:fill="FFFFFF"/>
              </w:rPr>
              <w:t>u</w:t>
            </w:r>
            <w:r w:rsidR="00FF4778">
              <w:rPr>
                <w:rFonts w:ascii="Times New Roman" w:hAnsi="Times New Roman" w:cs="Times New Roman"/>
                <w:sz w:val="24"/>
                <w:szCs w:val="24"/>
                <w:shd w:val="clear" w:color="auto" w:fill="FFFFFF"/>
              </w:rPr>
              <w:t xml:space="preserve"> nozaru koncentrācijas riska segšanai nepieciešamā kapitāla apmēra noteikšanā</w:t>
            </w:r>
            <w:r w:rsidR="00FF4778" w:rsidRPr="00FF4778">
              <w:rPr>
                <w:rFonts w:ascii="Times New Roman" w:hAnsi="Times New Roman" w:cs="Times New Roman"/>
                <w:sz w:val="24"/>
                <w:szCs w:val="24"/>
                <w:shd w:val="clear" w:color="auto" w:fill="FFFFFF"/>
              </w:rPr>
              <w:t xml:space="preserve"> </w:t>
            </w:r>
            <w:r w:rsidR="00FF4778">
              <w:rPr>
                <w:rFonts w:ascii="Times New Roman" w:hAnsi="Times New Roman" w:cs="Times New Roman"/>
                <w:sz w:val="24"/>
                <w:szCs w:val="24"/>
                <w:shd w:val="clear" w:color="auto" w:fill="FFFFFF"/>
              </w:rPr>
              <w:t>kā atsevišķu nozari iekļaut visus riska darījumus ar nerezidentiem </w:t>
            </w:r>
            <w:r w:rsidR="00FF4778" w:rsidRPr="002C329B">
              <w:rPr>
                <w:rFonts w:ascii="Times New Roman" w:hAnsi="Times New Roman" w:cs="Times New Roman"/>
                <w:sz w:val="24"/>
                <w:szCs w:val="24"/>
              </w:rPr>
              <w:t>–</w:t>
            </w:r>
            <w:r w:rsidR="00FF4778">
              <w:rPr>
                <w:rFonts w:ascii="Times New Roman" w:hAnsi="Times New Roman" w:cs="Times New Roman"/>
                <w:sz w:val="24"/>
                <w:szCs w:val="24"/>
              </w:rPr>
              <w:t xml:space="preserve"> uzņēmumiem un finanšu iestādēm;</w:t>
            </w:r>
          </w:p>
          <w:p w14:paraId="344080BD" w14:textId="4B6C7E18" w:rsidR="00B33016" w:rsidRPr="00094AD7" w:rsidRDefault="009216DB" w:rsidP="00D6150A">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8</w:t>
            </w:r>
            <w:r w:rsidR="00B33016" w:rsidRPr="00094AD7">
              <w:rPr>
                <w:rFonts w:ascii="Times New Roman" w:hAnsi="Times New Roman" w:cs="Times New Roman"/>
                <w:sz w:val="24"/>
                <w:szCs w:val="24"/>
                <w:shd w:val="clear" w:color="auto" w:fill="FFFFFF"/>
              </w:rPr>
              <w:t>) nosaka prasību, aprēķinot nodrošinājuma koncentrācijas riska segšanai nepieciešamā kapitāla apmēru saskaņā ar vienkāršoto metodi, attiecībā uz kredītportfeļa sadalījumu pa nodrošinājumu veidiem apvienot vairākus nodrošinājuma veidus viendabīgās grupās un neiekļaut kredītus, kam nav nodrošinājum</w:t>
            </w:r>
            <w:r w:rsidR="00BF3E01">
              <w:rPr>
                <w:rFonts w:ascii="Times New Roman" w:hAnsi="Times New Roman" w:cs="Times New Roman"/>
                <w:sz w:val="24"/>
                <w:szCs w:val="24"/>
                <w:shd w:val="clear" w:color="auto" w:fill="FFFFFF"/>
              </w:rPr>
              <w:t>a</w:t>
            </w:r>
            <w:r w:rsidR="00B33016" w:rsidRPr="00094AD7">
              <w:rPr>
                <w:rFonts w:ascii="Times New Roman" w:hAnsi="Times New Roman" w:cs="Times New Roman"/>
                <w:sz w:val="24"/>
                <w:szCs w:val="24"/>
                <w:shd w:val="clear" w:color="auto" w:fill="FFFFFF"/>
              </w:rPr>
              <w:t>;</w:t>
            </w:r>
          </w:p>
          <w:p w14:paraId="6583E07A" w14:textId="1C2E3736" w:rsidR="00B33016" w:rsidRPr="00094AD7" w:rsidRDefault="009216DB" w:rsidP="00B33016">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9</w:t>
            </w:r>
            <w:r w:rsidR="00B33016" w:rsidRPr="00094AD7">
              <w:rPr>
                <w:rFonts w:ascii="Times New Roman" w:hAnsi="Times New Roman" w:cs="Times New Roman"/>
                <w:sz w:val="24"/>
                <w:szCs w:val="24"/>
                <w:shd w:val="clear" w:color="auto" w:fill="FFFFFF"/>
              </w:rPr>
              <w:t xml:space="preserve">) nosaka jaunu vienkāršoto metodi </w:t>
            </w:r>
            <w:r w:rsidR="00D74F1C" w:rsidRPr="00094AD7">
              <w:rPr>
                <w:rFonts w:ascii="Times New Roman" w:hAnsi="Times New Roman" w:cs="Times New Roman"/>
                <w:sz w:val="24"/>
                <w:szCs w:val="24"/>
                <w:shd w:val="clear" w:color="auto" w:fill="FFFFFF"/>
              </w:rPr>
              <w:t xml:space="preserve">noziedzīgi iegūtu līdzekļu legalizācijas un terorisma un proliferācijas finansēšanas </w:t>
            </w:r>
            <w:r w:rsidR="00B33016" w:rsidRPr="00094AD7">
              <w:rPr>
                <w:rFonts w:ascii="Times New Roman" w:hAnsi="Times New Roman" w:cs="Times New Roman"/>
                <w:sz w:val="24"/>
                <w:szCs w:val="24"/>
                <w:shd w:val="clear" w:color="auto" w:fill="FFFFFF"/>
              </w:rPr>
              <w:t xml:space="preserve">riska segšanai nepieciešamā kapitāla apmēra noteikšanai, ievērojot Latvijas Bankas lietoto metodi </w:t>
            </w:r>
            <w:r w:rsidR="00D74F1C" w:rsidRPr="00094AD7">
              <w:rPr>
                <w:rFonts w:ascii="Times New Roman" w:hAnsi="Times New Roman" w:cs="Times New Roman"/>
                <w:sz w:val="24"/>
                <w:szCs w:val="24"/>
                <w:shd w:val="clear" w:color="auto" w:fill="FFFFFF"/>
              </w:rPr>
              <w:t xml:space="preserve">minētā </w:t>
            </w:r>
            <w:r w:rsidR="00B33016" w:rsidRPr="00094AD7">
              <w:rPr>
                <w:rFonts w:ascii="Times New Roman" w:hAnsi="Times New Roman" w:cs="Times New Roman"/>
                <w:sz w:val="24"/>
                <w:szCs w:val="24"/>
                <w:shd w:val="clear" w:color="auto" w:fill="FFFFFF"/>
              </w:rPr>
              <w:t>riska segšanai nepieciešamā kapitāla apmēra noteikšanai uzraudzības pārbaudes un novērtēšanas procesa ietvaros</w:t>
            </w:r>
            <w:r w:rsidR="00F31EDC" w:rsidRPr="00094AD7">
              <w:rPr>
                <w:rFonts w:ascii="Times New Roman" w:hAnsi="Times New Roman" w:cs="Times New Roman"/>
                <w:sz w:val="24"/>
                <w:szCs w:val="24"/>
                <w:shd w:val="clear" w:color="auto" w:fill="FFFFFF"/>
              </w:rPr>
              <w:t xml:space="preserve"> un </w:t>
            </w:r>
            <w:r w:rsidR="00B66FC8" w:rsidRPr="00094AD7">
              <w:rPr>
                <w:rFonts w:ascii="Times New Roman" w:hAnsi="Times New Roman" w:cs="Times New Roman"/>
                <w:sz w:val="24"/>
                <w:szCs w:val="24"/>
                <w:shd w:val="clear" w:color="auto" w:fill="FFFFFF"/>
              </w:rPr>
              <w:t>tādējādi nodrošinot vienotu pieeju</w:t>
            </w:r>
            <w:r w:rsidR="00B33016" w:rsidRPr="0047698A">
              <w:rPr>
                <w:rFonts w:ascii="Times New Roman" w:hAnsi="Times New Roman" w:cs="Times New Roman"/>
                <w:sz w:val="24"/>
                <w:szCs w:val="24"/>
                <w:shd w:val="clear" w:color="auto" w:fill="FFFFFF"/>
              </w:rPr>
              <w:t>;</w:t>
            </w:r>
          </w:p>
          <w:p w14:paraId="332CCB16" w14:textId="529E161E" w:rsidR="00B33016" w:rsidRPr="000C4FC6" w:rsidRDefault="009216DB" w:rsidP="00B33016">
            <w:pPr>
              <w:jc w:val="both"/>
              <w:rPr>
                <w:rFonts w:ascii="Times New Roman" w:hAnsi="Times New Roman" w:cs="Times New Roman"/>
                <w:sz w:val="24"/>
                <w:szCs w:val="24"/>
                <w:shd w:val="clear" w:color="auto" w:fill="FFFFFF"/>
              </w:rPr>
            </w:pPr>
            <w:r w:rsidRPr="000C4FC6">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0</w:t>
            </w:r>
            <w:r w:rsidR="00B33016" w:rsidRPr="000C4FC6">
              <w:rPr>
                <w:rFonts w:ascii="Times New Roman" w:hAnsi="Times New Roman" w:cs="Times New Roman"/>
                <w:sz w:val="24"/>
                <w:szCs w:val="24"/>
                <w:shd w:val="clear" w:color="auto" w:fill="FFFFFF"/>
              </w:rPr>
              <w:t xml:space="preserve">) izslēdz pašlaik </w:t>
            </w:r>
            <w:r w:rsidR="009D409E">
              <w:rPr>
                <w:rFonts w:ascii="Times New Roman" w:hAnsi="Times New Roman" w:cs="Times New Roman"/>
                <w:sz w:val="24"/>
                <w:szCs w:val="24"/>
                <w:shd w:val="clear" w:color="auto" w:fill="FFFFFF"/>
              </w:rPr>
              <w:t>N</w:t>
            </w:r>
            <w:r w:rsidR="00B33016" w:rsidRPr="000C4FC6">
              <w:rPr>
                <w:rFonts w:ascii="Times New Roman" w:hAnsi="Times New Roman" w:cs="Times New Roman"/>
                <w:sz w:val="24"/>
                <w:szCs w:val="24"/>
                <w:shd w:val="clear" w:color="auto" w:fill="FFFFFF"/>
              </w:rPr>
              <w:t>oteikumos Nr.</w:t>
            </w:r>
            <w:r w:rsidR="004A3786" w:rsidRPr="000C4FC6">
              <w:rPr>
                <w:rFonts w:ascii="Times New Roman" w:hAnsi="Times New Roman" w:cs="Times New Roman"/>
                <w:sz w:val="24"/>
                <w:szCs w:val="24"/>
                <w:shd w:val="clear" w:color="auto" w:fill="FFFFFF"/>
              </w:rPr>
              <w:t> </w:t>
            </w:r>
            <w:r w:rsidR="00B33016" w:rsidRPr="000C4FC6">
              <w:rPr>
                <w:rFonts w:ascii="Times New Roman" w:hAnsi="Times New Roman" w:cs="Times New Roman"/>
                <w:sz w:val="24"/>
                <w:szCs w:val="24"/>
                <w:shd w:val="clear" w:color="auto" w:fill="FFFFFF"/>
              </w:rPr>
              <w:t>209 (62.</w:t>
            </w:r>
            <w:r w:rsidR="004A3786" w:rsidRPr="000C4FC6">
              <w:rPr>
                <w:rFonts w:ascii="Times New Roman" w:hAnsi="Times New Roman" w:cs="Times New Roman"/>
                <w:sz w:val="24"/>
                <w:szCs w:val="24"/>
                <w:shd w:val="clear" w:color="auto" w:fill="FFFFFF"/>
              </w:rPr>
              <w:t> </w:t>
            </w:r>
            <w:r w:rsidR="00B33016" w:rsidRPr="000C4FC6">
              <w:rPr>
                <w:rFonts w:ascii="Times New Roman" w:hAnsi="Times New Roman" w:cs="Times New Roman"/>
                <w:sz w:val="24"/>
                <w:szCs w:val="24"/>
                <w:shd w:val="clear" w:color="auto" w:fill="FFFFFF"/>
              </w:rPr>
              <w:t>punkts) noteiktās detalizētās prasības biznesa modeļa dzīvotspējas un ilgtspējas, kā arī tā dzīvotspējas un ilgtspējas pakļautības būtiskiem riskiem analīz</w:t>
            </w:r>
            <w:r w:rsidR="00D74F1C" w:rsidRPr="000C4FC6">
              <w:rPr>
                <w:rFonts w:ascii="Times New Roman" w:hAnsi="Times New Roman" w:cs="Times New Roman"/>
                <w:sz w:val="24"/>
                <w:szCs w:val="24"/>
                <w:shd w:val="clear" w:color="auto" w:fill="FFFFFF"/>
              </w:rPr>
              <w:t>e</w:t>
            </w:r>
            <w:r w:rsidR="00B33016" w:rsidRPr="000C4FC6">
              <w:rPr>
                <w:rFonts w:ascii="Times New Roman" w:hAnsi="Times New Roman" w:cs="Times New Roman"/>
                <w:sz w:val="24"/>
                <w:szCs w:val="24"/>
                <w:shd w:val="clear" w:color="auto" w:fill="FFFFFF"/>
              </w:rPr>
              <w:t>i un izvērtēšanai</w:t>
            </w:r>
            <w:r w:rsidR="001540A0" w:rsidRPr="000C4FC6">
              <w:rPr>
                <w:rFonts w:ascii="Times New Roman" w:hAnsi="Times New Roman" w:cs="Times New Roman"/>
                <w:sz w:val="24"/>
                <w:szCs w:val="24"/>
                <w:shd w:val="clear" w:color="auto" w:fill="FFFFFF"/>
              </w:rPr>
              <w:t xml:space="preserve">. Minētās prasības </w:t>
            </w:r>
            <w:r w:rsidR="001540A0" w:rsidRPr="00B64D23">
              <w:rPr>
                <w:rFonts w:ascii="Times New Roman" w:hAnsi="Times New Roman" w:cs="Times New Roman"/>
                <w:sz w:val="24"/>
                <w:szCs w:val="24"/>
                <w:shd w:val="clear" w:color="auto" w:fill="FFFFFF"/>
              </w:rPr>
              <w:t>iekļaut</w:t>
            </w:r>
            <w:r w:rsidR="00B64D23" w:rsidRPr="00B64D23">
              <w:rPr>
                <w:rFonts w:ascii="Times New Roman" w:hAnsi="Times New Roman" w:cs="Times New Roman"/>
                <w:sz w:val="24"/>
                <w:szCs w:val="24"/>
                <w:shd w:val="clear" w:color="auto" w:fill="FFFFFF"/>
              </w:rPr>
              <w:t>as</w:t>
            </w:r>
            <w:r w:rsidR="001540A0" w:rsidRPr="000C4FC6">
              <w:rPr>
                <w:rFonts w:ascii="Times New Roman" w:hAnsi="Times New Roman" w:cs="Times New Roman"/>
                <w:sz w:val="24"/>
                <w:szCs w:val="24"/>
                <w:shd w:val="clear" w:color="auto" w:fill="FFFFFF"/>
              </w:rPr>
              <w:t xml:space="preserve"> Latvijas Bankas </w:t>
            </w:r>
            <w:r w:rsidR="001B2DCB">
              <w:rPr>
                <w:rFonts w:ascii="Times New Roman" w:hAnsi="Times New Roman" w:cs="Times New Roman"/>
                <w:sz w:val="24"/>
                <w:szCs w:val="24"/>
                <w:shd w:val="clear" w:color="auto" w:fill="FFFFFF"/>
              </w:rPr>
              <w:t>ieteikumos par stratēģijas dokumenta tvērumu un kvalitāti, stratēģijas noteikšanas un tās pārvaldības procesu</w:t>
            </w:r>
            <w:r w:rsidR="00B64D23">
              <w:rPr>
                <w:rFonts w:ascii="Times New Roman" w:hAnsi="Times New Roman" w:cs="Times New Roman"/>
                <w:sz w:val="24"/>
                <w:szCs w:val="24"/>
                <w:shd w:val="clear" w:color="auto" w:fill="FFFFFF"/>
              </w:rPr>
              <w:t xml:space="preserve"> (</w:t>
            </w:r>
            <w:r w:rsidR="009D409E">
              <w:rPr>
                <w:rFonts w:ascii="Times New Roman" w:hAnsi="Times New Roman" w:cs="Times New Roman"/>
                <w:sz w:val="24"/>
                <w:szCs w:val="24"/>
                <w:shd w:val="clear" w:color="auto" w:fill="FFFFFF"/>
              </w:rPr>
              <w:t>sk.</w:t>
            </w:r>
            <w:r w:rsidR="00B64D23">
              <w:rPr>
                <w:rFonts w:ascii="Times New Roman" w:hAnsi="Times New Roman" w:cs="Times New Roman"/>
                <w:sz w:val="24"/>
                <w:szCs w:val="24"/>
                <w:shd w:val="clear" w:color="auto" w:fill="FFFFFF"/>
              </w:rPr>
              <w:t xml:space="preserve">: </w:t>
            </w:r>
            <w:hyperlink r:id="rId13" w:history="1">
              <w:r w:rsidR="001B2DCB">
                <w:rPr>
                  <w:rStyle w:val="Hyperlink"/>
                  <w:rFonts w:ascii="Times New Roman" w:hAnsi="Times New Roman" w:cs="Times New Roman"/>
                  <w:sz w:val="24"/>
                  <w:szCs w:val="24"/>
                </w:rPr>
                <w:t>Ieteikumi par stratēģijas dokumenta tvērumu un kvalitāti, stratēģijas noteikšanas un tās pārvaldības procesu</w:t>
              </w:r>
            </w:hyperlink>
            <w:r w:rsidR="00B64D23" w:rsidRPr="00FF0E37">
              <w:rPr>
                <w:rFonts w:ascii="Times New Roman" w:hAnsi="Times New Roman" w:cs="Times New Roman"/>
                <w:sz w:val="24"/>
                <w:szCs w:val="24"/>
                <w:shd w:val="clear" w:color="auto" w:fill="FFFFFF"/>
              </w:rPr>
              <w:t>)</w:t>
            </w:r>
            <w:r w:rsidR="00B33016" w:rsidRPr="000C4FC6">
              <w:rPr>
                <w:rFonts w:ascii="Times New Roman" w:hAnsi="Times New Roman" w:cs="Times New Roman"/>
                <w:sz w:val="24"/>
                <w:szCs w:val="24"/>
                <w:shd w:val="clear" w:color="auto" w:fill="FFFFFF"/>
              </w:rPr>
              <w:t>;</w:t>
            </w:r>
          </w:p>
          <w:p w14:paraId="143983A6" w14:textId="04E2DFCE" w:rsidR="00B33016" w:rsidRPr="002E7AB6" w:rsidRDefault="009216DB" w:rsidP="00B33016">
            <w:pPr>
              <w:jc w:val="both"/>
              <w:rPr>
                <w:rFonts w:ascii="Times New Roman" w:hAnsi="Times New Roman" w:cs="Times New Roman"/>
                <w:sz w:val="24"/>
                <w:szCs w:val="24"/>
                <w:shd w:val="clear" w:color="auto" w:fill="FFFFFF"/>
              </w:rPr>
            </w:pPr>
            <w:r w:rsidRPr="002E7AB6">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1</w:t>
            </w:r>
            <w:r w:rsidR="00B33016" w:rsidRPr="002E7AB6">
              <w:rPr>
                <w:rFonts w:ascii="Times New Roman" w:hAnsi="Times New Roman" w:cs="Times New Roman"/>
                <w:sz w:val="24"/>
                <w:szCs w:val="24"/>
                <w:shd w:val="clear" w:color="auto" w:fill="FFFFFF"/>
              </w:rPr>
              <w:t xml:space="preserve">) precizē </w:t>
            </w:r>
            <w:r w:rsidR="002E7AB6" w:rsidRPr="002E7AB6">
              <w:rPr>
                <w:rFonts w:ascii="Times New Roman" w:hAnsi="Times New Roman" w:cs="Times New Roman"/>
                <w:sz w:val="24"/>
                <w:szCs w:val="24"/>
                <w:shd w:val="clear" w:color="auto" w:fill="FFFFFF"/>
              </w:rPr>
              <w:t xml:space="preserve">papildu </w:t>
            </w:r>
            <w:r w:rsidR="00B33016" w:rsidRPr="002E7AB6">
              <w:rPr>
                <w:rFonts w:ascii="Times New Roman" w:hAnsi="Times New Roman" w:cs="Times New Roman"/>
                <w:sz w:val="24"/>
                <w:szCs w:val="24"/>
                <w:shd w:val="clear" w:color="auto" w:fill="FFFFFF"/>
              </w:rPr>
              <w:t>kapitāla rezerves noteikšanas kārtību;</w:t>
            </w:r>
          </w:p>
          <w:p w14:paraId="5E8AB467" w14:textId="29203B6F" w:rsidR="00B33016" w:rsidRDefault="009216DB" w:rsidP="00B33016">
            <w:pPr>
              <w:jc w:val="both"/>
              <w:rPr>
                <w:rFonts w:ascii="Times New Roman" w:hAnsi="Times New Roman" w:cs="Times New Roman"/>
                <w:sz w:val="24"/>
                <w:szCs w:val="24"/>
                <w:shd w:val="clear" w:color="auto" w:fill="FFFFFF"/>
              </w:rPr>
            </w:pPr>
            <w:r w:rsidRPr="00DA2F62">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2</w:t>
            </w:r>
            <w:r w:rsidR="00B33016" w:rsidRPr="00DA2F62">
              <w:rPr>
                <w:rFonts w:ascii="Times New Roman" w:hAnsi="Times New Roman" w:cs="Times New Roman"/>
                <w:sz w:val="24"/>
                <w:szCs w:val="24"/>
                <w:shd w:val="clear" w:color="auto" w:fill="FFFFFF"/>
              </w:rPr>
              <w:t xml:space="preserve">) nosaka jaunas prasības </w:t>
            </w:r>
            <w:r w:rsidR="003656A3" w:rsidRPr="00DA2F62">
              <w:rPr>
                <w:rFonts w:ascii="Times New Roman" w:hAnsi="Times New Roman" w:cs="Times New Roman"/>
                <w:sz w:val="24"/>
                <w:szCs w:val="24"/>
                <w:shd w:val="clear" w:color="auto" w:fill="FFFFFF"/>
              </w:rPr>
              <w:t xml:space="preserve">pārmērīgas sviras riska </w:t>
            </w:r>
            <w:r w:rsidR="00B33016" w:rsidRPr="00DA2F62">
              <w:rPr>
                <w:rFonts w:ascii="Times New Roman" w:hAnsi="Times New Roman" w:cs="Times New Roman"/>
                <w:sz w:val="24"/>
                <w:szCs w:val="24"/>
                <w:shd w:val="clear" w:color="auto" w:fill="FFFFFF"/>
              </w:rPr>
              <w:t>kapitāla rezerves noteikšanai;</w:t>
            </w:r>
          </w:p>
          <w:p w14:paraId="0A426F90" w14:textId="5494C985" w:rsidR="00CA160A" w:rsidRPr="00DA2F62" w:rsidRDefault="009216DB" w:rsidP="00B33016">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13</w:t>
            </w:r>
            <w:r w:rsidR="008E2FBC">
              <w:rPr>
                <w:rFonts w:ascii="Times New Roman" w:hAnsi="Times New Roman" w:cs="Times New Roman"/>
                <w:sz w:val="24"/>
                <w:szCs w:val="24"/>
                <w:shd w:val="clear" w:color="auto" w:fill="FFFFFF"/>
              </w:rPr>
              <w:t xml:space="preserve">) </w:t>
            </w:r>
            <w:r w:rsidR="008E2FBC" w:rsidRPr="008E2FBC">
              <w:rPr>
                <w:rFonts w:ascii="Times New Roman" w:hAnsi="Times New Roman" w:cs="Times New Roman"/>
                <w:sz w:val="24"/>
                <w:szCs w:val="24"/>
                <w:shd w:val="clear" w:color="auto" w:fill="FFFFFF"/>
              </w:rPr>
              <w:t xml:space="preserve">nosaka prasību veikt reverso stresa testēšanu, lai nodrošinātu papildu kapitāla rezerves </w:t>
            </w:r>
            <w:r w:rsidR="008E2FBC">
              <w:rPr>
                <w:rFonts w:ascii="Times New Roman" w:hAnsi="Times New Roman" w:cs="Times New Roman"/>
                <w:sz w:val="24"/>
                <w:szCs w:val="24"/>
                <w:shd w:val="clear" w:color="auto" w:fill="FFFFFF"/>
              </w:rPr>
              <w:t xml:space="preserve">un </w:t>
            </w:r>
            <w:r w:rsidR="008E2FBC" w:rsidRPr="008E2FBC">
              <w:rPr>
                <w:rFonts w:ascii="Times New Roman" w:hAnsi="Times New Roman" w:cs="Times New Roman"/>
                <w:sz w:val="24"/>
                <w:szCs w:val="24"/>
                <w:shd w:val="clear" w:color="auto" w:fill="FFFFFF"/>
              </w:rPr>
              <w:t>pārmērīgas sviras riska kapitāla rezerves noteikšanā izmantoto būtiski nelabvēlīgu scenāriju smaguma izvērtēšanu</w:t>
            </w:r>
            <w:r w:rsidR="008E2FBC">
              <w:rPr>
                <w:rFonts w:ascii="Times New Roman" w:hAnsi="Times New Roman" w:cs="Times New Roman"/>
                <w:sz w:val="24"/>
                <w:szCs w:val="24"/>
                <w:shd w:val="clear" w:color="auto" w:fill="FFFFFF"/>
              </w:rPr>
              <w:t>;</w:t>
            </w:r>
          </w:p>
          <w:p w14:paraId="7417869F" w14:textId="0D3579F2" w:rsidR="00212420" w:rsidRDefault="009216DB" w:rsidP="00B33016">
            <w:pPr>
              <w:jc w:val="both"/>
              <w:rPr>
                <w:rFonts w:ascii="Times New Roman" w:hAnsi="Times New Roman" w:cs="Times New Roman"/>
                <w:sz w:val="24"/>
                <w:szCs w:val="24"/>
                <w:shd w:val="clear" w:color="auto" w:fill="FFFFFF"/>
              </w:rPr>
            </w:pPr>
            <w:r w:rsidRPr="00DA2F62">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4</w:t>
            </w:r>
            <w:r w:rsidR="00212420" w:rsidRPr="00DA2F62">
              <w:rPr>
                <w:rFonts w:ascii="Times New Roman" w:hAnsi="Times New Roman" w:cs="Times New Roman"/>
                <w:sz w:val="24"/>
                <w:szCs w:val="24"/>
                <w:shd w:val="clear" w:color="auto" w:fill="FFFFFF"/>
              </w:rPr>
              <w:t xml:space="preserve">) izslēdz </w:t>
            </w:r>
            <w:r w:rsidR="00F25A62">
              <w:rPr>
                <w:rFonts w:ascii="Times New Roman" w:hAnsi="Times New Roman" w:cs="Times New Roman"/>
                <w:sz w:val="24"/>
                <w:szCs w:val="24"/>
                <w:shd w:val="clear" w:color="auto" w:fill="FFFFFF"/>
              </w:rPr>
              <w:t xml:space="preserve">prasību noteikt papildu kapitāla </w:t>
            </w:r>
            <w:r w:rsidR="00212420" w:rsidRPr="00DA2F62">
              <w:rPr>
                <w:rFonts w:ascii="Times New Roman" w:hAnsi="Times New Roman" w:cs="Times New Roman"/>
                <w:sz w:val="24"/>
                <w:szCs w:val="24"/>
                <w:shd w:val="clear" w:color="auto" w:fill="FFFFFF"/>
              </w:rPr>
              <w:t>prasību</w:t>
            </w:r>
            <w:r w:rsidR="00F25A62">
              <w:rPr>
                <w:rFonts w:ascii="Times New Roman" w:hAnsi="Times New Roman" w:cs="Times New Roman"/>
                <w:sz w:val="24"/>
                <w:szCs w:val="24"/>
                <w:shd w:val="clear" w:color="auto" w:fill="FFFFFF"/>
              </w:rPr>
              <w:t xml:space="preserve">, ja saskaņā ar kredītiestādes novērtējumu </w:t>
            </w:r>
            <w:r w:rsidR="00F25A62" w:rsidRPr="00F25A62">
              <w:rPr>
                <w:rFonts w:ascii="Times New Roman" w:hAnsi="Times New Roman" w:cs="Times New Roman"/>
                <w:sz w:val="24"/>
                <w:szCs w:val="24"/>
                <w:shd w:val="clear" w:color="auto" w:fill="FFFFFF"/>
              </w:rPr>
              <w:t>kopēj</w:t>
            </w:r>
            <w:r w:rsidR="00F25A62">
              <w:rPr>
                <w:rFonts w:ascii="Times New Roman" w:hAnsi="Times New Roman" w:cs="Times New Roman"/>
                <w:sz w:val="24"/>
                <w:szCs w:val="24"/>
                <w:shd w:val="clear" w:color="auto" w:fill="FFFFFF"/>
              </w:rPr>
              <w:t>o</w:t>
            </w:r>
            <w:r w:rsidR="00F25A62" w:rsidRPr="00F25A62">
              <w:rPr>
                <w:rFonts w:ascii="Times New Roman" w:hAnsi="Times New Roman" w:cs="Times New Roman"/>
                <w:sz w:val="24"/>
                <w:szCs w:val="24"/>
                <w:shd w:val="clear" w:color="auto" w:fill="FFFFFF"/>
              </w:rPr>
              <w:t xml:space="preserve"> risku segšanai nepieciešamā kapitāla apmēr</w:t>
            </w:r>
            <w:r w:rsidR="00F25A62">
              <w:rPr>
                <w:rFonts w:ascii="Times New Roman" w:hAnsi="Times New Roman" w:cs="Times New Roman"/>
                <w:sz w:val="24"/>
                <w:szCs w:val="24"/>
                <w:shd w:val="clear" w:color="auto" w:fill="FFFFFF"/>
              </w:rPr>
              <w:t xml:space="preserve">s ir mazāks nekā tai </w:t>
            </w:r>
            <w:r w:rsidR="00F25A62" w:rsidRPr="00F25A62">
              <w:rPr>
                <w:rFonts w:ascii="Times New Roman" w:hAnsi="Times New Roman" w:cs="Times New Roman"/>
                <w:sz w:val="24"/>
                <w:szCs w:val="24"/>
                <w:shd w:val="clear" w:color="auto" w:fill="FFFFFF"/>
              </w:rPr>
              <w:t xml:space="preserve">saskaņā ar </w:t>
            </w:r>
            <w:r w:rsidR="00F25A62">
              <w:rPr>
                <w:rFonts w:ascii="Times New Roman" w:hAnsi="Times New Roman" w:cs="Times New Roman"/>
                <w:sz w:val="24"/>
                <w:szCs w:val="24"/>
                <w:shd w:val="clear" w:color="auto" w:fill="FFFFFF"/>
              </w:rPr>
              <w:t>Regulas Nr. 575/2013 92. panta 1. punkta "a", "b" un "c" apakšpunktu</w:t>
            </w:r>
            <w:r w:rsidR="00F25A62" w:rsidRPr="00F25A62">
              <w:rPr>
                <w:rFonts w:ascii="Times New Roman" w:hAnsi="Times New Roman" w:cs="Times New Roman"/>
                <w:sz w:val="24"/>
                <w:szCs w:val="24"/>
                <w:shd w:val="clear" w:color="auto" w:fill="FFFFFF"/>
              </w:rPr>
              <w:t xml:space="preserve"> un Kredītiestāžu likuma 101.</w:t>
            </w:r>
            <w:r w:rsidR="00F25A62" w:rsidRPr="00F25A62">
              <w:rPr>
                <w:rFonts w:ascii="Times New Roman" w:hAnsi="Times New Roman" w:cs="Times New Roman"/>
                <w:sz w:val="24"/>
                <w:szCs w:val="24"/>
                <w:shd w:val="clear" w:color="auto" w:fill="FFFFFF"/>
                <w:vertAlign w:val="superscript"/>
              </w:rPr>
              <w:t>3</w:t>
            </w:r>
            <w:r w:rsidR="00F25A62">
              <w:rPr>
                <w:rFonts w:ascii="Times New Roman" w:hAnsi="Times New Roman" w:cs="Times New Roman"/>
                <w:sz w:val="24"/>
                <w:szCs w:val="24"/>
                <w:shd w:val="clear" w:color="auto" w:fill="FFFFFF"/>
                <w:vertAlign w:val="superscript"/>
              </w:rPr>
              <w:t> </w:t>
            </w:r>
            <w:r w:rsidR="00F25A62" w:rsidRPr="00F25A62">
              <w:rPr>
                <w:rFonts w:ascii="Times New Roman" w:hAnsi="Times New Roman" w:cs="Times New Roman"/>
                <w:sz w:val="24"/>
                <w:szCs w:val="24"/>
                <w:shd w:val="clear" w:color="auto" w:fill="FFFFFF"/>
              </w:rPr>
              <w:t>panta 4.</w:t>
            </w:r>
            <w:r w:rsidR="00F25A62" w:rsidRPr="00F25A62">
              <w:rPr>
                <w:rFonts w:ascii="Times New Roman" w:hAnsi="Times New Roman" w:cs="Times New Roman"/>
                <w:sz w:val="24"/>
                <w:szCs w:val="24"/>
                <w:shd w:val="clear" w:color="auto" w:fill="FFFFFF"/>
                <w:vertAlign w:val="superscript"/>
              </w:rPr>
              <w:t>4</w:t>
            </w:r>
            <w:r w:rsidR="00F25A62">
              <w:rPr>
                <w:rFonts w:ascii="Times New Roman" w:hAnsi="Times New Roman" w:cs="Times New Roman"/>
                <w:sz w:val="24"/>
                <w:szCs w:val="24"/>
                <w:shd w:val="clear" w:color="auto" w:fill="FFFFFF"/>
                <w:vertAlign w:val="superscript"/>
              </w:rPr>
              <w:t> </w:t>
            </w:r>
            <w:r w:rsidR="00F25A62" w:rsidRPr="00F25A62">
              <w:rPr>
                <w:rFonts w:ascii="Times New Roman" w:hAnsi="Times New Roman" w:cs="Times New Roman"/>
                <w:sz w:val="24"/>
                <w:szCs w:val="24"/>
                <w:shd w:val="clear" w:color="auto" w:fill="FFFFFF"/>
              </w:rPr>
              <w:t>daļas 1.</w:t>
            </w:r>
            <w:r w:rsidR="00F25A62">
              <w:rPr>
                <w:rFonts w:ascii="Times New Roman" w:hAnsi="Times New Roman" w:cs="Times New Roman"/>
                <w:sz w:val="24"/>
                <w:szCs w:val="24"/>
                <w:shd w:val="clear" w:color="auto" w:fill="FFFFFF"/>
              </w:rPr>
              <w:t> </w:t>
            </w:r>
            <w:r w:rsidR="00F25A62" w:rsidRPr="00F25A62">
              <w:rPr>
                <w:rFonts w:ascii="Times New Roman" w:hAnsi="Times New Roman" w:cs="Times New Roman"/>
                <w:sz w:val="24"/>
                <w:szCs w:val="24"/>
                <w:shd w:val="clear" w:color="auto" w:fill="FFFFFF"/>
              </w:rPr>
              <w:t xml:space="preserve">punktu </w:t>
            </w:r>
            <w:r w:rsidR="00F25A62">
              <w:rPr>
                <w:rFonts w:ascii="Times New Roman" w:hAnsi="Times New Roman" w:cs="Times New Roman"/>
                <w:sz w:val="24"/>
                <w:szCs w:val="24"/>
                <w:shd w:val="clear" w:color="auto" w:fill="FFFFFF"/>
              </w:rPr>
              <w:t>noteiktais pašu kapitāla prasību apmērs</w:t>
            </w:r>
            <w:r w:rsidR="00212420" w:rsidRPr="00DA2F62">
              <w:rPr>
                <w:rFonts w:ascii="Times New Roman" w:hAnsi="Times New Roman" w:cs="Times New Roman"/>
                <w:sz w:val="24"/>
                <w:szCs w:val="24"/>
                <w:shd w:val="clear" w:color="auto" w:fill="FFFFFF"/>
              </w:rPr>
              <w:t>;</w:t>
            </w:r>
          </w:p>
          <w:p w14:paraId="066DAC66" w14:textId="5793F861" w:rsidR="006252BF" w:rsidRDefault="009216DB" w:rsidP="00B33016">
            <w:pPr>
              <w:jc w:val="both"/>
              <w:rPr>
                <w:rFonts w:ascii="Times New Roman" w:hAnsi="Times New Roman" w:cs="Times New Roman"/>
                <w:sz w:val="24"/>
                <w:szCs w:val="24"/>
                <w:highlight w:val="yellow"/>
                <w:shd w:val="clear" w:color="auto" w:fill="FFFFFF"/>
              </w:rPr>
            </w:pPr>
            <w:r>
              <w:rPr>
                <w:rFonts w:ascii="Times New Roman" w:hAnsi="Times New Roman" w:cs="Times New Roman"/>
                <w:sz w:val="24"/>
                <w:szCs w:val="24"/>
                <w:shd w:val="clear" w:color="auto" w:fill="FFFFFF"/>
              </w:rPr>
              <w:t>15</w:t>
            </w:r>
            <w:r w:rsidR="003811B6">
              <w:rPr>
                <w:rFonts w:ascii="Times New Roman" w:hAnsi="Times New Roman" w:cs="Times New Roman"/>
                <w:sz w:val="24"/>
                <w:szCs w:val="24"/>
                <w:shd w:val="clear" w:color="auto" w:fill="FFFFFF"/>
              </w:rPr>
              <w:t xml:space="preserve">) </w:t>
            </w:r>
            <w:r w:rsidR="00B33016" w:rsidRPr="00C21D36">
              <w:rPr>
                <w:rFonts w:ascii="Times New Roman" w:hAnsi="Times New Roman" w:cs="Times New Roman"/>
                <w:sz w:val="24"/>
                <w:szCs w:val="24"/>
                <w:shd w:val="clear" w:color="auto" w:fill="FFFFFF"/>
              </w:rPr>
              <w:t>precizē pārskatā par kapitāla pietiekamības novērtēšanas procesu iekļaujamo informāciju</w:t>
            </w:r>
            <w:r w:rsidR="006252BF" w:rsidRPr="008B5D29">
              <w:rPr>
                <w:rFonts w:ascii="Times New Roman" w:hAnsi="Times New Roman" w:cs="Times New Roman"/>
                <w:sz w:val="24"/>
                <w:szCs w:val="24"/>
                <w:shd w:val="clear" w:color="auto" w:fill="FFFFFF"/>
              </w:rPr>
              <w:t>;</w:t>
            </w:r>
          </w:p>
          <w:p w14:paraId="78A48DEF" w14:textId="0D1D29E6" w:rsidR="00B33016" w:rsidRPr="000D30BF" w:rsidRDefault="009216DB" w:rsidP="000D3D71">
            <w:pPr>
              <w:jc w:val="both"/>
              <w:rPr>
                <w:rFonts w:ascii="Times New Roman" w:hAnsi="Times New Roman" w:cs="Times New Roman"/>
                <w:sz w:val="24"/>
                <w:szCs w:val="24"/>
                <w:shd w:val="clear" w:color="auto" w:fill="FFFFFF"/>
              </w:rPr>
            </w:pPr>
            <w:r w:rsidRPr="008B5D29">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6</w:t>
            </w:r>
            <w:r w:rsidR="006252BF" w:rsidRPr="008B5D29">
              <w:rPr>
                <w:rFonts w:ascii="Times New Roman" w:hAnsi="Times New Roman" w:cs="Times New Roman"/>
                <w:sz w:val="24"/>
                <w:szCs w:val="24"/>
                <w:shd w:val="clear" w:color="auto" w:fill="FFFFFF"/>
              </w:rPr>
              <w:t xml:space="preserve">) </w:t>
            </w:r>
            <w:r w:rsidR="006252BF" w:rsidRPr="000D30BF">
              <w:rPr>
                <w:rFonts w:ascii="Times New Roman" w:hAnsi="Times New Roman" w:cs="Times New Roman"/>
                <w:sz w:val="24"/>
                <w:szCs w:val="24"/>
                <w:shd w:val="clear" w:color="auto" w:fill="FFFFFF"/>
              </w:rPr>
              <w:t xml:space="preserve">attiecībā uz kredītiestādi, kura saskaņā ar Latvijas Bankas padomes lēmumu nav identificēta kā cita sistēmiski nozīmīga iestāde Kredītiestāžu likuma izpratnē, nosaka </w:t>
            </w:r>
            <w:r w:rsidR="000D30BF" w:rsidRPr="000D30BF">
              <w:rPr>
                <w:rFonts w:ascii="Times New Roman" w:hAnsi="Times New Roman" w:cs="Times New Roman"/>
                <w:sz w:val="24"/>
                <w:szCs w:val="24"/>
                <w:shd w:val="clear" w:color="auto" w:fill="FFFFFF"/>
              </w:rPr>
              <w:t xml:space="preserve">informācijas </w:t>
            </w:r>
            <w:r w:rsidR="000D3D71" w:rsidRPr="000D30BF">
              <w:rPr>
                <w:rFonts w:ascii="Times New Roman" w:hAnsi="Times New Roman" w:cs="Times New Roman"/>
                <w:sz w:val="24"/>
                <w:szCs w:val="24"/>
                <w:shd w:val="clear" w:color="auto" w:fill="FFFFFF"/>
              </w:rPr>
              <w:t xml:space="preserve">par kapitāla pietiekamības novērtēšanas procesu sniegšanas </w:t>
            </w:r>
            <w:r w:rsidR="000407A4" w:rsidRPr="000D30BF">
              <w:rPr>
                <w:rFonts w:ascii="Times New Roman" w:hAnsi="Times New Roman" w:cs="Times New Roman"/>
                <w:sz w:val="24"/>
                <w:szCs w:val="24"/>
                <w:shd w:val="clear" w:color="auto" w:fill="FFFFFF"/>
              </w:rPr>
              <w:t>termiņu</w:t>
            </w:r>
            <w:r w:rsidR="00BA3C5C" w:rsidRPr="000D30BF">
              <w:rPr>
                <w:rFonts w:ascii="Times New Roman" w:hAnsi="Times New Roman" w:cs="Times New Roman"/>
                <w:sz w:val="24"/>
                <w:szCs w:val="24"/>
                <w:shd w:val="clear" w:color="auto" w:fill="FFFFFF"/>
              </w:rPr>
              <w:t>, t.</w:t>
            </w:r>
            <w:r w:rsidR="001E409F">
              <w:rPr>
                <w:rFonts w:ascii="Times New Roman" w:hAnsi="Times New Roman" w:cs="Times New Roman"/>
                <w:sz w:val="24"/>
                <w:szCs w:val="24"/>
                <w:shd w:val="clear" w:color="auto" w:fill="FFFFFF"/>
              </w:rPr>
              <w:t> </w:t>
            </w:r>
            <w:r w:rsidR="00BA3C5C" w:rsidRPr="000D30BF">
              <w:rPr>
                <w:rFonts w:ascii="Times New Roman" w:hAnsi="Times New Roman" w:cs="Times New Roman"/>
                <w:sz w:val="24"/>
                <w:szCs w:val="24"/>
                <w:shd w:val="clear" w:color="auto" w:fill="FFFFFF"/>
              </w:rPr>
              <w:t>i.,</w:t>
            </w:r>
            <w:r w:rsidR="000D3D71" w:rsidRPr="000D30BF">
              <w:rPr>
                <w:rFonts w:ascii="Times New Roman" w:hAnsi="Times New Roman" w:cs="Times New Roman"/>
                <w:sz w:val="24"/>
                <w:szCs w:val="24"/>
                <w:shd w:val="clear" w:color="auto" w:fill="FFFFFF"/>
              </w:rPr>
              <w:t xml:space="preserve"> līdz pārskata gadam sekojošā gada 30.</w:t>
            </w:r>
            <w:r w:rsidR="001F2819" w:rsidRPr="000D30BF">
              <w:rPr>
                <w:rFonts w:ascii="Times New Roman" w:hAnsi="Times New Roman" w:cs="Times New Roman"/>
                <w:sz w:val="24"/>
                <w:szCs w:val="24"/>
                <w:shd w:val="clear" w:color="auto" w:fill="FFFFFF"/>
              </w:rPr>
              <w:t> </w:t>
            </w:r>
            <w:r w:rsidR="000D3D71" w:rsidRPr="000D30BF">
              <w:rPr>
                <w:rFonts w:ascii="Times New Roman" w:hAnsi="Times New Roman" w:cs="Times New Roman"/>
                <w:sz w:val="24"/>
                <w:szCs w:val="24"/>
                <w:shd w:val="clear" w:color="auto" w:fill="FFFFFF"/>
              </w:rPr>
              <w:t>jūnijam</w:t>
            </w:r>
            <w:r w:rsidR="00CC4E8E" w:rsidRPr="000D30BF">
              <w:rPr>
                <w:rFonts w:ascii="Times New Roman" w:hAnsi="Times New Roman" w:cs="Times New Roman"/>
                <w:sz w:val="24"/>
                <w:szCs w:val="24"/>
                <w:shd w:val="clear" w:color="auto" w:fill="FFFFFF"/>
              </w:rPr>
              <w:t>, kā arī</w:t>
            </w:r>
            <w:r w:rsidR="000D3D71" w:rsidRPr="000D30BF">
              <w:rPr>
                <w:rFonts w:ascii="Times New Roman" w:hAnsi="Times New Roman" w:cs="Times New Roman"/>
                <w:sz w:val="24"/>
                <w:szCs w:val="24"/>
                <w:shd w:val="clear" w:color="auto" w:fill="FFFFFF"/>
              </w:rPr>
              <w:t xml:space="preserve"> </w:t>
            </w:r>
            <w:r w:rsidR="00B26AF7" w:rsidRPr="000D30BF">
              <w:rPr>
                <w:rFonts w:ascii="Times New Roman" w:hAnsi="Times New Roman" w:cs="Times New Roman"/>
                <w:sz w:val="24"/>
                <w:szCs w:val="24"/>
                <w:shd w:val="clear" w:color="auto" w:fill="FFFFFF"/>
              </w:rPr>
              <w:t xml:space="preserve">prasību </w:t>
            </w:r>
            <w:r w:rsidR="00554134" w:rsidRPr="000D30BF">
              <w:rPr>
                <w:rFonts w:ascii="Times New Roman" w:hAnsi="Times New Roman" w:cs="Times New Roman"/>
                <w:sz w:val="24"/>
                <w:szCs w:val="24"/>
                <w:shd w:val="clear" w:color="auto" w:fill="FFFFFF"/>
              </w:rPr>
              <w:t xml:space="preserve">par kapitāla pietiekamības novērtēšanas procesa atskaites datumu noteikt pārskata gada beigu datumu </w:t>
            </w:r>
            <w:r w:rsidR="00356532" w:rsidRPr="000D30BF">
              <w:rPr>
                <w:rFonts w:ascii="Times New Roman" w:hAnsi="Times New Roman" w:cs="Times New Roman"/>
                <w:sz w:val="24"/>
                <w:szCs w:val="24"/>
                <w:shd w:val="clear" w:color="auto" w:fill="FFFFFF"/>
              </w:rPr>
              <w:t>(pašlaik</w:t>
            </w:r>
            <w:r w:rsidR="004A3786" w:rsidRPr="000D30BF">
              <w:rPr>
                <w:rFonts w:ascii="Times New Roman" w:hAnsi="Times New Roman" w:cs="Times New Roman"/>
                <w:sz w:val="24"/>
                <w:szCs w:val="24"/>
                <w:shd w:val="clear" w:color="auto" w:fill="FFFFFF"/>
              </w:rPr>
              <w:t> </w:t>
            </w:r>
            <w:r w:rsidR="001128E2" w:rsidRPr="000D30BF">
              <w:rPr>
                <w:rFonts w:ascii="Times New Roman" w:hAnsi="Times New Roman" w:cs="Times New Roman"/>
                <w:sz w:val="24"/>
                <w:szCs w:val="24"/>
                <w:shd w:val="clear" w:color="auto" w:fill="FFFFFF"/>
              </w:rPr>
              <w:t xml:space="preserve">minētās </w:t>
            </w:r>
            <w:r w:rsidR="00356532" w:rsidRPr="000D30BF">
              <w:rPr>
                <w:rFonts w:ascii="Times New Roman" w:hAnsi="Times New Roman" w:cs="Times New Roman"/>
                <w:sz w:val="24"/>
                <w:szCs w:val="24"/>
                <w:shd w:val="clear" w:color="auto" w:fill="FFFFFF"/>
              </w:rPr>
              <w:t>kredītiestādes katru gadu līdz 1.</w:t>
            </w:r>
            <w:r w:rsidR="004A3786" w:rsidRPr="000D30BF">
              <w:rPr>
                <w:rFonts w:ascii="Times New Roman" w:hAnsi="Times New Roman" w:cs="Times New Roman"/>
                <w:sz w:val="24"/>
                <w:szCs w:val="24"/>
                <w:shd w:val="clear" w:color="auto" w:fill="FFFFFF"/>
              </w:rPr>
              <w:t> </w:t>
            </w:r>
            <w:r w:rsidR="00356532" w:rsidRPr="000D30BF">
              <w:rPr>
                <w:rFonts w:ascii="Times New Roman" w:hAnsi="Times New Roman" w:cs="Times New Roman"/>
                <w:sz w:val="24"/>
                <w:szCs w:val="24"/>
                <w:shd w:val="clear" w:color="auto" w:fill="FFFFFF"/>
              </w:rPr>
              <w:t xml:space="preserve">decembrim informē Latvijas Banku par nākamajā kalendārajā gadā plānoto </w:t>
            </w:r>
            <w:r w:rsidR="000C1703" w:rsidRPr="000D30BF">
              <w:rPr>
                <w:rFonts w:ascii="Times New Roman" w:hAnsi="Times New Roman" w:cs="Times New Roman"/>
                <w:sz w:val="24"/>
                <w:szCs w:val="24"/>
                <w:shd w:val="clear" w:color="auto" w:fill="FFFFFF"/>
              </w:rPr>
              <w:t xml:space="preserve">pārskata </w:t>
            </w:r>
            <w:r w:rsidR="000D30BF" w:rsidRPr="000D30BF">
              <w:rPr>
                <w:rFonts w:ascii="Times New Roman" w:hAnsi="Times New Roman" w:cs="Times New Roman"/>
                <w:sz w:val="24"/>
                <w:szCs w:val="24"/>
                <w:shd w:val="clear" w:color="auto" w:fill="FFFFFF"/>
              </w:rPr>
              <w:t xml:space="preserve">par kapitāla pietiekamības novērtēšanas procesu </w:t>
            </w:r>
            <w:r w:rsidR="00356532" w:rsidRPr="000D30BF">
              <w:rPr>
                <w:rFonts w:ascii="Times New Roman" w:hAnsi="Times New Roman" w:cs="Times New Roman"/>
                <w:sz w:val="24"/>
                <w:szCs w:val="24"/>
                <w:shd w:val="clear" w:color="auto" w:fill="FFFFFF"/>
              </w:rPr>
              <w:lastRenderedPageBreak/>
              <w:t>sniegšanas Latvijas Bankai termiņu un par kapitāla pietiekamības novērtēšanas procesa atskaites datumu</w:t>
            </w:r>
            <w:r w:rsidR="00DF23AE" w:rsidRPr="000D30BF">
              <w:rPr>
                <w:rFonts w:ascii="Times New Roman" w:hAnsi="Times New Roman" w:cs="Times New Roman"/>
                <w:sz w:val="24"/>
                <w:szCs w:val="24"/>
                <w:shd w:val="clear" w:color="auto" w:fill="FFFFFF"/>
              </w:rPr>
              <w:t>)</w:t>
            </w:r>
            <w:r w:rsidR="00B33016" w:rsidRPr="000D30BF">
              <w:rPr>
                <w:rFonts w:ascii="Times New Roman" w:hAnsi="Times New Roman" w:cs="Times New Roman"/>
                <w:sz w:val="24"/>
                <w:szCs w:val="24"/>
                <w:shd w:val="clear" w:color="auto" w:fill="FFFFFF"/>
              </w:rPr>
              <w:t>;</w:t>
            </w:r>
          </w:p>
          <w:p w14:paraId="05EE2D08" w14:textId="3948EF85" w:rsidR="00212420" w:rsidRPr="006B364A" w:rsidRDefault="009216DB" w:rsidP="00AC49E4">
            <w:pPr>
              <w:jc w:val="both"/>
              <w:rPr>
                <w:rFonts w:ascii="Times New Roman" w:hAnsi="Times New Roman" w:cs="Times New Roman"/>
                <w:sz w:val="24"/>
                <w:szCs w:val="24"/>
                <w:shd w:val="clear" w:color="auto" w:fill="FFFFFF"/>
              </w:rPr>
            </w:pPr>
            <w:r w:rsidRPr="006B364A">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7</w:t>
            </w:r>
            <w:r w:rsidR="00B46D34" w:rsidRPr="006B364A">
              <w:rPr>
                <w:rFonts w:ascii="Times New Roman" w:hAnsi="Times New Roman" w:cs="Times New Roman"/>
                <w:sz w:val="24"/>
                <w:szCs w:val="24"/>
                <w:shd w:val="clear" w:color="auto" w:fill="FFFFFF"/>
              </w:rPr>
              <w:t xml:space="preserve">) </w:t>
            </w:r>
            <w:r w:rsidR="00B46D34" w:rsidRPr="00CF3045">
              <w:rPr>
                <w:rFonts w:ascii="Times New Roman" w:hAnsi="Times New Roman" w:cs="Times New Roman"/>
                <w:sz w:val="24"/>
                <w:szCs w:val="24"/>
                <w:shd w:val="clear" w:color="auto" w:fill="FFFFFF"/>
              </w:rPr>
              <w:t xml:space="preserve">attiecībā uz </w:t>
            </w:r>
            <w:r w:rsidR="00636780" w:rsidRPr="00CF3045">
              <w:rPr>
                <w:rFonts w:ascii="Times New Roman" w:hAnsi="Times New Roman" w:cs="Times New Roman"/>
                <w:sz w:val="24"/>
                <w:szCs w:val="24"/>
                <w:shd w:val="clear" w:color="auto" w:fill="FFFFFF"/>
              </w:rPr>
              <w:t xml:space="preserve">spēkā esošo </w:t>
            </w:r>
            <w:r w:rsidR="00B46D34" w:rsidRPr="00CF3045">
              <w:rPr>
                <w:rFonts w:ascii="Times New Roman" w:hAnsi="Times New Roman" w:cs="Times New Roman"/>
                <w:sz w:val="24"/>
                <w:szCs w:val="24"/>
                <w:shd w:val="clear" w:color="auto" w:fill="FFFFFF"/>
              </w:rPr>
              <w:t xml:space="preserve">prasību </w:t>
            </w:r>
            <w:r w:rsidR="00DF23AE" w:rsidRPr="00CF3045">
              <w:rPr>
                <w:rFonts w:ascii="Times New Roman" w:hAnsi="Times New Roman" w:cs="Times New Roman"/>
                <w:sz w:val="24"/>
                <w:szCs w:val="24"/>
                <w:shd w:val="clear" w:color="auto" w:fill="FFFFFF"/>
              </w:rPr>
              <w:t xml:space="preserve">pārskatam par kapitāla pietiekamības novērtēšanas procesu </w:t>
            </w:r>
            <w:r w:rsidR="00B46D34" w:rsidRPr="00CF3045">
              <w:rPr>
                <w:rFonts w:ascii="Times New Roman" w:hAnsi="Times New Roman" w:cs="Times New Roman"/>
                <w:sz w:val="24"/>
                <w:szCs w:val="24"/>
                <w:shd w:val="clear" w:color="auto" w:fill="FFFFFF"/>
              </w:rPr>
              <w:t xml:space="preserve">sagatavot un pievienot arī aprakstu, kurā norāda visus iesniegtos ar kapitāla pietiekamības novērtēšanas procesu saistītos dokumentus, norādot katra dokumenta statusu salīdzinājumā ar iepriekšējo pārskatu, kā arī </w:t>
            </w:r>
            <w:r w:rsidR="0033227D" w:rsidRPr="00CF3045">
              <w:rPr>
                <w:rFonts w:ascii="Times New Roman" w:hAnsi="Times New Roman" w:cs="Times New Roman"/>
                <w:sz w:val="24"/>
                <w:szCs w:val="24"/>
                <w:shd w:val="clear" w:color="auto" w:fill="FFFFFF"/>
              </w:rPr>
              <w:t xml:space="preserve">attiecībā uz </w:t>
            </w:r>
            <w:r w:rsidR="00403D54" w:rsidRPr="00CF3045">
              <w:rPr>
                <w:rFonts w:ascii="Times New Roman" w:hAnsi="Times New Roman" w:cs="Times New Roman"/>
                <w:sz w:val="24"/>
                <w:szCs w:val="24"/>
                <w:shd w:val="clear" w:color="auto" w:fill="FFFFFF"/>
              </w:rPr>
              <w:t xml:space="preserve">spēkā esošo </w:t>
            </w:r>
            <w:r w:rsidR="0033227D" w:rsidRPr="00CF3045">
              <w:rPr>
                <w:rFonts w:ascii="Times New Roman" w:hAnsi="Times New Roman" w:cs="Times New Roman"/>
                <w:sz w:val="24"/>
                <w:szCs w:val="24"/>
                <w:shd w:val="clear" w:color="auto" w:fill="FFFFFF"/>
              </w:rPr>
              <w:t xml:space="preserve">prasību </w:t>
            </w:r>
            <w:r w:rsidR="00AF7927" w:rsidRPr="00CF3045">
              <w:rPr>
                <w:rFonts w:ascii="Times New Roman" w:hAnsi="Times New Roman" w:cs="Times New Roman"/>
                <w:sz w:val="24"/>
                <w:szCs w:val="24"/>
                <w:shd w:val="clear" w:color="auto" w:fill="FFFFFF"/>
              </w:rPr>
              <w:t xml:space="preserve">norādīt </w:t>
            </w:r>
            <w:r w:rsidR="00B62E82" w:rsidRPr="00CF3045">
              <w:rPr>
                <w:rFonts w:ascii="Times New Roman" w:hAnsi="Times New Roman" w:cs="Times New Roman"/>
                <w:sz w:val="24"/>
                <w:szCs w:val="24"/>
                <w:shd w:val="clear" w:color="auto" w:fill="FFFFFF"/>
              </w:rPr>
              <w:t>minētajos pārskatos</w:t>
            </w:r>
            <w:r w:rsidR="00AC49E4" w:rsidRPr="00CF3045">
              <w:rPr>
                <w:rFonts w:ascii="Times New Roman" w:hAnsi="Times New Roman" w:cs="Times New Roman"/>
                <w:sz w:val="24"/>
                <w:szCs w:val="24"/>
                <w:shd w:val="clear" w:color="auto" w:fill="FFFFFF"/>
              </w:rPr>
              <w:t xml:space="preserve"> iekļaujamās </w:t>
            </w:r>
            <w:r w:rsidR="00B46D34" w:rsidRPr="00CF3045">
              <w:rPr>
                <w:rFonts w:ascii="Times New Roman" w:hAnsi="Times New Roman" w:cs="Times New Roman"/>
                <w:sz w:val="24"/>
                <w:szCs w:val="24"/>
                <w:shd w:val="clear" w:color="auto" w:fill="FFFFFF"/>
              </w:rPr>
              <w:t>informācijas atrašanās vietu iesniegtajos dokumentos</w:t>
            </w:r>
            <w:r w:rsidR="00AC49E4" w:rsidRPr="00CF3045">
              <w:rPr>
                <w:rFonts w:ascii="Times New Roman" w:hAnsi="Times New Roman" w:cs="Times New Roman"/>
                <w:sz w:val="24"/>
                <w:szCs w:val="24"/>
                <w:shd w:val="clear" w:color="auto" w:fill="FFFFFF"/>
              </w:rPr>
              <w:t xml:space="preserve"> </w:t>
            </w:r>
            <w:r w:rsidR="00DF23AE" w:rsidRPr="00CF3045">
              <w:rPr>
                <w:rFonts w:ascii="Times New Roman" w:hAnsi="Times New Roman" w:cs="Times New Roman"/>
                <w:sz w:val="24"/>
                <w:szCs w:val="24"/>
                <w:shd w:val="clear" w:color="auto" w:fill="FFFFFF"/>
              </w:rPr>
              <w:t xml:space="preserve">nosaka prasību </w:t>
            </w:r>
            <w:r w:rsidR="00AC49E4" w:rsidRPr="00CF3045">
              <w:rPr>
                <w:rFonts w:ascii="Times New Roman" w:hAnsi="Times New Roman" w:cs="Times New Roman"/>
                <w:sz w:val="24"/>
                <w:szCs w:val="24"/>
                <w:shd w:val="clear" w:color="auto" w:fill="FFFFFF"/>
              </w:rPr>
              <w:t xml:space="preserve">minēto aprakstu </w:t>
            </w:r>
            <w:r w:rsidR="00E0256E" w:rsidRPr="00CF3045">
              <w:rPr>
                <w:rFonts w:ascii="Times New Roman" w:hAnsi="Times New Roman" w:cs="Times New Roman"/>
                <w:sz w:val="24"/>
                <w:szCs w:val="24"/>
                <w:shd w:val="clear" w:color="auto" w:fill="FFFFFF"/>
              </w:rPr>
              <w:t xml:space="preserve">un informāciju </w:t>
            </w:r>
            <w:r w:rsidR="00AC49E4" w:rsidRPr="00CF3045">
              <w:rPr>
                <w:rFonts w:ascii="Times New Roman" w:hAnsi="Times New Roman" w:cs="Times New Roman"/>
                <w:sz w:val="24"/>
                <w:szCs w:val="24"/>
                <w:shd w:val="clear" w:color="auto" w:fill="FFFFFF"/>
              </w:rPr>
              <w:t xml:space="preserve">sagatavot atbilstoši </w:t>
            </w:r>
            <w:r w:rsidR="0086386D" w:rsidRPr="00CF3045">
              <w:rPr>
                <w:rFonts w:ascii="Times New Roman" w:hAnsi="Times New Roman" w:cs="Times New Roman"/>
                <w:sz w:val="24"/>
                <w:szCs w:val="24"/>
                <w:shd w:val="clear" w:color="auto" w:fill="FFFFFF"/>
              </w:rPr>
              <w:t xml:space="preserve">noteikumu projekta </w:t>
            </w:r>
            <w:r w:rsidR="00AC49E4" w:rsidRPr="00500862">
              <w:rPr>
                <w:rFonts w:ascii="Times New Roman" w:hAnsi="Times New Roman" w:cs="Times New Roman"/>
                <w:sz w:val="24"/>
                <w:szCs w:val="24"/>
                <w:shd w:val="clear" w:color="auto" w:fill="FFFFFF"/>
              </w:rPr>
              <w:t>4.</w:t>
            </w:r>
            <w:r w:rsidR="004A3786" w:rsidRPr="00500862">
              <w:rPr>
                <w:rFonts w:ascii="Times New Roman" w:hAnsi="Times New Roman" w:cs="Times New Roman"/>
                <w:sz w:val="24"/>
                <w:szCs w:val="24"/>
                <w:shd w:val="clear" w:color="auto" w:fill="FFFFFF"/>
              </w:rPr>
              <w:t> </w:t>
            </w:r>
            <w:r w:rsidR="00AC49E4" w:rsidRPr="00500862">
              <w:rPr>
                <w:rFonts w:ascii="Times New Roman" w:hAnsi="Times New Roman" w:cs="Times New Roman"/>
                <w:sz w:val="24"/>
                <w:szCs w:val="24"/>
                <w:shd w:val="clear" w:color="auto" w:fill="FFFFFF"/>
              </w:rPr>
              <w:t xml:space="preserve">pielikumā </w:t>
            </w:r>
            <w:r w:rsidR="00433399">
              <w:rPr>
                <w:rFonts w:ascii="Times New Roman" w:hAnsi="Times New Roman" w:cs="Times New Roman"/>
                <w:sz w:val="24"/>
                <w:szCs w:val="24"/>
                <w:shd w:val="clear" w:color="auto" w:fill="FFFFFF"/>
              </w:rPr>
              <w:t>i</w:t>
            </w:r>
            <w:r w:rsidR="00433399" w:rsidRPr="00433399">
              <w:rPr>
                <w:rFonts w:ascii="Times New Roman" w:hAnsi="Times New Roman" w:cs="Times New Roman"/>
                <w:sz w:val="24"/>
                <w:szCs w:val="24"/>
                <w:shd w:val="clear" w:color="auto" w:fill="FFFFFF"/>
              </w:rPr>
              <w:t xml:space="preserve">etvertajai </w:t>
            </w:r>
            <w:r w:rsidR="00AC49E4" w:rsidRPr="00433399">
              <w:rPr>
                <w:rFonts w:ascii="Times New Roman" w:hAnsi="Times New Roman" w:cs="Times New Roman"/>
                <w:sz w:val="24"/>
                <w:szCs w:val="24"/>
                <w:shd w:val="clear" w:color="auto" w:fill="FFFFFF"/>
              </w:rPr>
              <w:t>attiecīgi 1.</w:t>
            </w:r>
            <w:r w:rsidR="004A3786" w:rsidRPr="00433399">
              <w:rPr>
                <w:rFonts w:ascii="Times New Roman" w:hAnsi="Times New Roman" w:cs="Times New Roman"/>
                <w:sz w:val="24"/>
                <w:szCs w:val="24"/>
                <w:shd w:val="clear" w:color="auto" w:fill="FFFFFF"/>
              </w:rPr>
              <w:t> </w:t>
            </w:r>
            <w:r w:rsidR="00AC49E4" w:rsidRPr="00433399">
              <w:rPr>
                <w:rFonts w:ascii="Times New Roman" w:hAnsi="Times New Roman" w:cs="Times New Roman"/>
                <w:sz w:val="24"/>
                <w:szCs w:val="24"/>
                <w:shd w:val="clear" w:color="auto" w:fill="FFFFFF"/>
              </w:rPr>
              <w:t>un</w:t>
            </w:r>
            <w:r w:rsidR="00AC49E4" w:rsidRPr="00500862">
              <w:rPr>
                <w:rFonts w:ascii="Times New Roman" w:hAnsi="Times New Roman" w:cs="Times New Roman"/>
                <w:sz w:val="24"/>
                <w:szCs w:val="24"/>
                <w:shd w:val="clear" w:color="auto" w:fill="FFFFFF"/>
              </w:rPr>
              <w:t xml:space="preserve"> 2.</w:t>
            </w:r>
            <w:r w:rsidR="004A3786" w:rsidRPr="00500862">
              <w:rPr>
                <w:rFonts w:ascii="Times New Roman" w:hAnsi="Times New Roman" w:cs="Times New Roman"/>
                <w:sz w:val="24"/>
                <w:szCs w:val="24"/>
                <w:shd w:val="clear" w:color="auto" w:fill="FFFFFF"/>
              </w:rPr>
              <w:t> </w:t>
            </w:r>
            <w:r w:rsidR="00AC49E4" w:rsidRPr="00500862">
              <w:rPr>
                <w:rFonts w:ascii="Times New Roman" w:hAnsi="Times New Roman" w:cs="Times New Roman"/>
                <w:sz w:val="24"/>
                <w:szCs w:val="24"/>
                <w:shd w:val="clear" w:color="auto" w:fill="FFFFFF"/>
              </w:rPr>
              <w:t>tabulai</w:t>
            </w:r>
            <w:r w:rsidR="00AC49E4" w:rsidRPr="00CF3045">
              <w:rPr>
                <w:rFonts w:ascii="Times New Roman" w:hAnsi="Times New Roman" w:cs="Times New Roman"/>
                <w:sz w:val="24"/>
                <w:szCs w:val="24"/>
                <w:shd w:val="clear" w:color="auto" w:fill="FFFFFF"/>
              </w:rPr>
              <w:t>;</w:t>
            </w:r>
          </w:p>
          <w:p w14:paraId="38131E2E" w14:textId="702B3DC0" w:rsidR="00AA3E89" w:rsidRDefault="009216DB" w:rsidP="00B64D23">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18</w:t>
            </w:r>
            <w:r w:rsidR="00B33016" w:rsidRPr="006B364A">
              <w:rPr>
                <w:rFonts w:ascii="Times New Roman" w:hAnsi="Times New Roman" w:cs="Times New Roman"/>
                <w:sz w:val="24"/>
                <w:szCs w:val="24"/>
                <w:shd w:val="clear" w:color="auto" w:fill="FFFFFF"/>
              </w:rPr>
              <w:t xml:space="preserve">) </w:t>
            </w:r>
            <w:r w:rsidR="00212420" w:rsidRPr="006B364A">
              <w:rPr>
                <w:rFonts w:ascii="Times New Roman" w:hAnsi="Times New Roman" w:cs="Times New Roman"/>
                <w:sz w:val="24"/>
                <w:szCs w:val="24"/>
                <w:shd w:val="clear" w:color="auto" w:fill="FFFFFF"/>
              </w:rPr>
              <w:t xml:space="preserve">precizē sniedzamo informāciju par kapitāla pietiekamības </w:t>
            </w:r>
            <w:r w:rsidR="00212420" w:rsidRPr="00FF4778">
              <w:rPr>
                <w:rFonts w:ascii="Times New Roman" w:hAnsi="Times New Roman" w:cs="Times New Roman"/>
                <w:sz w:val="24"/>
                <w:szCs w:val="24"/>
                <w:shd w:val="clear" w:color="auto" w:fill="FFFFFF"/>
              </w:rPr>
              <w:t>novērtējuma rezultātu apkopojumu, kas attiecas uz riskiem, kuri nav pārmērīgas sviras risks</w:t>
            </w:r>
            <w:r w:rsidR="007E3BC1" w:rsidRPr="00FF4778">
              <w:rPr>
                <w:rFonts w:ascii="Times New Roman" w:hAnsi="Times New Roman" w:cs="Times New Roman"/>
                <w:sz w:val="24"/>
                <w:szCs w:val="24"/>
                <w:shd w:val="clear" w:color="auto" w:fill="FFFFFF"/>
              </w:rPr>
              <w:t xml:space="preserve"> (</w:t>
            </w:r>
            <w:r w:rsidR="007E3BC1" w:rsidRPr="00500862">
              <w:rPr>
                <w:rFonts w:ascii="Times New Roman" w:hAnsi="Times New Roman" w:cs="Times New Roman"/>
                <w:sz w:val="24"/>
                <w:szCs w:val="24"/>
                <w:shd w:val="clear" w:color="auto" w:fill="FFFFFF"/>
              </w:rPr>
              <w:t xml:space="preserve">noteikumu projekta </w:t>
            </w:r>
            <w:r w:rsidR="00500862" w:rsidRPr="00500862">
              <w:rPr>
                <w:rFonts w:ascii="Times New Roman" w:hAnsi="Times New Roman" w:cs="Times New Roman"/>
                <w:sz w:val="24"/>
                <w:szCs w:val="24"/>
                <w:shd w:val="clear" w:color="auto" w:fill="FFFFFF"/>
              </w:rPr>
              <w:t>1</w:t>
            </w:r>
            <w:r w:rsidR="007E3BC1" w:rsidRPr="00500862">
              <w:rPr>
                <w:rFonts w:ascii="Times New Roman" w:hAnsi="Times New Roman" w:cs="Times New Roman"/>
                <w:sz w:val="24"/>
                <w:szCs w:val="24"/>
                <w:shd w:val="clear" w:color="auto" w:fill="FFFFFF"/>
              </w:rPr>
              <w:t>.</w:t>
            </w:r>
            <w:r w:rsidR="00AF64E3" w:rsidRPr="00500862">
              <w:rPr>
                <w:rFonts w:ascii="Times New Roman" w:hAnsi="Times New Roman" w:cs="Times New Roman"/>
                <w:sz w:val="24"/>
                <w:szCs w:val="24"/>
                <w:shd w:val="clear" w:color="auto" w:fill="FFFFFF"/>
              </w:rPr>
              <w:t> </w:t>
            </w:r>
            <w:r w:rsidR="007E3BC1" w:rsidRPr="00500862">
              <w:rPr>
                <w:rFonts w:ascii="Times New Roman" w:hAnsi="Times New Roman" w:cs="Times New Roman"/>
                <w:sz w:val="24"/>
                <w:szCs w:val="24"/>
                <w:shd w:val="clear" w:color="auto" w:fill="FFFFFF"/>
              </w:rPr>
              <w:t>pielikums)</w:t>
            </w:r>
            <w:r w:rsidR="00212420" w:rsidRPr="00500862">
              <w:rPr>
                <w:rFonts w:ascii="Times New Roman" w:hAnsi="Times New Roman" w:cs="Times New Roman"/>
                <w:sz w:val="24"/>
                <w:szCs w:val="24"/>
                <w:shd w:val="clear" w:color="auto" w:fill="FFFFFF"/>
              </w:rPr>
              <w:t>, kā arī nosaka jaunu sniedzamo informāciju par kapitāla pietiekamības novērtējuma rezultātu apkopojumu, kas attiecas uz pārmērīgas sviras risku</w:t>
            </w:r>
            <w:r w:rsidR="00270FB4" w:rsidRPr="00500862">
              <w:rPr>
                <w:rFonts w:ascii="Times New Roman" w:hAnsi="Times New Roman" w:cs="Times New Roman"/>
                <w:sz w:val="24"/>
                <w:szCs w:val="24"/>
                <w:shd w:val="clear" w:color="auto" w:fill="FFFFFF"/>
              </w:rPr>
              <w:t xml:space="preserve"> (noteikumu projekta </w:t>
            </w:r>
            <w:r w:rsidR="0038642D">
              <w:rPr>
                <w:rFonts w:ascii="Times New Roman" w:hAnsi="Times New Roman" w:cs="Times New Roman"/>
                <w:sz w:val="24"/>
                <w:szCs w:val="24"/>
                <w:shd w:val="clear" w:color="auto" w:fill="FFFFFF"/>
              </w:rPr>
              <w:t>2</w:t>
            </w:r>
            <w:r w:rsidR="00270FB4" w:rsidRPr="00500862">
              <w:rPr>
                <w:rFonts w:ascii="Times New Roman" w:hAnsi="Times New Roman" w:cs="Times New Roman"/>
                <w:sz w:val="24"/>
                <w:szCs w:val="24"/>
                <w:shd w:val="clear" w:color="auto" w:fill="FFFFFF"/>
              </w:rPr>
              <w:t>.</w:t>
            </w:r>
            <w:r w:rsidR="00AF64E3" w:rsidRPr="00500862">
              <w:rPr>
                <w:rFonts w:ascii="Times New Roman" w:hAnsi="Times New Roman" w:cs="Times New Roman"/>
                <w:sz w:val="24"/>
                <w:szCs w:val="24"/>
                <w:shd w:val="clear" w:color="auto" w:fill="FFFFFF"/>
              </w:rPr>
              <w:t> </w:t>
            </w:r>
            <w:r w:rsidR="00270FB4" w:rsidRPr="00500862">
              <w:rPr>
                <w:rFonts w:ascii="Times New Roman" w:hAnsi="Times New Roman" w:cs="Times New Roman"/>
                <w:sz w:val="24"/>
                <w:szCs w:val="24"/>
                <w:shd w:val="clear" w:color="auto" w:fill="FFFFFF"/>
              </w:rPr>
              <w:t>pielikums)</w:t>
            </w:r>
            <w:r w:rsidR="00FE073C">
              <w:rPr>
                <w:rFonts w:ascii="Times New Roman" w:hAnsi="Times New Roman" w:cs="Times New Roman"/>
                <w:sz w:val="24"/>
                <w:szCs w:val="24"/>
                <w:shd w:val="clear" w:color="auto" w:fill="FFFFFF"/>
              </w:rPr>
              <w:t>.</w:t>
            </w:r>
            <w:r w:rsidR="00FB466F">
              <w:rPr>
                <w:rFonts w:ascii="Times New Roman" w:hAnsi="Times New Roman" w:cs="Times New Roman"/>
                <w:sz w:val="24"/>
                <w:szCs w:val="24"/>
                <w:shd w:val="clear" w:color="auto" w:fill="FFFFFF"/>
              </w:rPr>
              <w:t xml:space="preserve"> </w:t>
            </w:r>
            <w:r w:rsidR="00FE073C">
              <w:rPr>
                <w:rFonts w:ascii="Times New Roman" w:hAnsi="Times New Roman" w:cs="Times New Roman"/>
                <w:sz w:val="24"/>
                <w:szCs w:val="24"/>
                <w:shd w:val="clear" w:color="auto" w:fill="FFFFFF"/>
              </w:rPr>
              <w:t>Saskaņā ar noteikumu projekta 72.1. apakšpunktu m</w:t>
            </w:r>
            <w:r w:rsidR="00FB466F" w:rsidRPr="00FB466F">
              <w:rPr>
                <w:rFonts w:ascii="Times New Roman" w:hAnsi="Times New Roman" w:cs="Times New Roman"/>
                <w:sz w:val="24"/>
                <w:szCs w:val="24"/>
                <w:shd w:val="clear" w:color="auto" w:fill="FFFFFF"/>
              </w:rPr>
              <w:t>inēt</w:t>
            </w:r>
            <w:r w:rsidR="00C31A97">
              <w:rPr>
                <w:rFonts w:ascii="Times New Roman" w:hAnsi="Times New Roman" w:cs="Times New Roman"/>
                <w:sz w:val="24"/>
                <w:szCs w:val="24"/>
                <w:shd w:val="clear" w:color="auto" w:fill="FFFFFF"/>
              </w:rPr>
              <w:t>ie</w:t>
            </w:r>
            <w:r w:rsidR="00FB466F" w:rsidRPr="00FB466F">
              <w:rPr>
                <w:rFonts w:ascii="Times New Roman" w:hAnsi="Times New Roman" w:cs="Times New Roman"/>
                <w:sz w:val="24"/>
                <w:szCs w:val="24"/>
                <w:shd w:val="clear" w:color="auto" w:fill="FFFFFF"/>
              </w:rPr>
              <w:t xml:space="preserve"> rezultātu apkopojum</w:t>
            </w:r>
            <w:r w:rsidR="00C31A97">
              <w:rPr>
                <w:rFonts w:ascii="Times New Roman" w:hAnsi="Times New Roman" w:cs="Times New Roman"/>
                <w:sz w:val="24"/>
                <w:szCs w:val="24"/>
                <w:shd w:val="clear" w:color="auto" w:fill="FFFFFF"/>
              </w:rPr>
              <w:t>i</w:t>
            </w:r>
            <w:r w:rsidR="00FB466F" w:rsidRPr="00FB466F">
              <w:rPr>
                <w:rFonts w:ascii="Times New Roman" w:hAnsi="Times New Roman" w:cs="Times New Roman"/>
                <w:sz w:val="24"/>
                <w:szCs w:val="24"/>
                <w:shd w:val="clear" w:color="auto" w:fill="FFFFFF"/>
              </w:rPr>
              <w:t xml:space="preserve"> </w:t>
            </w:r>
            <w:r w:rsidR="00FE073C">
              <w:rPr>
                <w:rFonts w:ascii="Times New Roman" w:hAnsi="Times New Roman" w:cs="Times New Roman"/>
                <w:sz w:val="24"/>
                <w:szCs w:val="24"/>
                <w:shd w:val="clear" w:color="auto" w:fill="FFFFFF"/>
              </w:rPr>
              <w:t xml:space="preserve">būs jāiesniedz </w:t>
            </w:r>
            <w:r w:rsidR="00B926B9">
              <w:rPr>
                <w:rFonts w:ascii="Times New Roman" w:hAnsi="Times New Roman" w:cs="Times New Roman"/>
                <w:sz w:val="24"/>
                <w:szCs w:val="24"/>
                <w:shd w:val="clear" w:color="auto" w:fill="FFFFFF"/>
              </w:rPr>
              <w:t xml:space="preserve">Latvijas Bankai </w:t>
            </w:r>
            <w:r w:rsidR="00FB466F" w:rsidRPr="00FB466F">
              <w:rPr>
                <w:rFonts w:ascii="Times New Roman" w:hAnsi="Times New Roman" w:cs="Times New Roman"/>
                <w:sz w:val="24"/>
                <w:szCs w:val="24"/>
                <w:shd w:val="clear" w:color="auto" w:fill="FFFFFF"/>
              </w:rPr>
              <w:t>elektroniskā veidā, izmantojot paaugstinātās drošības sistēmu</w:t>
            </w:r>
            <w:r w:rsidR="00FE073C">
              <w:rPr>
                <w:rFonts w:ascii="Times New Roman" w:hAnsi="Times New Roman" w:cs="Times New Roman"/>
                <w:sz w:val="24"/>
                <w:szCs w:val="24"/>
                <w:shd w:val="clear" w:color="auto" w:fill="FFFFFF"/>
              </w:rPr>
              <w:t>.</w:t>
            </w:r>
          </w:p>
          <w:p w14:paraId="3002561F" w14:textId="77777777" w:rsidR="00736C30" w:rsidRDefault="00736C30" w:rsidP="00B64D23">
            <w:pPr>
              <w:jc w:val="both"/>
              <w:rPr>
                <w:rFonts w:ascii="Times New Roman" w:hAnsi="Times New Roman" w:cs="Times New Roman"/>
                <w:sz w:val="24"/>
                <w:szCs w:val="24"/>
                <w:shd w:val="clear" w:color="auto" w:fill="FFFFFF"/>
              </w:rPr>
            </w:pPr>
          </w:p>
          <w:p w14:paraId="40A1A89B" w14:textId="6E150C55" w:rsidR="00E02CEB" w:rsidRDefault="00B2187F" w:rsidP="00B64D23">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Noteikumu projekta 2</w:t>
            </w:r>
            <w:r w:rsidR="003D2AD6">
              <w:rPr>
                <w:rFonts w:ascii="Times New Roman" w:hAnsi="Times New Roman" w:cs="Times New Roman"/>
                <w:sz w:val="24"/>
                <w:szCs w:val="24"/>
                <w:shd w:val="clear" w:color="auto" w:fill="FFFFFF"/>
              </w:rPr>
              <w:t>3</w:t>
            </w:r>
            <w:r>
              <w:rPr>
                <w:rFonts w:ascii="Times New Roman" w:hAnsi="Times New Roman" w:cs="Times New Roman"/>
                <w:sz w:val="24"/>
                <w:szCs w:val="24"/>
                <w:shd w:val="clear" w:color="auto" w:fill="FFFFFF"/>
              </w:rPr>
              <w:t>. un 2</w:t>
            </w:r>
            <w:r w:rsidR="003D2AD6">
              <w:rPr>
                <w:rFonts w:ascii="Times New Roman" w:hAnsi="Times New Roman" w:cs="Times New Roman"/>
                <w:sz w:val="24"/>
                <w:szCs w:val="24"/>
                <w:shd w:val="clear" w:color="auto" w:fill="FFFFFF"/>
              </w:rPr>
              <w:t>4</w:t>
            </w:r>
            <w:r>
              <w:rPr>
                <w:rFonts w:ascii="Times New Roman" w:hAnsi="Times New Roman" w:cs="Times New Roman"/>
                <w:sz w:val="24"/>
                <w:szCs w:val="24"/>
                <w:shd w:val="clear" w:color="auto" w:fill="FFFFFF"/>
              </w:rPr>
              <w:t xml:space="preserve">. punkts nosaka </w:t>
            </w:r>
            <w:r w:rsidR="003D2AD6" w:rsidRPr="003D2AD6">
              <w:rPr>
                <w:rFonts w:ascii="Times New Roman" w:hAnsi="Times New Roman" w:cs="Times New Roman"/>
                <w:sz w:val="24"/>
                <w:szCs w:val="24"/>
                <w:shd w:val="clear" w:color="auto" w:fill="FFFFFF"/>
              </w:rPr>
              <w:t xml:space="preserve">tirgus riska pašu </w:t>
            </w:r>
            <w:r w:rsidR="003D2AD6" w:rsidRPr="003565CF">
              <w:rPr>
                <w:rFonts w:ascii="Times New Roman" w:hAnsi="Times New Roman" w:cs="Times New Roman"/>
                <w:sz w:val="24"/>
                <w:szCs w:val="24"/>
                <w:shd w:val="clear" w:color="auto" w:fill="FFFFFF"/>
              </w:rPr>
              <w:t xml:space="preserve">kapitāla prasības, kas aprēķināta saskaņā ar Regulā Nr. 575/2013 aprakstīto </w:t>
            </w:r>
            <w:r w:rsidR="002F4494">
              <w:rPr>
                <w:rFonts w:ascii="Times New Roman" w:hAnsi="Times New Roman" w:cs="Times New Roman"/>
                <w:sz w:val="24"/>
                <w:szCs w:val="24"/>
                <w:shd w:val="clear" w:color="auto" w:fill="FFFFFF"/>
              </w:rPr>
              <w:t>vienkāršoto</w:t>
            </w:r>
            <w:r w:rsidR="00E02CEB">
              <w:rPr>
                <w:rFonts w:ascii="Times New Roman" w:hAnsi="Times New Roman" w:cs="Times New Roman"/>
                <w:sz w:val="24"/>
                <w:szCs w:val="24"/>
                <w:shd w:val="clear" w:color="auto" w:fill="FFFFFF"/>
              </w:rPr>
              <w:t xml:space="preserve"> </w:t>
            </w:r>
            <w:r w:rsidR="003D2AD6" w:rsidRPr="003565CF">
              <w:rPr>
                <w:rFonts w:ascii="Times New Roman" w:hAnsi="Times New Roman" w:cs="Times New Roman"/>
                <w:sz w:val="24"/>
                <w:szCs w:val="24"/>
                <w:shd w:val="clear" w:color="auto" w:fill="FFFFFF"/>
              </w:rPr>
              <w:t xml:space="preserve">standartizēto pieeju, apmēra pietiekamības </w:t>
            </w:r>
            <w:r w:rsidR="003C3164" w:rsidRPr="003565CF">
              <w:rPr>
                <w:rFonts w:ascii="Times New Roman" w:hAnsi="Times New Roman" w:cs="Times New Roman"/>
                <w:sz w:val="24"/>
                <w:szCs w:val="24"/>
                <w:shd w:val="clear" w:color="auto" w:fill="FFFFFF"/>
              </w:rPr>
              <w:t xml:space="preserve">kredītiestādes </w:t>
            </w:r>
            <w:r w:rsidR="003D2AD6" w:rsidRPr="003565CF">
              <w:rPr>
                <w:rFonts w:ascii="Times New Roman" w:hAnsi="Times New Roman" w:cs="Times New Roman"/>
                <w:sz w:val="24"/>
                <w:szCs w:val="24"/>
                <w:shd w:val="clear" w:color="auto" w:fill="FFFFFF"/>
              </w:rPr>
              <w:t>darbībai piemītošā tirgus riska segšanai izvērtēšana</w:t>
            </w:r>
            <w:r w:rsidR="003565CF" w:rsidRPr="005D70BA">
              <w:rPr>
                <w:rFonts w:ascii="Times New Roman" w:hAnsi="Times New Roman" w:cs="Times New Roman"/>
                <w:sz w:val="24"/>
                <w:szCs w:val="24"/>
                <w:shd w:val="clear" w:color="auto" w:fill="FFFFFF"/>
              </w:rPr>
              <w:t>s prasības</w:t>
            </w:r>
            <w:r w:rsidR="003D2AD6" w:rsidRPr="003565CF">
              <w:rPr>
                <w:rFonts w:ascii="Times New Roman" w:hAnsi="Times New Roman" w:cs="Times New Roman"/>
                <w:sz w:val="24"/>
                <w:szCs w:val="24"/>
                <w:shd w:val="clear" w:color="auto" w:fill="FFFFFF"/>
              </w:rPr>
              <w:t xml:space="preserve">. </w:t>
            </w:r>
            <w:r w:rsidR="00E02CEB">
              <w:rPr>
                <w:rFonts w:ascii="Times New Roman" w:hAnsi="Times New Roman" w:cs="Times New Roman"/>
                <w:sz w:val="24"/>
                <w:szCs w:val="24"/>
                <w:shd w:val="clear" w:color="auto" w:fill="FFFFFF"/>
              </w:rPr>
              <w:t xml:space="preserve">Minēto pieeju paredz </w:t>
            </w:r>
            <w:r w:rsidR="00E02CEB" w:rsidRPr="00E02CEB">
              <w:rPr>
                <w:rFonts w:ascii="Times New Roman" w:hAnsi="Times New Roman" w:cs="Times New Roman"/>
                <w:sz w:val="24"/>
                <w:szCs w:val="24"/>
                <w:shd w:val="clear" w:color="auto" w:fill="FFFFFF"/>
              </w:rPr>
              <w:t>Eiropas Parlamenta un Padomes 2024.</w:t>
            </w:r>
            <w:r w:rsidR="00E02CEB">
              <w:rPr>
                <w:rFonts w:ascii="Times New Roman" w:hAnsi="Times New Roman" w:cs="Times New Roman"/>
                <w:sz w:val="24"/>
                <w:szCs w:val="24"/>
                <w:shd w:val="clear" w:color="auto" w:fill="FFFFFF"/>
              </w:rPr>
              <w:t> </w:t>
            </w:r>
            <w:r w:rsidR="00E02CEB" w:rsidRPr="00E02CEB">
              <w:rPr>
                <w:rFonts w:ascii="Times New Roman" w:hAnsi="Times New Roman" w:cs="Times New Roman"/>
                <w:sz w:val="24"/>
                <w:szCs w:val="24"/>
                <w:shd w:val="clear" w:color="auto" w:fill="FFFFFF"/>
              </w:rPr>
              <w:t>gada 31.</w:t>
            </w:r>
            <w:r w:rsidR="00E02CEB">
              <w:rPr>
                <w:rFonts w:ascii="Times New Roman" w:hAnsi="Times New Roman" w:cs="Times New Roman"/>
                <w:sz w:val="24"/>
                <w:szCs w:val="24"/>
                <w:shd w:val="clear" w:color="auto" w:fill="FFFFFF"/>
              </w:rPr>
              <w:t> </w:t>
            </w:r>
            <w:r w:rsidR="00E02CEB" w:rsidRPr="00E02CEB">
              <w:rPr>
                <w:rFonts w:ascii="Times New Roman" w:hAnsi="Times New Roman" w:cs="Times New Roman"/>
                <w:sz w:val="24"/>
                <w:szCs w:val="24"/>
                <w:shd w:val="clear" w:color="auto" w:fill="FFFFFF"/>
              </w:rPr>
              <w:t>maij</w:t>
            </w:r>
            <w:r w:rsidR="00E02CEB">
              <w:rPr>
                <w:rFonts w:ascii="Times New Roman" w:hAnsi="Times New Roman" w:cs="Times New Roman"/>
                <w:sz w:val="24"/>
                <w:szCs w:val="24"/>
                <w:shd w:val="clear" w:color="auto" w:fill="FFFFFF"/>
              </w:rPr>
              <w:t>a r</w:t>
            </w:r>
            <w:r w:rsidR="00E02CEB" w:rsidRPr="00E02CEB">
              <w:rPr>
                <w:rFonts w:ascii="Times New Roman" w:hAnsi="Times New Roman" w:cs="Times New Roman"/>
                <w:sz w:val="24"/>
                <w:szCs w:val="24"/>
                <w:shd w:val="clear" w:color="auto" w:fill="FFFFFF"/>
              </w:rPr>
              <w:t>egula (ES)</w:t>
            </w:r>
            <w:r w:rsidR="00E02CEB">
              <w:rPr>
                <w:rFonts w:ascii="Times New Roman" w:hAnsi="Times New Roman" w:cs="Times New Roman"/>
                <w:sz w:val="24"/>
                <w:szCs w:val="24"/>
                <w:shd w:val="clear" w:color="auto" w:fill="FFFFFF"/>
              </w:rPr>
              <w:t> </w:t>
            </w:r>
            <w:r w:rsidR="00E02CEB" w:rsidRPr="00E02CEB">
              <w:rPr>
                <w:rFonts w:ascii="Times New Roman" w:hAnsi="Times New Roman" w:cs="Times New Roman"/>
                <w:sz w:val="24"/>
                <w:szCs w:val="24"/>
                <w:shd w:val="clear" w:color="auto" w:fill="FFFFFF"/>
              </w:rPr>
              <w:t xml:space="preserve">2024/1623, ar ko </w:t>
            </w:r>
            <w:r w:rsidR="00D154EC">
              <w:rPr>
                <w:rFonts w:ascii="Times New Roman" w:hAnsi="Times New Roman" w:cs="Times New Roman"/>
                <w:sz w:val="24"/>
                <w:szCs w:val="24"/>
                <w:shd w:val="clear" w:color="auto" w:fill="FFFFFF"/>
              </w:rPr>
              <w:t>r</w:t>
            </w:r>
            <w:r w:rsidR="00E02CEB" w:rsidRPr="00E02CEB">
              <w:rPr>
                <w:rFonts w:ascii="Times New Roman" w:hAnsi="Times New Roman" w:cs="Times New Roman"/>
                <w:sz w:val="24"/>
                <w:szCs w:val="24"/>
                <w:shd w:val="clear" w:color="auto" w:fill="FFFFFF"/>
              </w:rPr>
              <w:t>egulu (ES) Nr.</w:t>
            </w:r>
            <w:r w:rsidR="00E02CEB">
              <w:rPr>
                <w:rFonts w:ascii="Times New Roman" w:hAnsi="Times New Roman" w:cs="Times New Roman"/>
                <w:sz w:val="24"/>
                <w:szCs w:val="24"/>
                <w:shd w:val="clear" w:color="auto" w:fill="FFFFFF"/>
              </w:rPr>
              <w:t> </w:t>
            </w:r>
            <w:r w:rsidR="00E02CEB" w:rsidRPr="00E02CEB">
              <w:rPr>
                <w:rFonts w:ascii="Times New Roman" w:hAnsi="Times New Roman" w:cs="Times New Roman"/>
                <w:sz w:val="24"/>
                <w:szCs w:val="24"/>
                <w:shd w:val="clear" w:color="auto" w:fill="FFFFFF"/>
              </w:rPr>
              <w:t>575/2013 groza attiecībā uz prasībām kredītriskam, kredīta vērtības korekcijas riskam, operacionālajam riskam, tirgus riskam un riska darījumu vērtības minimālajai robežvērtībai</w:t>
            </w:r>
            <w:r w:rsidR="00E02CEB">
              <w:rPr>
                <w:rFonts w:ascii="Times New Roman" w:hAnsi="Times New Roman" w:cs="Times New Roman"/>
                <w:sz w:val="24"/>
                <w:szCs w:val="24"/>
                <w:shd w:val="clear" w:color="auto" w:fill="FFFFFF"/>
              </w:rPr>
              <w:t>.</w:t>
            </w:r>
          </w:p>
          <w:p w14:paraId="3B70897E" w14:textId="77777777" w:rsidR="00C31A97" w:rsidRDefault="00C31A97" w:rsidP="00B64D23">
            <w:pPr>
              <w:jc w:val="both"/>
              <w:rPr>
                <w:rFonts w:ascii="Times New Roman" w:hAnsi="Times New Roman" w:cs="Times New Roman"/>
                <w:sz w:val="24"/>
                <w:szCs w:val="24"/>
                <w:shd w:val="clear" w:color="auto" w:fill="FFFFFF"/>
              </w:rPr>
            </w:pPr>
          </w:p>
          <w:p w14:paraId="64C3E1C7" w14:textId="067E9A24" w:rsidR="00736C30" w:rsidRDefault="003D2AD6" w:rsidP="00B64D23">
            <w:pPr>
              <w:jc w:val="both"/>
              <w:rPr>
                <w:rFonts w:ascii="Times New Roman" w:hAnsi="Times New Roman" w:cs="Times New Roman"/>
                <w:sz w:val="24"/>
                <w:szCs w:val="24"/>
                <w:shd w:val="clear" w:color="auto" w:fill="FFFFFF"/>
              </w:rPr>
            </w:pPr>
            <w:r w:rsidRPr="003565CF">
              <w:rPr>
                <w:rFonts w:ascii="Times New Roman" w:hAnsi="Times New Roman" w:cs="Times New Roman"/>
                <w:sz w:val="24"/>
                <w:szCs w:val="24"/>
                <w:shd w:val="clear" w:color="auto" w:fill="FFFFFF"/>
              </w:rPr>
              <w:t xml:space="preserve">Ņemot vērā, ka </w:t>
            </w:r>
            <w:r w:rsidR="00E02CEB">
              <w:rPr>
                <w:rFonts w:ascii="Times New Roman" w:hAnsi="Times New Roman" w:cs="Times New Roman"/>
                <w:sz w:val="24"/>
                <w:szCs w:val="24"/>
                <w:shd w:val="clear" w:color="auto" w:fill="FFFFFF"/>
              </w:rPr>
              <w:t xml:space="preserve">pašlaik spēkā esošā </w:t>
            </w:r>
            <w:r w:rsidR="00E02CEB" w:rsidRPr="00E02CEB">
              <w:rPr>
                <w:rFonts w:ascii="Times New Roman" w:hAnsi="Times New Roman" w:cs="Times New Roman"/>
                <w:sz w:val="24"/>
                <w:szCs w:val="24"/>
                <w:shd w:val="clear" w:color="auto" w:fill="FFFFFF"/>
              </w:rPr>
              <w:t>Regulā Nr.</w:t>
            </w:r>
            <w:r w:rsidR="00E02CEB">
              <w:rPr>
                <w:rFonts w:ascii="Times New Roman" w:hAnsi="Times New Roman" w:cs="Times New Roman"/>
                <w:sz w:val="24"/>
                <w:szCs w:val="24"/>
                <w:shd w:val="clear" w:color="auto" w:fill="FFFFFF"/>
              </w:rPr>
              <w:t> </w:t>
            </w:r>
            <w:r w:rsidR="00E02CEB" w:rsidRPr="00E02CEB">
              <w:rPr>
                <w:rFonts w:ascii="Times New Roman" w:hAnsi="Times New Roman" w:cs="Times New Roman"/>
                <w:sz w:val="24"/>
                <w:szCs w:val="24"/>
                <w:shd w:val="clear" w:color="auto" w:fill="FFFFFF"/>
              </w:rPr>
              <w:t>575/2013 aprakstīt</w:t>
            </w:r>
            <w:r w:rsidR="00E02CEB">
              <w:rPr>
                <w:rFonts w:ascii="Times New Roman" w:hAnsi="Times New Roman" w:cs="Times New Roman"/>
                <w:sz w:val="24"/>
                <w:szCs w:val="24"/>
                <w:shd w:val="clear" w:color="auto" w:fill="FFFFFF"/>
              </w:rPr>
              <w:t>ā</w:t>
            </w:r>
            <w:r w:rsidR="00E02CEB" w:rsidRPr="00E02CEB">
              <w:rPr>
                <w:rFonts w:ascii="Times New Roman" w:hAnsi="Times New Roman" w:cs="Times New Roman"/>
                <w:sz w:val="24"/>
                <w:szCs w:val="24"/>
                <w:shd w:val="clear" w:color="auto" w:fill="FFFFFF"/>
              </w:rPr>
              <w:t xml:space="preserve"> </w:t>
            </w:r>
            <w:r w:rsidR="00EC7E47" w:rsidRPr="003565CF">
              <w:rPr>
                <w:rFonts w:ascii="Times New Roman" w:hAnsi="Times New Roman" w:cs="Times New Roman"/>
                <w:sz w:val="24"/>
                <w:szCs w:val="24"/>
                <w:shd w:val="clear" w:color="auto" w:fill="FFFFFF"/>
              </w:rPr>
              <w:t>standartizēt</w:t>
            </w:r>
            <w:r w:rsidR="000C35B9" w:rsidRPr="003565CF">
              <w:rPr>
                <w:rFonts w:ascii="Times New Roman" w:hAnsi="Times New Roman" w:cs="Times New Roman"/>
                <w:sz w:val="24"/>
                <w:szCs w:val="24"/>
                <w:shd w:val="clear" w:color="auto" w:fill="FFFFFF"/>
              </w:rPr>
              <w:t>ā</w:t>
            </w:r>
            <w:r w:rsidR="00EC7E47" w:rsidRPr="003565CF">
              <w:rPr>
                <w:rFonts w:ascii="Times New Roman" w:hAnsi="Times New Roman" w:cs="Times New Roman"/>
                <w:sz w:val="24"/>
                <w:szCs w:val="24"/>
                <w:shd w:val="clear" w:color="auto" w:fill="FFFFFF"/>
              </w:rPr>
              <w:t xml:space="preserve"> pie</w:t>
            </w:r>
            <w:r w:rsidR="000C35B9" w:rsidRPr="003565CF">
              <w:rPr>
                <w:rFonts w:ascii="Times New Roman" w:hAnsi="Times New Roman" w:cs="Times New Roman"/>
                <w:sz w:val="24"/>
                <w:szCs w:val="24"/>
                <w:shd w:val="clear" w:color="auto" w:fill="FFFFFF"/>
              </w:rPr>
              <w:t>eja tiks aizstāta</w:t>
            </w:r>
            <w:r w:rsidR="00EC7E47" w:rsidRPr="003565CF">
              <w:rPr>
                <w:rFonts w:ascii="Times New Roman" w:hAnsi="Times New Roman" w:cs="Times New Roman"/>
                <w:sz w:val="24"/>
                <w:szCs w:val="24"/>
                <w:shd w:val="clear" w:color="auto" w:fill="FFFFFF"/>
              </w:rPr>
              <w:t xml:space="preserve"> ar</w:t>
            </w:r>
            <w:r w:rsidR="00B2187F" w:rsidRPr="003565CF">
              <w:rPr>
                <w:rFonts w:ascii="Times New Roman" w:hAnsi="Times New Roman" w:cs="Times New Roman"/>
                <w:sz w:val="24"/>
                <w:szCs w:val="24"/>
                <w:shd w:val="clear" w:color="auto" w:fill="FFFFFF"/>
              </w:rPr>
              <w:t xml:space="preserve"> </w:t>
            </w:r>
            <w:r w:rsidR="00E02CEB">
              <w:rPr>
                <w:rFonts w:ascii="Times New Roman" w:hAnsi="Times New Roman" w:cs="Times New Roman"/>
                <w:sz w:val="24"/>
                <w:szCs w:val="24"/>
                <w:shd w:val="clear" w:color="auto" w:fill="FFFFFF"/>
              </w:rPr>
              <w:t xml:space="preserve">minēto </w:t>
            </w:r>
            <w:r w:rsidR="00B2187F" w:rsidRPr="003565CF">
              <w:rPr>
                <w:rFonts w:ascii="Times New Roman" w:hAnsi="Times New Roman" w:cs="Times New Roman"/>
                <w:sz w:val="24"/>
                <w:szCs w:val="24"/>
                <w:shd w:val="clear" w:color="auto" w:fill="FFFFFF"/>
              </w:rPr>
              <w:t>vienkāršoto standartizēto pieeju</w:t>
            </w:r>
            <w:r w:rsidR="00EC7E47" w:rsidRPr="003565CF">
              <w:rPr>
                <w:rFonts w:ascii="Times New Roman" w:hAnsi="Times New Roman" w:cs="Times New Roman"/>
                <w:sz w:val="24"/>
                <w:szCs w:val="24"/>
                <w:shd w:val="clear" w:color="auto" w:fill="FFFFFF"/>
              </w:rPr>
              <w:t xml:space="preserve">, </w:t>
            </w:r>
            <w:r w:rsidRPr="003565CF">
              <w:rPr>
                <w:rFonts w:ascii="Times New Roman" w:hAnsi="Times New Roman" w:cs="Times New Roman"/>
                <w:sz w:val="24"/>
                <w:szCs w:val="24"/>
                <w:shd w:val="clear" w:color="auto" w:fill="FFFFFF"/>
              </w:rPr>
              <w:t>n</w:t>
            </w:r>
            <w:r w:rsidR="00DA03F3" w:rsidRPr="003565CF">
              <w:rPr>
                <w:rFonts w:ascii="Times New Roman" w:hAnsi="Times New Roman" w:cs="Times New Roman"/>
                <w:sz w:val="24"/>
                <w:szCs w:val="24"/>
                <w:shd w:val="clear" w:color="auto" w:fill="FFFFFF"/>
              </w:rPr>
              <w:t xml:space="preserve">oteikumu projekta </w:t>
            </w:r>
            <w:r w:rsidR="00E02CEB" w:rsidRPr="003565CF">
              <w:rPr>
                <w:rFonts w:ascii="Times New Roman" w:hAnsi="Times New Roman" w:cs="Times New Roman"/>
                <w:sz w:val="24"/>
                <w:szCs w:val="24"/>
                <w:shd w:val="clear" w:color="auto" w:fill="FFFFFF"/>
              </w:rPr>
              <w:t>7</w:t>
            </w:r>
            <w:r w:rsidR="00E02CEB">
              <w:rPr>
                <w:rFonts w:ascii="Times New Roman" w:hAnsi="Times New Roman" w:cs="Times New Roman"/>
                <w:sz w:val="24"/>
                <w:szCs w:val="24"/>
                <w:shd w:val="clear" w:color="auto" w:fill="FFFFFF"/>
              </w:rPr>
              <w:t>8</w:t>
            </w:r>
            <w:r w:rsidR="00DA03F3" w:rsidRPr="003565CF">
              <w:rPr>
                <w:rFonts w:ascii="Times New Roman" w:hAnsi="Times New Roman" w:cs="Times New Roman"/>
                <w:sz w:val="24"/>
                <w:szCs w:val="24"/>
                <w:shd w:val="clear" w:color="auto" w:fill="FFFFFF"/>
              </w:rPr>
              <w:t>. punkts</w:t>
            </w:r>
            <w:r w:rsidR="00DA03F3" w:rsidRPr="008366A3">
              <w:rPr>
                <w:rFonts w:ascii="Times New Roman" w:hAnsi="Times New Roman" w:cs="Times New Roman"/>
                <w:sz w:val="24"/>
                <w:szCs w:val="24"/>
                <w:shd w:val="clear" w:color="auto" w:fill="FFFFFF"/>
              </w:rPr>
              <w:t xml:space="preserve"> paredz</w:t>
            </w:r>
            <w:r w:rsidR="007B6435">
              <w:rPr>
                <w:rFonts w:ascii="Times New Roman" w:hAnsi="Times New Roman" w:cs="Times New Roman"/>
                <w:sz w:val="24"/>
                <w:szCs w:val="24"/>
                <w:shd w:val="clear" w:color="auto" w:fill="FFFFFF"/>
              </w:rPr>
              <w:t>, ka</w:t>
            </w:r>
            <w:r w:rsidR="00500862" w:rsidRPr="008366A3">
              <w:rPr>
                <w:rFonts w:ascii="Times New Roman" w:hAnsi="Times New Roman" w:cs="Times New Roman"/>
                <w:sz w:val="24"/>
                <w:szCs w:val="24"/>
                <w:shd w:val="clear" w:color="auto" w:fill="FFFFFF"/>
              </w:rPr>
              <w:t xml:space="preserve"> kredītiestāde</w:t>
            </w:r>
            <w:r w:rsidR="00EC7E47" w:rsidRPr="008366A3">
              <w:rPr>
                <w:rFonts w:ascii="Times New Roman" w:hAnsi="Times New Roman" w:cs="Times New Roman"/>
                <w:sz w:val="24"/>
                <w:szCs w:val="24"/>
                <w:shd w:val="clear" w:color="auto" w:fill="FFFFFF"/>
              </w:rPr>
              <w:t xml:space="preserve"> </w:t>
            </w:r>
            <w:r w:rsidR="00E02CEB">
              <w:rPr>
                <w:rFonts w:ascii="Times New Roman" w:hAnsi="Times New Roman" w:cs="Times New Roman"/>
                <w:sz w:val="24"/>
                <w:szCs w:val="24"/>
                <w:shd w:val="clear" w:color="auto" w:fill="FFFFFF"/>
              </w:rPr>
              <w:t>l</w:t>
            </w:r>
            <w:r w:rsidR="00E02CEB" w:rsidRPr="00E02CEB">
              <w:rPr>
                <w:rFonts w:ascii="Times New Roman" w:hAnsi="Times New Roman" w:cs="Times New Roman"/>
                <w:sz w:val="24"/>
                <w:szCs w:val="24"/>
                <w:shd w:val="clear" w:color="auto" w:fill="FFFFFF"/>
              </w:rPr>
              <w:t xml:space="preserve">īdz dienai, kad </w:t>
            </w:r>
            <w:r w:rsidR="007B6435">
              <w:rPr>
                <w:rFonts w:ascii="Times New Roman" w:hAnsi="Times New Roman" w:cs="Times New Roman"/>
                <w:sz w:val="24"/>
                <w:szCs w:val="24"/>
                <w:shd w:val="clear" w:color="auto" w:fill="FFFFFF"/>
              </w:rPr>
              <w:t>tā</w:t>
            </w:r>
            <w:r w:rsidR="00E02CEB" w:rsidRPr="00E02CEB">
              <w:rPr>
                <w:rFonts w:ascii="Times New Roman" w:hAnsi="Times New Roman" w:cs="Times New Roman"/>
                <w:sz w:val="24"/>
                <w:szCs w:val="24"/>
                <w:shd w:val="clear" w:color="auto" w:fill="FFFFFF"/>
              </w:rPr>
              <w:t xml:space="preserve">, aprēķinot tirgus riska pašu kapitāla prasību, sāk piemērot vienkāršoto standartizēto pieeju saskaņā ar </w:t>
            </w:r>
            <w:r w:rsidR="00E02CEB" w:rsidRPr="00BB5304">
              <w:rPr>
                <w:rFonts w:ascii="Times New Roman" w:hAnsi="Times New Roman" w:cs="Times New Roman"/>
                <w:sz w:val="24"/>
                <w:szCs w:val="24"/>
                <w:shd w:val="clear" w:color="auto" w:fill="FFFFFF"/>
              </w:rPr>
              <w:t>Regulu Nr. 575/2013</w:t>
            </w:r>
            <w:r w:rsidR="00E02CEB" w:rsidRPr="00E02CEB">
              <w:rPr>
                <w:rFonts w:ascii="Times New Roman" w:hAnsi="Times New Roman" w:cs="Times New Roman"/>
                <w:sz w:val="24"/>
                <w:szCs w:val="24"/>
                <w:shd w:val="clear" w:color="auto" w:fill="FFFFFF"/>
              </w:rPr>
              <w:t>, šo noteikumu 23. un 24.</w:t>
            </w:r>
            <w:r w:rsidR="00E02CEB">
              <w:rPr>
                <w:rFonts w:ascii="Times New Roman" w:hAnsi="Times New Roman" w:cs="Times New Roman"/>
                <w:sz w:val="24"/>
                <w:szCs w:val="24"/>
                <w:shd w:val="clear" w:color="auto" w:fill="FFFFFF"/>
              </w:rPr>
              <w:t> </w:t>
            </w:r>
            <w:r w:rsidR="00E02CEB" w:rsidRPr="00E02CEB">
              <w:rPr>
                <w:rFonts w:ascii="Times New Roman" w:hAnsi="Times New Roman" w:cs="Times New Roman"/>
                <w:sz w:val="24"/>
                <w:szCs w:val="24"/>
                <w:shd w:val="clear" w:color="auto" w:fill="FFFFFF"/>
              </w:rPr>
              <w:t>punkta prasības piemēro, izvērtējot tirgus riska pašu kapitāla prasības, kas aprēķināta saskaņā ar Regulā Nr.</w:t>
            </w:r>
            <w:r w:rsidR="00E02CEB">
              <w:rPr>
                <w:rFonts w:ascii="Times New Roman" w:hAnsi="Times New Roman" w:cs="Times New Roman"/>
                <w:sz w:val="24"/>
                <w:szCs w:val="24"/>
                <w:shd w:val="clear" w:color="auto" w:fill="FFFFFF"/>
              </w:rPr>
              <w:t> </w:t>
            </w:r>
            <w:r w:rsidR="00E02CEB" w:rsidRPr="00E02CEB">
              <w:rPr>
                <w:rFonts w:ascii="Times New Roman" w:hAnsi="Times New Roman" w:cs="Times New Roman"/>
                <w:sz w:val="24"/>
                <w:szCs w:val="24"/>
                <w:shd w:val="clear" w:color="auto" w:fill="FFFFFF"/>
              </w:rPr>
              <w:t>575/2013 aprakstīto standartizēto pieeju, apmēra pietiekamību tās darbībai piemītošā tirgus riska segšanai</w:t>
            </w:r>
            <w:r w:rsidR="000C35B9" w:rsidRPr="003565CF">
              <w:rPr>
                <w:rFonts w:ascii="Times New Roman" w:hAnsi="Times New Roman" w:cs="Times New Roman"/>
                <w:sz w:val="24"/>
                <w:szCs w:val="24"/>
                <w:shd w:val="clear" w:color="auto" w:fill="FFFFFF"/>
              </w:rPr>
              <w:t>.</w:t>
            </w:r>
          </w:p>
          <w:p w14:paraId="525A448E" w14:textId="77777777" w:rsidR="00DF3207" w:rsidRDefault="00DF3207" w:rsidP="00B64D23">
            <w:pPr>
              <w:jc w:val="both"/>
              <w:rPr>
                <w:rFonts w:ascii="Times New Roman" w:hAnsi="Times New Roman" w:cs="Times New Roman"/>
                <w:sz w:val="24"/>
                <w:szCs w:val="24"/>
                <w:shd w:val="clear" w:color="auto" w:fill="FFFFFF"/>
              </w:rPr>
            </w:pPr>
          </w:p>
          <w:p w14:paraId="6BB34227" w14:textId="1CD57C90" w:rsidR="00977D7D" w:rsidRDefault="006A645F" w:rsidP="00B64D23">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Noteikumu projekta 38.2.2. apakšpunkts</w:t>
            </w:r>
            <w:r w:rsidR="00153B6A">
              <w:rPr>
                <w:rFonts w:ascii="Times New Roman" w:hAnsi="Times New Roman" w:cs="Times New Roman"/>
                <w:sz w:val="24"/>
                <w:szCs w:val="24"/>
                <w:shd w:val="clear" w:color="auto" w:fill="FFFFFF"/>
              </w:rPr>
              <w:t xml:space="preserve"> </w:t>
            </w:r>
            <w:r w:rsidR="004C55D1">
              <w:rPr>
                <w:rFonts w:ascii="Times New Roman" w:hAnsi="Times New Roman" w:cs="Times New Roman"/>
                <w:sz w:val="24"/>
                <w:szCs w:val="24"/>
                <w:shd w:val="clear" w:color="auto" w:fill="FFFFFF"/>
              </w:rPr>
              <w:t xml:space="preserve">nosaka prasību </w:t>
            </w:r>
            <w:r w:rsidR="00153B6A" w:rsidRPr="00153B6A">
              <w:rPr>
                <w:rFonts w:ascii="Times New Roman" w:hAnsi="Times New Roman" w:cs="Times New Roman"/>
                <w:sz w:val="24"/>
                <w:szCs w:val="24"/>
                <w:shd w:val="clear" w:color="auto" w:fill="FFFFFF"/>
              </w:rPr>
              <w:t>kredītportfeļa sadalījumam tautsaimniecības nozarēs izmanto</w:t>
            </w:r>
            <w:r w:rsidR="004C55D1">
              <w:rPr>
                <w:rFonts w:ascii="Times New Roman" w:hAnsi="Times New Roman" w:cs="Times New Roman"/>
                <w:sz w:val="24"/>
                <w:szCs w:val="24"/>
                <w:shd w:val="clear" w:color="auto" w:fill="FFFFFF"/>
              </w:rPr>
              <w:t>t</w:t>
            </w:r>
            <w:r w:rsidR="00153B6A" w:rsidRPr="00153B6A">
              <w:rPr>
                <w:rFonts w:ascii="Times New Roman" w:hAnsi="Times New Roman" w:cs="Times New Roman"/>
                <w:sz w:val="24"/>
                <w:szCs w:val="24"/>
                <w:shd w:val="clear" w:color="auto" w:fill="FFFFFF"/>
              </w:rPr>
              <w:t xml:space="preserve"> saimnieciskās darbības kodu atbilstoši Eiropas Savienības saimniecisko darbību statistiskās klasifikācijas (NACE) 2.1.</w:t>
            </w:r>
            <w:r w:rsidR="004C55D1">
              <w:rPr>
                <w:rFonts w:ascii="Times New Roman" w:hAnsi="Times New Roman" w:cs="Times New Roman"/>
                <w:sz w:val="24"/>
                <w:szCs w:val="24"/>
                <w:shd w:val="clear" w:color="auto" w:fill="FFFFFF"/>
              </w:rPr>
              <w:t> </w:t>
            </w:r>
            <w:r w:rsidR="00153B6A" w:rsidRPr="00153B6A">
              <w:rPr>
                <w:rFonts w:ascii="Times New Roman" w:hAnsi="Times New Roman" w:cs="Times New Roman"/>
                <w:sz w:val="24"/>
                <w:szCs w:val="24"/>
                <w:shd w:val="clear" w:color="auto" w:fill="FFFFFF"/>
              </w:rPr>
              <w:t>redakcijai</w:t>
            </w:r>
            <w:r w:rsidR="004C55D1">
              <w:rPr>
                <w:rFonts w:ascii="Times New Roman" w:hAnsi="Times New Roman" w:cs="Times New Roman"/>
                <w:sz w:val="24"/>
                <w:szCs w:val="24"/>
                <w:shd w:val="clear" w:color="auto" w:fill="FFFFFF"/>
              </w:rPr>
              <w:t xml:space="preserve">. </w:t>
            </w:r>
            <w:r w:rsidR="001D19A4">
              <w:rPr>
                <w:rFonts w:ascii="Times New Roman" w:hAnsi="Times New Roman" w:cs="Times New Roman"/>
                <w:sz w:val="24"/>
                <w:szCs w:val="24"/>
                <w:shd w:val="clear" w:color="auto" w:fill="FFFFFF"/>
              </w:rPr>
              <w:t xml:space="preserve">Ņemot vērā, ka </w:t>
            </w:r>
            <w:r w:rsidR="0064636F">
              <w:rPr>
                <w:rFonts w:ascii="Times New Roman" w:hAnsi="Times New Roman" w:cs="Times New Roman"/>
                <w:sz w:val="24"/>
                <w:szCs w:val="24"/>
                <w:shd w:val="clear" w:color="auto" w:fill="FFFFFF"/>
              </w:rPr>
              <w:t xml:space="preserve">minētā </w:t>
            </w:r>
            <w:r w:rsidR="00040992">
              <w:rPr>
                <w:rFonts w:ascii="Times New Roman" w:hAnsi="Times New Roman" w:cs="Times New Roman"/>
                <w:sz w:val="24"/>
                <w:szCs w:val="24"/>
                <w:shd w:val="clear" w:color="auto" w:fill="FFFFFF"/>
              </w:rPr>
              <w:t>2.1. </w:t>
            </w:r>
            <w:r w:rsidR="0064636F">
              <w:rPr>
                <w:rFonts w:ascii="Times New Roman" w:hAnsi="Times New Roman" w:cs="Times New Roman"/>
                <w:sz w:val="24"/>
                <w:szCs w:val="24"/>
                <w:shd w:val="clear" w:color="auto" w:fill="FFFFFF"/>
              </w:rPr>
              <w:t>redakcija stāj</w:t>
            </w:r>
            <w:r w:rsidR="00BF3E01">
              <w:rPr>
                <w:rFonts w:ascii="Times New Roman" w:hAnsi="Times New Roman" w:cs="Times New Roman"/>
                <w:sz w:val="24"/>
                <w:szCs w:val="24"/>
                <w:shd w:val="clear" w:color="auto" w:fill="FFFFFF"/>
              </w:rPr>
              <w:t>a</w:t>
            </w:r>
            <w:r w:rsidR="0064636F">
              <w:rPr>
                <w:rFonts w:ascii="Times New Roman" w:hAnsi="Times New Roman" w:cs="Times New Roman"/>
                <w:sz w:val="24"/>
                <w:szCs w:val="24"/>
                <w:shd w:val="clear" w:color="auto" w:fill="FFFFFF"/>
              </w:rPr>
              <w:t xml:space="preserve">s </w:t>
            </w:r>
            <w:r w:rsidR="0064636F">
              <w:rPr>
                <w:rFonts w:ascii="Times New Roman" w:hAnsi="Times New Roman" w:cs="Times New Roman"/>
                <w:sz w:val="24"/>
                <w:szCs w:val="24"/>
                <w:shd w:val="clear" w:color="auto" w:fill="FFFFFF"/>
              </w:rPr>
              <w:lastRenderedPageBreak/>
              <w:t>spēkā 2025. gada 1. janvārī, noteikumu projekta 7</w:t>
            </w:r>
            <w:r w:rsidR="00977D7D">
              <w:rPr>
                <w:rFonts w:ascii="Times New Roman" w:hAnsi="Times New Roman" w:cs="Times New Roman"/>
                <w:sz w:val="24"/>
                <w:szCs w:val="24"/>
                <w:shd w:val="clear" w:color="auto" w:fill="FFFFFF"/>
              </w:rPr>
              <w:t>7</w:t>
            </w:r>
            <w:r w:rsidR="0064636F">
              <w:rPr>
                <w:rFonts w:ascii="Times New Roman" w:hAnsi="Times New Roman" w:cs="Times New Roman"/>
                <w:sz w:val="24"/>
                <w:szCs w:val="24"/>
                <w:shd w:val="clear" w:color="auto" w:fill="FFFFFF"/>
              </w:rPr>
              <w:t>.</w:t>
            </w:r>
            <w:r w:rsidR="00977D7D">
              <w:rPr>
                <w:rFonts w:ascii="Times New Roman" w:hAnsi="Times New Roman" w:cs="Times New Roman"/>
                <w:sz w:val="24"/>
                <w:szCs w:val="24"/>
                <w:shd w:val="clear" w:color="auto" w:fill="FFFFFF"/>
              </w:rPr>
              <w:t> punkts paredz</w:t>
            </w:r>
            <w:r w:rsidR="0067778E">
              <w:rPr>
                <w:rFonts w:ascii="Times New Roman" w:hAnsi="Times New Roman" w:cs="Times New Roman"/>
                <w:sz w:val="24"/>
                <w:szCs w:val="24"/>
                <w:shd w:val="clear" w:color="auto" w:fill="FFFFFF"/>
              </w:rPr>
              <w:t>, ka</w:t>
            </w:r>
            <w:r w:rsidR="00040992">
              <w:rPr>
                <w:rFonts w:ascii="Times New Roman" w:hAnsi="Times New Roman" w:cs="Times New Roman"/>
                <w:sz w:val="24"/>
                <w:szCs w:val="24"/>
                <w:shd w:val="clear" w:color="auto" w:fill="FFFFFF"/>
              </w:rPr>
              <w:t>,</w:t>
            </w:r>
            <w:r w:rsidR="0067778E">
              <w:rPr>
                <w:rFonts w:ascii="Times New Roman" w:hAnsi="Times New Roman" w:cs="Times New Roman"/>
                <w:sz w:val="24"/>
                <w:szCs w:val="24"/>
                <w:shd w:val="clear" w:color="auto" w:fill="FFFFFF"/>
              </w:rPr>
              <w:t xml:space="preserve"> v</w:t>
            </w:r>
            <w:r w:rsidR="00977D7D" w:rsidRPr="00977D7D">
              <w:rPr>
                <w:rFonts w:ascii="Times New Roman" w:hAnsi="Times New Roman" w:cs="Times New Roman"/>
                <w:sz w:val="24"/>
                <w:szCs w:val="24"/>
                <w:shd w:val="clear" w:color="auto" w:fill="FFFFFF"/>
              </w:rPr>
              <w:t xml:space="preserve">eicot </w:t>
            </w:r>
            <w:r w:rsidR="0067778E">
              <w:rPr>
                <w:rFonts w:ascii="Times New Roman" w:hAnsi="Times New Roman" w:cs="Times New Roman"/>
                <w:sz w:val="24"/>
                <w:szCs w:val="24"/>
                <w:shd w:val="clear" w:color="auto" w:fill="FFFFFF"/>
              </w:rPr>
              <w:t xml:space="preserve">kapitāla pietiekamības novērtēšanas </w:t>
            </w:r>
            <w:r w:rsidR="00977D7D" w:rsidRPr="00977D7D">
              <w:rPr>
                <w:rFonts w:ascii="Times New Roman" w:hAnsi="Times New Roman" w:cs="Times New Roman"/>
                <w:sz w:val="24"/>
                <w:szCs w:val="24"/>
                <w:shd w:val="clear" w:color="auto" w:fill="FFFFFF"/>
              </w:rPr>
              <w:t xml:space="preserve">procesu par </w:t>
            </w:r>
            <w:r w:rsidR="00DA5F6A">
              <w:rPr>
                <w:rFonts w:ascii="Times New Roman" w:hAnsi="Times New Roman" w:cs="Times New Roman"/>
                <w:sz w:val="24"/>
                <w:szCs w:val="24"/>
                <w:shd w:val="clear" w:color="auto" w:fill="FFFFFF"/>
              </w:rPr>
              <w:t xml:space="preserve">atskaites datumu, kas ir </w:t>
            </w:r>
            <w:r w:rsidR="00977D7D" w:rsidRPr="00977D7D">
              <w:rPr>
                <w:rFonts w:ascii="Times New Roman" w:hAnsi="Times New Roman" w:cs="Times New Roman"/>
                <w:sz w:val="24"/>
                <w:szCs w:val="24"/>
                <w:shd w:val="clear" w:color="auto" w:fill="FFFFFF"/>
              </w:rPr>
              <w:t>2024.</w:t>
            </w:r>
            <w:r w:rsidR="0067778E">
              <w:rPr>
                <w:rFonts w:ascii="Times New Roman" w:hAnsi="Times New Roman" w:cs="Times New Roman"/>
                <w:sz w:val="24"/>
                <w:szCs w:val="24"/>
                <w:shd w:val="clear" w:color="auto" w:fill="FFFFFF"/>
              </w:rPr>
              <w:t> </w:t>
            </w:r>
            <w:r w:rsidR="00977D7D" w:rsidRPr="00977D7D">
              <w:rPr>
                <w:rFonts w:ascii="Times New Roman" w:hAnsi="Times New Roman" w:cs="Times New Roman"/>
                <w:sz w:val="24"/>
                <w:szCs w:val="24"/>
                <w:shd w:val="clear" w:color="auto" w:fill="FFFFFF"/>
              </w:rPr>
              <w:t>gada 31.</w:t>
            </w:r>
            <w:r w:rsidR="0067778E">
              <w:rPr>
                <w:rFonts w:ascii="Times New Roman" w:hAnsi="Times New Roman" w:cs="Times New Roman"/>
                <w:sz w:val="24"/>
                <w:szCs w:val="24"/>
                <w:shd w:val="clear" w:color="auto" w:fill="FFFFFF"/>
              </w:rPr>
              <w:t> </w:t>
            </w:r>
            <w:r w:rsidR="00977D7D" w:rsidRPr="00977D7D">
              <w:rPr>
                <w:rFonts w:ascii="Times New Roman" w:hAnsi="Times New Roman" w:cs="Times New Roman"/>
                <w:sz w:val="24"/>
                <w:szCs w:val="24"/>
                <w:shd w:val="clear" w:color="auto" w:fill="FFFFFF"/>
              </w:rPr>
              <w:t>decembri</w:t>
            </w:r>
            <w:r w:rsidR="00DA5F6A">
              <w:rPr>
                <w:rFonts w:ascii="Times New Roman" w:hAnsi="Times New Roman" w:cs="Times New Roman"/>
                <w:sz w:val="24"/>
                <w:szCs w:val="24"/>
                <w:shd w:val="clear" w:color="auto" w:fill="FFFFFF"/>
              </w:rPr>
              <w:t>s</w:t>
            </w:r>
            <w:r w:rsidR="00040992">
              <w:rPr>
                <w:rFonts w:ascii="Times New Roman" w:hAnsi="Times New Roman" w:cs="Times New Roman"/>
                <w:sz w:val="24"/>
                <w:szCs w:val="24"/>
                <w:shd w:val="clear" w:color="auto" w:fill="FFFFFF"/>
              </w:rPr>
              <w:t>,</w:t>
            </w:r>
            <w:r w:rsidR="00977D7D" w:rsidRPr="00977D7D">
              <w:rPr>
                <w:rFonts w:ascii="Times New Roman" w:hAnsi="Times New Roman" w:cs="Times New Roman"/>
                <w:sz w:val="24"/>
                <w:szCs w:val="24"/>
                <w:shd w:val="clear" w:color="auto" w:fill="FFFFFF"/>
              </w:rPr>
              <w:t xml:space="preserve"> </w:t>
            </w:r>
            <w:r w:rsidR="00F61B74" w:rsidRPr="00F61B74">
              <w:rPr>
                <w:rFonts w:ascii="Times New Roman" w:hAnsi="Times New Roman" w:cs="Times New Roman"/>
                <w:sz w:val="24"/>
                <w:szCs w:val="24"/>
                <w:shd w:val="clear" w:color="auto" w:fill="FFFFFF"/>
              </w:rPr>
              <w:t xml:space="preserve">un nosakot nozaru koncentrācijas riska segšanai nepieciešamā kapitāla apmēru, kredītportfeļa sadalījumam tautsaimniecības nozarēs izmanto </w:t>
            </w:r>
            <w:r w:rsidR="00977D7D" w:rsidRPr="00977D7D">
              <w:rPr>
                <w:rFonts w:ascii="Times New Roman" w:hAnsi="Times New Roman" w:cs="Times New Roman"/>
                <w:sz w:val="24"/>
                <w:szCs w:val="24"/>
                <w:shd w:val="clear" w:color="auto" w:fill="FFFFFF"/>
              </w:rPr>
              <w:t>saimnieciskās darbības kodu atbilstoši Eiropas Savienības saimniecisko darbību statistiskās klasifikācijas (NACE) 2.</w:t>
            </w:r>
            <w:r w:rsidR="00DA5F6A">
              <w:rPr>
                <w:rFonts w:ascii="Times New Roman" w:hAnsi="Times New Roman" w:cs="Times New Roman"/>
                <w:sz w:val="24"/>
                <w:szCs w:val="24"/>
                <w:shd w:val="clear" w:color="auto" w:fill="FFFFFF"/>
              </w:rPr>
              <w:t> </w:t>
            </w:r>
            <w:r w:rsidR="00977D7D" w:rsidRPr="00977D7D">
              <w:rPr>
                <w:rFonts w:ascii="Times New Roman" w:hAnsi="Times New Roman" w:cs="Times New Roman"/>
                <w:sz w:val="24"/>
                <w:szCs w:val="24"/>
                <w:shd w:val="clear" w:color="auto" w:fill="FFFFFF"/>
              </w:rPr>
              <w:t>redakcijai.</w:t>
            </w:r>
          </w:p>
          <w:p w14:paraId="659947AB" w14:textId="77777777" w:rsidR="001D77D5" w:rsidRDefault="001D77D5" w:rsidP="00AC49E4">
            <w:pPr>
              <w:jc w:val="both"/>
              <w:rPr>
                <w:rFonts w:ascii="Times New Roman" w:hAnsi="Times New Roman" w:cs="Times New Roman"/>
                <w:sz w:val="24"/>
                <w:szCs w:val="24"/>
                <w:shd w:val="clear" w:color="auto" w:fill="FFFFFF"/>
              </w:rPr>
            </w:pPr>
          </w:p>
          <w:p w14:paraId="5538B12D" w14:textId="21110B12" w:rsidR="00F61B74" w:rsidRPr="00912774" w:rsidRDefault="00F61B74" w:rsidP="00AC49E4">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Papildus noteikumu projekta </w:t>
            </w:r>
            <w:r w:rsidRPr="00F61B74">
              <w:rPr>
                <w:rFonts w:ascii="Times New Roman" w:hAnsi="Times New Roman" w:cs="Times New Roman"/>
                <w:sz w:val="24"/>
                <w:szCs w:val="24"/>
                <w:shd w:val="clear" w:color="auto" w:fill="FFFFFF"/>
              </w:rPr>
              <w:t>76.</w:t>
            </w:r>
            <w:r>
              <w:rPr>
                <w:rFonts w:ascii="Times New Roman" w:hAnsi="Times New Roman" w:cs="Times New Roman"/>
                <w:sz w:val="24"/>
                <w:szCs w:val="24"/>
                <w:shd w:val="clear" w:color="auto" w:fill="FFFFFF"/>
              </w:rPr>
              <w:t xml:space="preserve"> punkts paredz, ka noteikumu </w:t>
            </w:r>
            <w:r w:rsidRPr="00F61B74">
              <w:rPr>
                <w:rFonts w:ascii="Times New Roman" w:hAnsi="Times New Roman" w:cs="Times New Roman"/>
                <w:sz w:val="24"/>
                <w:szCs w:val="24"/>
                <w:shd w:val="clear" w:color="auto" w:fill="FFFFFF"/>
              </w:rPr>
              <w:t>prasības sāk piemērot, veicot kapitāla pietiekamības novērtēšanas procesu par atskaites datumu, kas ir 2024.</w:t>
            </w:r>
            <w:r>
              <w:rPr>
                <w:rFonts w:ascii="Times New Roman" w:hAnsi="Times New Roman" w:cs="Times New Roman"/>
                <w:sz w:val="24"/>
                <w:szCs w:val="24"/>
                <w:shd w:val="clear" w:color="auto" w:fill="FFFFFF"/>
              </w:rPr>
              <w:t> </w:t>
            </w:r>
            <w:r w:rsidRPr="00F61B74">
              <w:rPr>
                <w:rFonts w:ascii="Times New Roman" w:hAnsi="Times New Roman" w:cs="Times New Roman"/>
                <w:sz w:val="24"/>
                <w:szCs w:val="24"/>
                <w:shd w:val="clear" w:color="auto" w:fill="FFFFFF"/>
              </w:rPr>
              <w:t>gada 31.</w:t>
            </w:r>
            <w:r>
              <w:rPr>
                <w:rFonts w:ascii="Times New Roman" w:hAnsi="Times New Roman" w:cs="Times New Roman"/>
                <w:sz w:val="24"/>
                <w:szCs w:val="24"/>
                <w:shd w:val="clear" w:color="auto" w:fill="FFFFFF"/>
              </w:rPr>
              <w:t> </w:t>
            </w:r>
            <w:r w:rsidRPr="00F61B74">
              <w:rPr>
                <w:rFonts w:ascii="Times New Roman" w:hAnsi="Times New Roman" w:cs="Times New Roman"/>
                <w:sz w:val="24"/>
                <w:szCs w:val="24"/>
                <w:shd w:val="clear" w:color="auto" w:fill="FFFFFF"/>
              </w:rPr>
              <w:t>decembris.</w:t>
            </w:r>
          </w:p>
          <w:p w14:paraId="4709E201" w14:textId="77777777" w:rsidR="00F61B74" w:rsidRDefault="00F61B74" w:rsidP="005D70BA">
            <w:pPr>
              <w:jc w:val="both"/>
              <w:rPr>
                <w:rFonts w:ascii="Times New Roman" w:hAnsi="Times New Roman" w:cs="Times New Roman"/>
                <w:sz w:val="24"/>
                <w:szCs w:val="24"/>
                <w:shd w:val="clear" w:color="auto" w:fill="FFFFFF"/>
              </w:rPr>
            </w:pPr>
          </w:p>
          <w:p w14:paraId="28D32265" w14:textId="2E106BF2" w:rsidR="006D0D35" w:rsidRPr="00D6150A" w:rsidRDefault="0006408A" w:rsidP="005D70BA">
            <w:pPr>
              <w:jc w:val="both"/>
              <w:rPr>
                <w:rFonts w:ascii="Times New Roman" w:hAnsi="Times New Roman" w:cs="Times New Roman"/>
                <w:sz w:val="24"/>
                <w:szCs w:val="24"/>
                <w:highlight w:val="yellow"/>
                <w:shd w:val="clear" w:color="auto" w:fill="FFFFFF"/>
              </w:rPr>
            </w:pPr>
            <w:r w:rsidRPr="001C6DD7">
              <w:rPr>
                <w:rFonts w:ascii="Times New Roman" w:hAnsi="Times New Roman" w:cs="Times New Roman"/>
                <w:sz w:val="24"/>
                <w:szCs w:val="24"/>
                <w:shd w:val="clear" w:color="auto" w:fill="FFFFFF"/>
              </w:rPr>
              <w:t xml:space="preserve">Līdz ar </w:t>
            </w:r>
            <w:r w:rsidR="00BE1C57">
              <w:rPr>
                <w:rFonts w:ascii="Times New Roman" w:hAnsi="Times New Roman" w:cs="Times New Roman"/>
                <w:sz w:val="24"/>
                <w:szCs w:val="24"/>
                <w:shd w:val="clear" w:color="auto" w:fill="FFFFFF"/>
              </w:rPr>
              <w:t>n</w:t>
            </w:r>
            <w:r w:rsidR="00BE1C57" w:rsidRPr="001C6DD7">
              <w:rPr>
                <w:rFonts w:ascii="Times New Roman" w:hAnsi="Times New Roman" w:cs="Times New Roman"/>
                <w:sz w:val="24"/>
                <w:szCs w:val="24"/>
                <w:shd w:val="clear" w:color="auto" w:fill="FFFFFF"/>
              </w:rPr>
              <w:t xml:space="preserve">oteikumu </w:t>
            </w:r>
            <w:r w:rsidRPr="001C6DD7">
              <w:rPr>
                <w:rFonts w:ascii="Times New Roman" w:hAnsi="Times New Roman" w:cs="Times New Roman"/>
                <w:sz w:val="24"/>
                <w:szCs w:val="24"/>
                <w:shd w:val="clear" w:color="auto" w:fill="FFFFFF"/>
              </w:rPr>
              <w:t>projekta stāšanos spēkā spēku zaudēs Noteikumi Nr.</w:t>
            </w:r>
            <w:r w:rsidR="00BE7A81" w:rsidRPr="001C6DD7">
              <w:rPr>
                <w:rFonts w:ascii="Times New Roman" w:hAnsi="Times New Roman" w:cs="Times New Roman"/>
                <w:sz w:val="24"/>
                <w:szCs w:val="24"/>
                <w:shd w:val="clear" w:color="auto" w:fill="FFFFFF"/>
              </w:rPr>
              <w:t> 209</w:t>
            </w:r>
            <w:r w:rsidRPr="001C6DD7">
              <w:rPr>
                <w:rFonts w:ascii="Times New Roman" w:hAnsi="Times New Roman" w:cs="Times New Roman"/>
                <w:sz w:val="24"/>
                <w:szCs w:val="24"/>
                <w:shd w:val="clear" w:color="auto" w:fill="FFFFFF"/>
              </w:rPr>
              <w:t>.</w:t>
            </w:r>
          </w:p>
        </w:tc>
      </w:tr>
      <w:tr w:rsidR="00A61684" w:rsidRPr="00A61684" w14:paraId="7FF36E12" w14:textId="77777777" w:rsidTr="00207E57">
        <w:tc>
          <w:tcPr>
            <w:tcW w:w="2122" w:type="dxa"/>
          </w:tcPr>
          <w:p w14:paraId="486EBB70" w14:textId="09899FDD" w:rsidR="00822148" w:rsidRPr="004C1C0E" w:rsidRDefault="009E6A95" w:rsidP="00822148">
            <w:pPr>
              <w:jc w:val="both"/>
              <w:rPr>
                <w:rFonts w:ascii="Times New Roman" w:hAnsi="Times New Roman" w:cs="Times New Roman"/>
                <w:b/>
                <w:bCs/>
                <w:sz w:val="24"/>
                <w:szCs w:val="24"/>
              </w:rPr>
            </w:pPr>
            <w:r w:rsidRPr="00650C18">
              <w:rPr>
                <w:rFonts w:ascii="Times New Roman" w:hAnsi="Times New Roman" w:cs="Times New Roman"/>
                <w:b/>
                <w:bCs/>
                <w:sz w:val="24"/>
                <w:szCs w:val="24"/>
              </w:rPr>
              <w:lastRenderedPageBreak/>
              <w:t>Leģitīmais mērķis</w:t>
            </w:r>
          </w:p>
        </w:tc>
        <w:tc>
          <w:tcPr>
            <w:tcW w:w="6237" w:type="dxa"/>
            <w:shd w:val="clear" w:color="auto" w:fill="auto"/>
          </w:tcPr>
          <w:p w14:paraId="7A1B61B3" w14:textId="2077442D" w:rsidR="009B687B" w:rsidRDefault="009B687B" w:rsidP="00845B1B">
            <w:pPr>
              <w:jc w:val="both"/>
              <w:rPr>
                <w:rFonts w:ascii="Times New Roman" w:hAnsi="Times New Roman" w:cs="Times New Roman"/>
                <w:sz w:val="24"/>
                <w:szCs w:val="24"/>
              </w:rPr>
            </w:pPr>
            <w:r w:rsidRPr="009B687B">
              <w:rPr>
                <w:rFonts w:ascii="Times New Roman" w:hAnsi="Times New Roman" w:cs="Times New Roman"/>
                <w:sz w:val="24"/>
                <w:szCs w:val="24"/>
              </w:rPr>
              <w:t>Noteikumu projekta leģitīmais mērķis ir citu personu tiesību aizsardzība un sabiedrības labklājības nodrošināšana.</w:t>
            </w:r>
          </w:p>
          <w:p w14:paraId="4006050A" w14:textId="77777777" w:rsidR="009B687B" w:rsidRDefault="009B687B" w:rsidP="00845B1B">
            <w:pPr>
              <w:jc w:val="both"/>
              <w:rPr>
                <w:rFonts w:ascii="Times New Roman" w:hAnsi="Times New Roman" w:cs="Times New Roman"/>
                <w:sz w:val="24"/>
                <w:szCs w:val="24"/>
              </w:rPr>
            </w:pPr>
          </w:p>
          <w:p w14:paraId="4B2F2E23" w14:textId="3A51E1A9" w:rsidR="009B687B" w:rsidRPr="00D33A6A" w:rsidRDefault="009B687B" w:rsidP="009B687B">
            <w:pPr>
              <w:jc w:val="both"/>
              <w:rPr>
                <w:rFonts w:ascii="Times New Roman" w:hAnsi="Times New Roman" w:cs="Times New Roman"/>
                <w:sz w:val="24"/>
                <w:szCs w:val="24"/>
              </w:rPr>
            </w:pPr>
            <w:r w:rsidRPr="00D33A6A">
              <w:rPr>
                <w:rFonts w:ascii="Times New Roman" w:hAnsi="Times New Roman" w:cs="Times New Roman"/>
                <w:sz w:val="24"/>
                <w:szCs w:val="24"/>
              </w:rPr>
              <w:t>Leģitīmais mērķis – sabiedrības labklājība</w:t>
            </w:r>
            <w:r w:rsidR="0064414B">
              <w:rPr>
                <w:rFonts w:ascii="Times New Roman" w:hAnsi="Times New Roman" w:cs="Times New Roman"/>
                <w:sz w:val="24"/>
                <w:szCs w:val="24"/>
              </w:rPr>
              <w:t>s nodrošināšana</w:t>
            </w:r>
            <w:r w:rsidRPr="00D33A6A">
              <w:rPr>
                <w:rFonts w:ascii="Times New Roman" w:hAnsi="Times New Roman" w:cs="Times New Roman"/>
                <w:sz w:val="24"/>
                <w:szCs w:val="24"/>
              </w:rPr>
              <w:t xml:space="preserve"> – tiek sasniegts, nosakot </w:t>
            </w:r>
            <w:r w:rsidR="00CD5792" w:rsidRPr="00D33A6A">
              <w:rPr>
                <w:rFonts w:ascii="Times New Roman" w:hAnsi="Times New Roman" w:cs="Times New Roman"/>
                <w:sz w:val="24"/>
                <w:szCs w:val="24"/>
              </w:rPr>
              <w:t xml:space="preserve">prasības </w:t>
            </w:r>
            <w:r w:rsidR="004E729A" w:rsidRPr="00D33A6A">
              <w:rPr>
                <w:rFonts w:ascii="Times New Roman" w:hAnsi="Times New Roman" w:cs="Times New Roman"/>
                <w:sz w:val="24"/>
                <w:szCs w:val="24"/>
              </w:rPr>
              <w:t>kredītiestāde</w:t>
            </w:r>
            <w:r w:rsidR="004E729A">
              <w:rPr>
                <w:rFonts w:ascii="Times New Roman" w:hAnsi="Times New Roman" w:cs="Times New Roman"/>
                <w:sz w:val="24"/>
                <w:szCs w:val="24"/>
              </w:rPr>
              <w:t>s</w:t>
            </w:r>
            <w:r w:rsidR="004E729A" w:rsidRPr="00D33A6A">
              <w:rPr>
                <w:rFonts w:ascii="Times New Roman" w:hAnsi="Times New Roman" w:cs="Times New Roman"/>
                <w:sz w:val="24"/>
                <w:szCs w:val="24"/>
              </w:rPr>
              <w:t xml:space="preserve"> </w:t>
            </w:r>
            <w:r w:rsidR="006613AF">
              <w:rPr>
                <w:rFonts w:ascii="Times New Roman" w:hAnsi="Times New Roman" w:cs="Times New Roman"/>
                <w:sz w:val="24"/>
                <w:szCs w:val="24"/>
              </w:rPr>
              <w:t>kapitāla pietiekamības novērtēšanas procesa izveidei un īstenošanai</w:t>
            </w:r>
            <w:r w:rsidR="002E2CD4">
              <w:rPr>
                <w:rFonts w:ascii="Times New Roman" w:hAnsi="Times New Roman" w:cs="Times New Roman"/>
                <w:sz w:val="24"/>
                <w:szCs w:val="24"/>
              </w:rPr>
              <w:t xml:space="preserve"> un</w:t>
            </w:r>
            <w:r w:rsidR="007D0406" w:rsidRPr="00D33A6A">
              <w:rPr>
                <w:rFonts w:ascii="Times New Roman" w:hAnsi="Times New Roman" w:cs="Times New Roman"/>
                <w:sz w:val="24"/>
                <w:szCs w:val="24"/>
              </w:rPr>
              <w:t xml:space="preserve"> </w:t>
            </w:r>
            <w:r w:rsidR="002A24EA">
              <w:rPr>
                <w:rFonts w:ascii="Times New Roman" w:hAnsi="Times New Roman" w:cs="Times New Roman"/>
                <w:sz w:val="24"/>
                <w:szCs w:val="24"/>
              </w:rPr>
              <w:t>prasības</w:t>
            </w:r>
            <w:r w:rsidR="002E2CD4">
              <w:rPr>
                <w:rFonts w:ascii="Times New Roman" w:hAnsi="Times New Roman" w:cs="Times New Roman"/>
                <w:sz w:val="24"/>
                <w:szCs w:val="24"/>
              </w:rPr>
              <w:t xml:space="preserve"> </w:t>
            </w:r>
            <w:r w:rsidR="002E2CD4" w:rsidRPr="00D33A6A">
              <w:rPr>
                <w:rFonts w:ascii="Times New Roman" w:hAnsi="Times New Roman" w:cs="Times New Roman"/>
                <w:sz w:val="24"/>
                <w:szCs w:val="24"/>
              </w:rPr>
              <w:t>informācij</w:t>
            </w:r>
            <w:r w:rsidR="002E2CD4">
              <w:rPr>
                <w:rFonts w:ascii="Times New Roman" w:hAnsi="Times New Roman" w:cs="Times New Roman"/>
                <w:sz w:val="24"/>
                <w:szCs w:val="24"/>
              </w:rPr>
              <w:t>as</w:t>
            </w:r>
            <w:r w:rsidR="002E2CD4" w:rsidRPr="00D33A6A">
              <w:rPr>
                <w:rFonts w:ascii="Times New Roman" w:hAnsi="Times New Roman" w:cs="Times New Roman"/>
                <w:sz w:val="24"/>
                <w:szCs w:val="24"/>
              </w:rPr>
              <w:t xml:space="preserve"> par minēto </w:t>
            </w:r>
            <w:r w:rsidR="002E2CD4">
              <w:rPr>
                <w:rFonts w:ascii="Times New Roman" w:hAnsi="Times New Roman" w:cs="Times New Roman"/>
                <w:sz w:val="24"/>
                <w:szCs w:val="24"/>
              </w:rPr>
              <w:t>procesu</w:t>
            </w:r>
            <w:r w:rsidR="00C52C97" w:rsidRPr="00D33A6A">
              <w:rPr>
                <w:rFonts w:ascii="Times New Roman" w:hAnsi="Times New Roman" w:cs="Times New Roman"/>
                <w:sz w:val="24"/>
                <w:szCs w:val="24"/>
              </w:rPr>
              <w:t xml:space="preserve"> </w:t>
            </w:r>
            <w:r w:rsidR="002A24EA">
              <w:rPr>
                <w:rFonts w:ascii="Times New Roman" w:hAnsi="Times New Roman" w:cs="Times New Roman"/>
                <w:sz w:val="24"/>
                <w:szCs w:val="24"/>
              </w:rPr>
              <w:t>sagatavo</w:t>
            </w:r>
            <w:r w:rsidR="002E2CD4">
              <w:rPr>
                <w:rFonts w:ascii="Times New Roman" w:hAnsi="Times New Roman" w:cs="Times New Roman"/>
                <w:sz w:val="24"/>
                <w:szCs w:val="24"/>
              </w:rPr>
              <w:t>šanai</w:t>
            </w:r>
            <w:r w:rsidR="002A24EA">
              <w:rPr>
                <w:rFonts w:ascii="Times New Roman" w:hAnsi="Times New Roman" w:cs="Times New Roman"/>
                <w:sz w:val="24"/>
                <w:szCs w:val="24"/>
              </w:rPr>
              <w:t xml:space="preserve"> un</w:t>
            </w:r>
            <w:r w:rsidR="002E2CD4">
              <w:rPr>
                <w:rFonts w:ascii="Times New Roman" w:hAnsi="Times New Roman" w:cs="Times New Roman"/>
                <w:sz w:val="24"/>
                <w:szCs w:val="24"/>
              </w:rPr>
              <w:t xml:space="preserve"> iesniegšanai</w:t>
            </w:r>
            <w:r w:rsidR="002A24EA">
              <w:rPr>
                <w:rFonts w:ascii="Times New Roman" w:hAnsi="Times New Roman" w:cs="Times New Roman"/>
                <w:sz w:val="24"/>
                <w:szCs w:val="24"/>
              </w:rPr>
              <w:t xml:space="preserve"> </w:t>
            </w:r>
            <w:r w:rsidR="007D0406" w:rsidRPr="00D33A6A">
              <w:rPr>
                <w:rFonts w:ascii="Times New Roman" w:hAnsi="Times New Roman" w:cs="Times New Roman"/>
                <w:sz w:val="24"/>
                <w:szCs w:val="24"/>
              </w:rPr>
              <w:t>Latvijas Bank</w:t>
            </w:r>
            <w:r w:rsidR="0064414B">
              <w:rPr>
                <w:rFonts w:ascii="Times New Roman" w:hAnsi="Times New Roman" w:cs="Times New Roman"/>
                <w:sz w:val="24"/>
                <w:szCs w:val="24"/>
              </w:rPr>
              <w:t>ā</w:t>
            </w:r>
            <w:r w:rsidR="007D0406" w:rsidRPr="00D33A6A">
              <w:rPr>
                <w:rFonts w:ascii="Times New Roman" w:hAnsi="Times New Roman" w:cs="Times New Roman"/>
                <w:sz w:val="24"/>
                <w:szCs w:val="24"/>
              </w:rPr>
              <w:t xml:space="preserve">, </w:t>
            </w:r>
            <w:r w:rsidR="00D33A6A" w:rsidRPr="00D33A6A">
              <w:rPr>
                <w:rFonts w:ascii="Times New Roman" w:hAnsi="Times New Roman" w:cs="Times New Roman"/>
                <w:sz w:val="24"/>
                <w:szCs w:val="24"/>
              </w:rPr>
              <w:t>lai nodrošinātu Latvijas Banku ar Kredītiestāžu likuma 101.</w:t>
            </w:r>
            <w:r w:rsidR="00D33A6A" w:rsidRPr="00D33A6A">
              <w:rPr>
                <w:rFonts w:ascii="Times New Roman" w:hAnsi="Times New Roman" w:cs="Times New Roman"/>
                <w:sz w:val="24"/>
                <w:szCs w:val="24"/>
                <w:vertAlign w:val="superscript"/>
              </w:rPr>
              <w:t>3</w:t>
            </w:r>
            <w:r w:rsidR="00D33A6A" w:rsidRPr="00D33A6A">
              <w:rPr>
                <w:rFonts w:ascii="Times New Roman" w:hAnsi="Times New Roman" w:cs="Times New Roman"/>
                <w:sz w:val="24"/>
                <w:szCs w:val="24"/>
              </w:rPr>
              <w:t xml:space="preserve"> pant</w:t>
            </w:r>
            <w:r w:rsidR="009D464D">
              <w:rPr>
                <w:rFonts w:ascii="Times New Roman" w:hAnsi="Times New Roman" w:cs="Times New Roman"/>
                <w:sz w:val="24"/>
                <w:szCs w:val="24"/>
              </w:rPr>
              <w:t>ā</w:t>
            </w:r>
            <w:r w:rsidR="00D33A6A" w:rsidRPr="00D33A6A">
              <w:rPr>
                <w:rFonts w:ascii="Times New Roman" w:hAnsi="Times New Roman" w:cs="Times New Roman"/>
                <w:sz w:val="24"/>
                <w:szCs w:val="24"/>
              </w:rPr>
              <w:t xml:space="preserve"> noteikto uzdevumu veikšanai nepieciešamo informāciju, tādējādi veicinot </w:t>
            </w:r>
            <w:r w:rsidRPr="00D33A6A">
              <w:rPr>
                <w:rFonts w:ascii="Times New Roman" w:hAnsi="Times New Roman" w:cs="Times New Roman"/>
                <w:sz w:val="24"/>
                <w:szCs w:val="24"/>
              </w:rPr>
              <w:t>finanšu tirgus ilgtspējīgu attīstību un stabilitāti.</w:t>
            </w:r>
          </w:p>
          <w:p w14:paraId="6C24697A" w14:textId="77777777" w:rsidR="009B687B" w:rsidRPr="00D33A6A" w:rsidRDefault="009B687B" w:rsidP="009B687B">
            <w:pPr>
              <w:jc w:val="both"/>
              <w:rPr>
                <w:rFonts w:ascii="Times New Roman" w:hAnsi="Times New Roman" w:cs="Times New Roman"/>
                <w:sz w:val="24"/>
                <w:szCs w:val="24"/>
              </w:rPr>
            </w:pPr>
          </w:p>
          <w:p w14:paraId="6C09D2BF" w14:textId="59056FD6" w:rsidR="009B687B" w:rsidRDefault="009B687B" w:rsidP="009B687B">
            <w:pPr>
              <w:jc w:val="both"/>
              <w:rPr>
                <w:rFonts w:ascii="Times New Roman" w:hAnsi="Times New Roman" w:cs="Times New Roman"/>
                <w:sz w:val="24"/>
                <w:szCs w:val="24"/>
              </w:rPr>
            </w:pPr>
            <w:r w:rsidRPr="00C66F61">
              <w:rPr>
                <w:rFonts w:ascii="Times New Roman" w:hAnsi="Times New Roman" w:cs="Times New Roman"/>
                <w:sz w:val="24"/>
                <w:szCs w:val="24"/>
              </w:rPr>
              <w:t xml:space="preserve">Savukārt leģitīmais mērķis – citu personu tiesību aizsardzība – tiek sasniegts, nodrošinot </w:t>
            </w:r>
            <w:r w:rsidR="00286F2B" w:rsidRPr="00C66F61">
              <w:rPr>
                <w:rFonts w:ascii="Times New Roman" w:hAnsi="Times New Roman" w:cs="Times New Roman"/>
                <w:sz w:val="24"/>
                <w:szCs w:val="24"/>
              </w:rPr>
              <w:t xml:space="preserve">kredītiestāžu uzraudzību, kas balstās uz harmonizētā veidā noteiktām prasībām kredītiestādes </w:t>
            </w:r>
            <w:r w:rsidR="006613AF" w:rsidRPr="006613AF">
              <w:rPr>
                <w:rFonts w:ascii="Times New Roman" w:hAnsi="Times New Roman" w:cs="Times New Roman"/>
                <w:sz w:val="24"/>
                <w:szCs w:val="24"/>
              </w:rPr>
              <w:t>kapitāla pietiekamības novērtēšanas procesa izveidei un īstenošanai</w:t>
            </w:r>
            <w:r w:rsidR="006613AF">
              <w:rPr>
                <w:rFonts w:ascii="Times New Roman" w:hAnsi="Times New Roman" w:cs="Times New Roman"/>
                <w:sz w:val="24"/>
                <w:szCs w:val="24"/>
              </w:rPr>
              <w:t>, kā arī</w:t>
            </w:r>
            <w:r w:rsidR="00286F2B" w:rsidRPr="00C66F61">
              <w:rPr>
                <w:rFonts w:ascii="Times New Roman" w:hAnsi="Times New Roman" w:cs="Times New Roman"/>
                <w:sz w:val="24"/>
                <w:szCs w:val="24"/>
              </w:rPr>
              <w:t xml:space="preserve"> informācijas </w:t>
            </w:r>
            <w:r w:rsidR="00C66F61" w:rsidRPr="00C66F61">
              <w:rPr>
                <w:rFonts w:ascii="Times New Roman" w:hAnsi="Times New Roman" w:cs="Times New Roman"/>
                <w:sz w:val="24"/>
                <w:szCs w:val="24"/>
              </w:rPr>
              <w:t xml:space="preserve">par </w:t>
            </w:r>
            <w:r w:rsidR="002E2CD4">
              <w:rPr>
                <w:rFonts w:ascii="Times New Roman" w:hAnsi="Times New Roman" w:cs="Times New Roman"/>
                <w:sz w:val="24"/>
                <w:szCs w:val="24"/>
              </w:rPr>
              <w:t>minēto procesu</w:t>
            </w:r>
            <w:r w:rsidR="002E2CD4" w:rsidRPr="00C66F61">
              <w:rPr>
                <w:rFonts w:ascii="Times New Roman" w:hAnsi="Times New Roman" w:cs="Times New Roman"/>
                <w:sz w:val="24"/>
                <w:szCs w:val="24"/>
              </w:rPr>
              <w:t xml:space="preserve"> </w:t>
            </w:r>
            <w:r w:rsidR="00F92BB5">
              <w:rPr>
                <w:rFonts w:ascii="Times New Roman" w:hAnsi="Times New Roman" w:cs="Times New Roman"/>
                <w:sz w:val="24"/>
                <w:szCs w:val="24"/>
              </w:rPr>
              <w:t xml:space="preserve">sagatavošanai un </w:t>
            </w:r>
            <w:r w:rsidR="00286F2B" w:rsidRPr="00C66F61">
              <w:rPr>
                <w:rFonts w:ascii="Times New Roman" w:hAnsi="Times New Roman" w:cs="Times New Roman"/>
                <w:sz w:val="24"/>
                <w:szCs w:val="24"/>
              </w:rPr>
              <w:t>sniegšanai, tādējādi nodrošinot finanšu tirgus stabilitāti un uzticamību</w:t>
            </w:r>
            <w:r w:rsidRPr="00C66F61">
              <w:rPr>
                <w:rFonts w:ascii="Times New Roman" w:hAnsi="Times New Roman" w:cs="Times New Roman"/>
                <w:sz w:val="24"/>
                <w:szCs w:val="24"/>
              </w:rPr>
              <w:t>.</w:t>
            </w:r>
          </w:p>
          <w:p w14:paraId="5A7E704A" w14:textId="77777777" w:rsidR="009B687B" w:rsidRPr="009B687B" w:rsidRDefault="009B687B" w:rsidP="009B687B">
            <w:pPr>
              <w:jc w:val="both"/>
              <w:rPr>
                <w:rFonts w:ascii="Times New Roman" w:hAnsi="Times New Roman" w:cs="Times New Roman"/>
                <w:sz w:val="24"/>
                <w:szCs w:val="24"/>
              </w:rPr>
            </w:pPr>
          </w:p>
          <w:p w14:paraId="5B199845" w14:textId="7A3CD126" w:rsidR="005A6E97" w:rsidRPr="00845B1B" w:rsidRDefault="009B687B" w:rsidP="00EA4E92">
            <w:pPr>
              <w:jc w:val="both"/>
              <w:rPr>
                <w:rFonts w:ascii="Times New Roman" w:hAnsi="Times New Roman" w:cs="Times New Roman"/>
                <w:sz w:val="24"/>
                <w:szCs w:val="24"/>
                <w:highlight w:val="yellow"/>
              </w:rPr>
            </w:pPr>
            <w:r w:rsidRPr="009B687B">
              <w:rPr>
                <w:rFonts w:ascii="Times New Roman" w:hAnsi="Times New Roman" w:cs="Times New Roman"/>
                <w:sz w:val="24"/>
                <w:szCs w:val="24"/>
              </w:rPr>
              <w:t xml:space="preserve">Nosakot </w:t>
            </w:r>
            <w:r w:rsidRPr="001D3C3F">
              <w:rPr>
                <w:rFonts w:ascii="Times New Roman" w:hAnsi="Times New Roman" w:cs="Times New Roman"/>
                <w:sz w:val="24"/>
                <w:szCs w:val="24"/>
              </w:rPr>
              <w:t>finanšu tirgus dalībniekiem</w:t>
            </w:r>
            <w:r w:rsidR="002E2CD4">
              <w:rPr>
                <w:rFonts w:ascii="Times New Roman" w:hAnsi="Times New Roman" w:cs="Times New Roman"/>
                <w:sz w:val="24"/>
                <w:szCs w:val="24"/>
              </w:rPr>
              <w:t xml:space="preserve"> minētās </w:t>
            </w:r>
            <w:r w:rsidRPr="009B687B">
              <w:rPr>
                <w:rFonts w:ascii="Times New Roman" w:hAnsi="Times New Roman" w:cs="Times New Roman"/>
                <w:sz w:val="24"/>
                <w:szCs w:val="24"/>
              </w:rPr>
              <w:t xml:space="preserve">prasības un veicot </w:t>
            </w:r>
            <w:r w:rsidR="002E2CD4">
              <w:rPr>
                <w:rFonts w:ascii="Times New Roman" w:hAnsi="Times New Roman" w:cs="Times New Roman"/>
                <w:sz w:val="24"/>
                <w:szCs w:val="24"/>
              </w:rPr>
              <w:t xml:space="preserve">šo </w:t>
            </w:r>
            <w:r w:rsidRPr="009B687B">
              <w:rPr>
                <w:rFonts w:ascii="Times New Roman" w:hAnsi="Times New Roman" w:cs="Times New Roman"/>
                <w:sz w:val="24"/>
                <w:szCs w:val="24"/>
              </w:rPr>
              <w:t>prasību ievērošanas pārbaudes, Latvijas Banka nodrošina tai Latvijas Bankas likumā noteikto pienākumu – veicināt ieguldītāju un noguldītāju interešu aizsardzību un finanšu tirgus ilgtspējīgu attīstību un stabilitāti – izpildi.</w:t>
            </w:r>
          </w:p>
        </w:tc>
      </w:tr>
      <w:tr w:rsidR="00A61684" w:rsidRPr="00A61684" w14:paraId="1F6AF38A" w14:textId="77777777" w:rsidTr="00207E57">
        <w:tc>
          <w:tcPr>
            <w:tcW w:w="2122" w:type="dxa"/>
          </w:tcPr>
          <w:p w14:paraId="5B2AC1B8" w14:textId="2F4B9FD5" w:rsidR="00822148" w:rsidRPr="00DE5FAC" w:rsidRDefault="009E6A95" w:rsidP="00822148">
            <w:pPr>
              <w:jc w:val="both"/>
              <w:rPr>
                <w:rFonts w:ascii="Times New Roman" w:hAnsi="Times New Roman" w:cs="Times New Roman"/>
                <w:b/>
                <w:bCs/>
                <w:sz w:val="24"/>
                <w:szCs w:val="24"/>
              </w:rPr>
            </w:pPr>
            <w:r w:rsidRPr="00E4192E">
              <w:rPr>
                <w:rFonts w:ascii="Times New Roman" w:hAnsi="Times New Roman" w:cs="Times New Roman"/>
                <w:b/>
                <w:bCs/>
                <w:sz w:val="24"/>
                <w:szCs w:val="24"/>
              </w:rPr>
              <w:t>Samērīgums</w:t>
            </w:r>
          </w:p>
        </w:tc>
        <w:tc>
          <w:tcPr>
            <w:tcW w:w="6237" w:type="dxa"/>
          </w:tcPr>
          <w:p w14:paraId="43BA2E79" w14:textId="4BA44DF4" w:rsidR="00EC58D3" w:rsidRDefault="00EC58D3" w:rsidP="00E4192E">
            <w:pPr>
              <w:jc w:val="both"/>
              <w:rPr>
                <w:rFonts w:ascii="Times New Roman" w:eastAsia="Times New Roman" w:hAnsi="Times New Roman" w:cs="Times New Roman"/>
                <w:sz w:val="24"/>
                <w:szCs w:val="24"/>
              </w:rPr>
            </w:pPr>
            <w:r w:rsidRPr="00EC58D3">
              <w:rPr>
                <w:rFonts w:ascii="Times New Roman" w:eastAsia="Times New Roman" w:hAnsi="Times New Roman" w:cs="Times New Roman"/>
                <w:sz w:val="24"/>
                <w:szCs w:val="24"/>
              </w:rPr>
              <w:t xml:space="preserve">Kredītiestāžu likums nenosaka kredītiestādes darbībai piemītošo un varbūtējo risku segšanai nepieciešamā kapitāla novērtēšanas </w:t>
            </w:r>
            <w:r w:rsidR="007765C8">
              <w:rPr>
                <w:rFonts w:ascii="Times New Roman" w:eastAsia="Times New Roman" w:hAnsi="Times New Roman" w:cs="Times New Roman"/>
                <w:sz w:val="24"/>
                <w:szCs w:val="24"/>
              </w:rPr>
              <w:t>prasības</w:t>
            </w:r>
            <w:r w:rsidRPr="00EC58D3">
              <w:rPr>
                <w:rFonts w:ascii="Times New Roman" w:eastAsia="Times New Roman" w:hAnsi="Times New Roman" w:cs="Times New Roman"/>
                <w:sz w:val="24"/>
                <w:szCs w:val="24"/>
              </w:rPr>
              <w:t xml:space="preserve">, </w:t>
            </w:r>
            <w:r w:rsidR="009D464D">
              <w:rPr>
                <w:rFonts w:ascii="Times New Roman" w:eastAsia="Times New Roman" w:hAnsi="Times New Roman" w:cs="Times New Roman"/>
                <w:sz w:val="24"/>
                <w:szCs w:val="24"/>
              </w:rPr>
              <w:t>tai skaitā</w:t>
            </w:r>
            <w:r w:rsidR="009D464D" w:rsidRPr="00DF4341">
              <w:rPr>
                <w:rFonts w:ascii="Times New Roman" w:eastAsia="Times New Roman" w:hAnsi="Times New Roman" w:cs="Times New Roman"/>
                <w:sz w:val="24"/>
                <w:szCs w:val="24"/>
              </w:rPr>
              <w:t xml:space="preserve"> </w:t>
            </w:r>
            <w:r w:rsidR="00DE5FAC">
              <w:rPr>
                <w:rFonts w:ascii="Times New Roman" w:eastAsia="Times New Roman" w:hAnsi="Times New Roman" w:cs="Times New Roman"/>
                <w:sz w:val="24"/>
                <w:szCs w:val="24"/>
              </w:rPr>
              <w:t>prasības</w:t>
            </w:r>
            <w:r w:rsidR="00DF4341">
              <w:rPr>
                <w:rFonts w:ascii="Times New Roman" w:eastAsia="Times New Roman" w:hAnsi="Times New Roman" w:cs="Times New Roman"/>
                <w:sz w:val="24"/>
                <w:szCs w:val="24"/>
              </w:rPr>
              <w:t xml:space="preserve">, kā </w:t>
            </w:r>
            <w:r w:rsidR="00DF4341" w:rsidRPr="00DF4341">
              <w:rPr>
                <w:rFonts w:ascii="Times New Roman" w:eastAsia="Times New Roman" w:hAnsi="Times New Roman" w:cs="Times New Roman"/>
                <w:sz w:val="24"/>
                <w:szCs w:val="24"/>
              </w:rPr>
              <w:t>kredītiestādei jānosaka</w:t>
            </w:r>
            <w:r w:rsidR="00DF4341">
              <w:t xml:space="preserve"> </w:t>
            </w:r>
            <w:r w:rsidR="00DF4341" w:rsidRPr="00DF4341">
              <w:rPr>
                <w:rFonts w:ascii="Times New Roman" w:eastAsia="Times New Roman" w:hAnsi="Times New Roman" w:cs="Times New Roman"/>
                <w:sz w:val="24"/>
                <w:szCs w:val="24"/>
              </w:rPr>
              <w:t xml:space="preserve">tās kapitāls tādā piemērotā pašu kapitāla līmenī, kas ir pietiekams </w:t>
            </w:r>
            <w:r w:rsidR="003667ED">
              <w:rPr>
                <w:rFonts w:ascii="Times New Roman" w:eastAsia="Times New Roman" w:hAnsi="Times New Roman" w:cs="Times New Roman"/>
                <w:sz w:val="24"/>
                <w:szCs w:val="24"/>
              </w:rPr>
              <w:t>minēto risku segšanai</w:t>
            </w:r>
            <w:r w:rsidR="00DF4341" w:rsidRPr="00DF4341">
              <w:rPr>
                <w:rFonts w:ascii="Times New Roman" w:eastAsia="Times New Roman" w:hAnsi="Times New Roman" w:cs="Times New Roman"/>
                <w:sz w:val="24"/>
                <w:szCs w:val="24"/>
              </w:rPr>
              <w:t xml:space="preserve"> un spēj segt iespējamos zaudējumus, uz kuriem norāda kredītiestādes un Latvijas Bankas veiktās stresa testēšanas rezultāti</w:t>
            </w:r>
            <w:r w:rsidR="00DF4341">
              <w:rPr>
                <w:rFonts w:ascii="Times New Roman" w:eastAsia="Times New Roman" w:hAnsi="Times New Roman" w:cs="Times New Roman"/>
                <w:sz w:val="24"/>
                <w:szCs w:val="24"/>
              </w:rPr>
              <w:t xml:space="preserve">, </w:t>
            </w:r>
            <w:r w:rsidRPr="00EC58D3">
              <w:rPr>
                <w:rFonts w:ascii="Times New Roman" w:eastAsia="Times New Roman" w:hAnsi="Times New Roman" w:cs="Times New Roman"/>
                <w:sz w:val="24"/>
                <w:szCs w:val="24"/>
              </w:rPr>
              <w:t xml:space="preserve">kā arī nenosaka </w:t>
            </w:r>
            <w:r w:rsidR="00DE5FAC" w:rsidRPr="00EC58D3">
              <w:rPr>
                <w:rFonts w:ascii="Times New Roman" w:eastAsia="Times New Roman" w:hAnsi="Times New Roman" w:cs="Times New Roman"/>
                <w:sz w:val="24"/>
                <w:szCs w:val="24"/>
              </w:rPr>
              <w:t>vienot</w:t>
            </w:r>
            <w:r w:rsidR="00DE5FAC">
              <w:rPr>
                <w:rFonts w:ascii="Times New Roman" w:eastAsia="Times New Roman" w:hAnsi="Times New Roman" w:cs="Times New Roman"/>
                <w:sz w:val="24"/>
                <w:szCs w:val="24"/>
              </w:rPr>
              <w:t>as</w:t>
            </w:r>
            <w:r w:rsidR="00DE5FAC" w:rsidRPr="00EC58D3">
              <w:rPr>
                <w:rFonts w:ascii="Times New Roman" w:eastAsia="Times New Roman" w:hAnsi="Times New Roman" w:cs="Times New Roman"/>
                <w:sz w:val="24"/>
                <w:szCs w:val="24"/>
              </w:rPr>
              <w:t xml:space="preserve"> </w:t>
            </w:r>
            <w:r w:rsidR="00DE5FAC">
              <w:rPr>
                <w:rFonts w:ascii="Times New Roman" w:eastAsia="Times New Roman" w:hAnsi="Times New Roman" w:cs="Times New Roman"/>
                <w:sz w:val="24"/>
                <w:szCs w:val="24"/>
              </w:rPr>
              <w:t xml:space="preserve">prasības </w:t>
            </w:r>
            <w:r w:rsidR="00DE5FAC" w:rsidRPr="00DE5FAC">
              <w:rPr>
                <w:rFonts w:ascii="Times New Roman" w:eastAsia="Times New Roman" w:hAnsi="Times New Roman" w:cs="Times New Roman"/>
                <w:sz w:val="24"/>
                <w:szCs w:val="24"/>
              </w:rPr>
              <w:t>informācija</w:t>
            </w:r>
            <w:r w:rsidR="00DE5FAC">
              <w:rPr>
                <w:rFonts w:ascii="Times New Roman" w:eastAsia="Times New Roman" w:hAnsi="Times New Roman" w:cs="Times New Roman"/>
                <w:sz w:val="24"/>
                <w:szCs w:val="24"/>
              </w:rPr>
              <w:t>s</w:t>
            </w:r>
            <w:r w:rsidR="00DE5FAC" w:rsidRPr="00DE5FAC">
              <w:rPr>
                <w:rFonts w:ascii="Times New Roman" w:eastAsia="Times New Roman" w:hAnsi="Times New Roman" w:cs="Times New Roman"/>
                <w:sz w:val="24"/>
                <w:szCs w:val="24"/>
              </w:rPr>
              <w:t xml:space="preserve"> par kapitāla pietiekamības </w:t>
            </w:r>
            <w:r w:rsidR="00DE5FAC" w:rsidRPr="00DE5FAC">
              <w:rPr>
                <w:rFonts w:ascii="Times New Roman" w:eastAsia="Times New Roman" w:hAnsi="Times New Roman" w:cs="Times New Roman"/>
                <w:sz w:val="24"/>
                <w:szCs w:val="24"/>
              </w:rPr>
              <w:lastRenderedPageBreak/>
              <w:t xml:space="preserve">novērtēšanas procesu </w:t>
            </w:r>
            <w:r w:rsidR="00DE5FAC" w:rsidRPr="00EC58D3">
              <w:rPr>
                <w:rFonts w:ascii="Times New Roman" w:eastAsia="Times New Roman" w:hAnsi="Times New Roman" w:cs="Times New Roman"/>
                <w:sz w:val="24"/>
                <w:szCs w:val="24"/>
              </w:rPr>
              <w:t>sagatavo</w:t>
            </w:r>
            <w:r w:rsidR="00DE5FAC">
              <w:rPr>
                <w:rFonts w:ascii="Times New Roman" w:eastAsia="Times New Roman" w:hAnsi="Times New Roman" w:cs="Times New Roman"/>
                <w:sz w:val="24"/>
                <w:szCs w:val="24"/>
              </w:rPr>
              <w:t>šanai</w:t>
            </w:r>
            <w:r w:rsidR="00DE5FAC" w:rsidRPr="00EC58D3">
              <w:rPr>
                <w:rFonts w:ascii="Times New Roman" w:eastAsia="Times New Roman" w:hAnsi="Times New Roman" w:cs="Times New Roman"/>
                <w:sz w:val="24"/>
                <w:szCs w:val="24"/>
              </w:rPr>
              <w:t xml:space="preserve"> </w:t>
            </w:r>
            <w:r w:rsidRPr="00EC58D3">
              <w:rPr>
                <w:rFonts w:ascii="Times New Roman" w:eastAsia="Times New Roman" w:hAnsi="Times New Roman" w:cs="Times New Roman"/>
                <w:sz w:val="24"/>
                <w:szCs w:val="24"/>
              </w:rPr>
              <w:t xml:space="preserve">un </w:t>
            </w:r>
            <w:r w:rsidR="00DE5FAC">
              <w:rPr>
                <w:rFonts w:ascii="Times New Roman" w:eastAsia="Times New Roman" w:hAnsi="Times New Roman" w:cs="Times New Roman"/>
                <w:sz w:val="24"/>
                <w:szCs w:val="24"/>
              </w:rPr>
              <w:t xml:space="preserve">iesniegšanai </w:t>
            </w:r>
            <w:r>
              <w:rPr>
                <w:rFonts w:ascii="Times New Roman" w:eastAsia="Times New Roman" w:hAnsi="Times New Roman" w:cs="Times New Roman"/>
                <w:sz w:val="24"/>
                <w:szCs w:val="24"/>
              </w:rPr>
              <w:t>Latvijas Bank</w:t>
            </w:r>
            <w:r w:rsidR="00DE5FAC">
              <w:rPr>
                <w:rFonts w:ascii="Times New Roman" w:eastAsia="Times New Roman" w:hAnsi="Times New Roman" w:cs="Times New Roman"/>
                <w:sz w:val="24"/>
                <w:szCs w:val="24"/>
              </w:rPr>
              <w:t>ā</w:t>
            </w:r>
            <w:r>
              <w:rPr>
                <w:rFonts w:ascii="Times New Roman" w:eastAsia="Times New Roman" w:hAnsi="Times New Roman" w:cs="Times New Roman"/>
                <w:sz w:val="24"/>
                <w:szCs w:val="24"/>
              </w:rPr>
              <w:t>.</w:t>
            </w:r>
          </w:p>
          <w:p w14:paraId="154CCBBF" w14:textId="77777777" w:rsidR="00EC58D3" w:rsidRDefault="00EC58D3" w:rsidP="00E4192E">
            <w:pPr>
              <w:jc w:val="both"/>
              <w:rPr>
                <w:rFonts w:ascii="Times New Roman" w:eastAsia="Times New Roman" w:hAnsi="Times New Roman" w:cs="Times New Roman"/>
                <w:sz w:val="24"/>
                <w:szCs w:val="24"/>
              </w:rPr>
            </w:pPr>
          </w:p>
          <w:p w14:paraId="32F2DC23" w14:textId="1FEF5444" w:rsidR="00EA4E92" w:rsidRDefault="002E2CD4" w:rsidP="00E4192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 noteikumu projektā paredzētajām prasībām</w:t>
            </w:r>
            <w:r w:rsidR="00EA4E92" w:rsidRPr="00B842B5">
              <w:rPr>
                <w:rFonts w:ascii="Times New Roman" w:eastAsia="Times New Roman" w:hAnsi="Times New Roman" w:cs="Times New Roman"/>
                <w:sz w:val="24"/>
                <w:szCs w:val="24"/>
              </w:rPr>
              <w:t xml:space="preserve"> tiek nodrošināta vienota finanšu tirgus dalībnieku izpratne un pieeja regulējošo prasību interpretācijai un piemērošanai.</w:t>
            </w:r>
          </w:p>
          <w:p w14:paraId="40C13A33" w14:textId="77777777" w:rsidR="00B842B5" w:rsidRDefault="00B842B5" w:rsidP="00E4192E">
            <w:pPr>
              <w:jc w:val="both"/>
              <w:rPr>
                <w:rFonts w:ascii="Times New Roman" w:eastAsia="Times New Roman" w:hAnsi="Times New Roman" w:cs="Times New Roman"/>
                <w:sz w:val="24"/>
                <w:szCs w:val="24"/>
              </w:rPr>
            </w:pPr>
          </w:p>
          <w:p w14:paraId="6B6B687A" w14:textId="0E3F496B" w:rsidR="00B842B5" w:rsidRPr="00B842B5" w:rsidRDefault="00B842B5" w:rsidP="00E4192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kredītiestādes </w:t>
            </w:r>
            <w:r w:rsidR="00F92BB5">
              <w:rPr>
                <w:rFonts w:ascii="Times New Roman" w:eastAsia="Times New Roman" w:hAnsi="Times New Roman" w:cs="Times New Roman"/>
                <w:sz w:val="24"/>
                <w:szCs w:val="24"/>
              </w:rPr>
              <w:t xml:space="preserve">neīstenotu </w:t>
            </w:r>
            <w:r w:rsidR="006613AF">
              <w:rPr>
                <w:rFonts w:ascii="Times New Roman" w:eastAsia="Times New Roman" w:hAnsi="Times New Roman" w:cs="Times New Roman"/>
                <w:sz w:val="24"/>
                <w:szCs w:val="24"/>
              </w:rPr>
              <w:t>kapitāla pietiekamības novērtēšanas proces</w:t>
            </w:r>
            <w:r w:rsidR="00F92BB5">
              <w:rPr>
                <w:rFonts w:ascii="Times New Roman" w:eastAsia="Times New Roman" w:hAnsi="Times New Roman" w:cs="Times New Roman"/>
                <w:sz w:val="24"/>
                <w:szCs w:val="24"/>
              </w:rPr>
              <w:t>u</w:t>
            </w:r>
            <w:r w:rsidR="006613A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un nesniegtu informāciju par </w:t>
            </w:r>
            <w:r w:rsidR="00147EEA">
              <w:rPr>
                <w:rFonts w:ascii="Times New Roman" w:eastAsia="Times New Roman" w:hAnsi="Times New Roman" w:cs="Times New Roman"/>
                <w:sz w:val="24"/>
                <w:szCs w:val="24"/>
              </w:rPr>
              <w:t xml:space="preserve">to </w:t>
            </w:r>
            <w:r>
              <w:rPr>
                <w:rFonts w:ascii="Times New Roman" w:eastAsia="Times New Roman" w:hAnsi="Times New Roman" w:cs="Times New Roman"/>
                <w:sz w:val="24"/>
                <w:szCs w:val="24"/>
              </w:rPr>
              <w:t xml:space="preserve">atbilstoši normatīvo aktu prasībām, kredītiestāžu kapitāla apmēra pietiekamība varētu tikt </w:t>
            </w:r>
            <w:r w:rsidR="00B84BFD">
              <w:rPr>
                <w:rFonts w:ascii="Times New Roman" w:eastAsia="Times New Roman" w:hAnsi="Times New Roman" w:cs="Times New Roman"/>
                <w:sz w:val="24"/>
                <w:szCs w:val="24"/>
              </w:rPr>
              <w:t xml:space="preserve">novērtēta </w:t>
            </w:r>
            <w:r>
              <w:rPr>
                <w:rFonts w:ascii="Times New Roman" w:eastAsia="Times New Roman" w:hAnsi="Times New Roman" w:cs="Times New Roman"/>
                <w:sz w:val="24"/>
                <w:szCs w:val="24"/>
              </w:rPr>
              <w:t>neatbilstoši</w:t>
            </w:r>
            <w:r w:rsidR="00147EEA">
              <w:rPr>
                <w:rFonts w:ascii="Times New Roman" w:eastAsia="Times New Roman" w:hAnsi="Times New Roman" w:cs="Times New Roman"/>
                <w:sz w:val="24"/>
                <w:szCs w:val="24"/>
              </w:rPr>
              <w:t>.</w:t>
            </w:r>
            <w:r>
              <w:t xml:space="preserve"> </w:t>
            </w:r>
            <w:r w:rsidRPr="00B842B5">
              <w:rPr>
                <w:rFonts w:ascii="Times New Roman" w:eastAsia="Times New Roman" w:hAnsi="Times New Roman" w:cs="Times New Roman"/>
                <w:sz w:val="24"/>
                <w:szCs w:val="24"/>
              </w:rPr>
              <w:t>Lai nodrošinātu finanšu tirgus stabilitāti, ir būtiski pēc iespējas mazināt un novērst minēto risku.</w:t>
            </w:r>
          </w:p>
          <w:p w14:paraId="3EAE6E62" w14:textId="77777777" w:rsidR="00BA2FF5" w:rsidRPr="00B842B5" w:rsidRDefault="00BA2FF5" w:rsidP="00EA4E92">
            <w:pPr>
              <w:jc w:val="both"/>
              <w:rPr>
                <w:rFonts w:ascii="Times New Roman" w:eastAsia="Times New Roman" w:hAnsi="Times New Roman" w:cs="Times New Roman"/>
                <w:sz w:val="24"/>
                <w:szCs w:val="24"/>
                <w:highlight w:val="yellow"/>
              </w:rPr>
            </w:pPr>
          </w:p>
          <w:p w14:paraId="64E08B6F" w14:textId="71FE355A" w:rsidR="00EA4E92" w:rsidRPr="00EA4E92" w:rsidRDefault="00B842B5" w:rsidP="00EA4E92">
            <w:pPr>
              <w:jc w:val="both"/>
              <w:rPr>
                <w:rFonts w:ascii="Times New Roman" w:eastAsia="Times New Roman" w:hAnsi="Times New Roman" w:cs="Times New Roman"/>
                <w:sz w:val="24"/>
                <w:szCs w:val="24"/>
              </w:rPr>
            </w:pPr>
            <w:r w:rsidRPr="00147EEA">
              <w:rPr>
                <w:rFonts w:ascii="Times New Roman" w:eastAsia="Times New Roman" w:hAnsi="Times New Roman" w:cs="Times New Roman"/>
                <w:sz w:val="24"/>
                <w:szCs w:val="24"/>
              </w:rPr>
              <w:t>At</w:t>
            </w:r>
            <w:r w:rsidR="00EA4E92" w:rsidRPr="00B842B5">
              <w:rPr>
                <w:rFonts w:ascii="Times New Roman" w:eastAsia="Times New Roman" w:hAnsi="Times New Roman" w:cs="Times New Roman"/>
                <w:sz w:val="24"/>
                <w:szCs w:val="24"/>
              </w:rPr>
              <w:t xml:space="preserve">bilstošākais veids, kā noteikt </w:t>
            </w:r>
            <w:r w:rsidR="00F92BB5">
              <w:rPr>
                <w:rFonts w:ascii="Times New Roman" w:eastAsia="Times New Roman" w:hAnsi="Times New Roman" w:cs="Times New Roman"/>
                <w:sz w:val="24"/>
                <w:szCs w:val="24"/>
              </w:rPr>
              <w:t>vienotas prasības,</w:t>
            </w:r>
            <w:r w:rsidRPr="00B842B5">
              <w:rPr>
                <w:rFonts w:ascii="Times New Roman" w:eastAsia="Times New Roman" w:hAnsi="Times New Roman" w:cs="Times New Roman"/>
                <w:sz w:val="24"/>
                <w:szCs w:val="24"/>
              </w:rPr>
              <w:t xml:space="preserve"> </w:t>
            </w:r>
            <w:r w:rsidR="00EA4E92" w:rsidRPr="00B842B5">
              <w:rPr>
                <w:rFonts w:ascii="Times New Roman" w:eastAsia="Times New Roman" w:hAnsi="Times New Roman" w:cs="Times New Roman"/>
                <w:sz w:val="24"/>
                <w:szCs w:val="24"/>
              </w:rPr>
              <w:t>ir izdot finanšu tirgus dalībniekiem</w:t>
            </w:r>
            <w:r w:rsidRPr="00147EEA">
              <w:rPr>
                <w:rFonts w:ascii="Times New Roman" w:eastAsia="Times New Roman" w:hAnsi="Times New Roman" w:cs="Times New Roman"/>
                <w:sz w:val="24"/>
                <w:szCs w:val="24"/>
              </w:rPr>
              <w:t> </w:t>
            </w:r>
            <w:r w:rsidRPr="00B842B5">
              <w:rPr>
                <w:rFonts w:ascii="Times New Roman" w:eastAsia="Times New Roman" w:hAnsi="Times New Roman" w:cs="Times New Roman"/>
                <w:sz w:val="24"/>
                <w:szCs w:val="24"/>
              </w:rPr>
              <w:t>– kredītiestādēm </w:t>
            </w:r>
            <w:r w:rsidRPr="00B842B5">
              <w:rPr>
                <w:rFonts w:ascii="Times New Roman" w:hAnsi="Times New Roman" w:cs="Times New Roman"/>
                <w:sz w:val="24"/>
                <w:szCs w:val="24"/>
              </w:rPr>
              <w:t>–</w:t>
            </w:r>
            <w:r w:rsidR="00EA4E92" w:rsidRPr="00B842B5">
              <w:rPr>
                <w:rFonts w:ascii="Times New Roman" w:eastAsia="Times New Roman" w:hAnsi="Times New Roman" w:cs="Times New Roman"/>
                <w:sz w:val="24"/>
                <w:szCs w:val="24"/>
              </w:rPr>
              <w:t xml:space="preserve"> saistošus noteikumus. </w:t>
            </w:r>
            <w:r w:rsidR="00EA4E92" w:rsidRPr="00147EEA">
              <w:rPr>
                <w:rFonts w:ascii="Times New Roman" w:eastAsia="Times New Roman" w:hAnsi="Times New Roman" w:cs="Times New Roman"/>
                <w:sz w:val="24"/>
                <w:szCs w:val="24"/>
              </w:rPr>
              <w:t xml:space="preserve">Citas alternatīvas jautājuma noregulēšanai un vienotu prasību noteikšanai nebūtu efektīvas un nesasniegtu izvirzīto mērķi, jo nenodrošinātu </w:t>
            </w:r>
            <w:r w:rsidR="00147EEA" w:rsidRPr="00147EEA">
              <w:rPr>
                <w:rFonts w:ascii="Times New Roman" w:eastAsia="Times New Roman" w:hAnsi="Times New Roman" w:cs="Times New Roman"/>
                <w:sz w:val="24"/>
                <w:szCs w:val="24"/>
              </w:rPr>
              <w:t>vienveidīgu, vienotu un precīzu regulējošo prasību piemērošanu, kas savukārt atstātu negatīvu ietekmi uz finanšu tirgus stabilitāti un finanšu tirgus dalībnieku darbības kvalitāti</w:t>
            </w:r>
            <w:r w:rsidR="00EA4E92" w:rsidRPr="00147EEA">
              <w:rPr>
                <w:rFonts w:ascii="Times New Roman" w:eastAsia="Times New Roman" w:hAnsi="Times New Roman" w:cs="Times New Roman"/>
                <w:sz w:val="24"/>
                <w:szCs w:val="24"/>
              </w:rPr>
              <w:t>.</w:t>
            </w:r>
          </w:p>
          <w:p w14:paraId="72B28D9C" w14:textId="77777777" w:rsidR="00EA4E92" w:rsidRDefault="00EA4E92" w:rsidP="00400485">
            <w:pPr>
              <w:jc w:val="both"/>
              <w:rPr>
                <w:rFonts w:ascii="Times New Roman" w:eastAsia="Times New Roman" w:hAnsi="Times New Roman" w:cs="Times New Roman"/>
                <w:sz w:val="24"/>
                <w:szCs w:val="24"/>
              </w:rPr>
            </w:pPr>
          </w:p>
          <w:p w14:paraId="29A3C5D6" w14:textId="78C7949F" w:rsidR="00EA4E92" w:rsidRDefault="00EA4E92" w:rsidP="00400485">
            <w:pPr>
              <w:jc w:val="both"/>
              <w:rPr>
                <w:rFonts w:ascii="Times New Roman" w:eastAsia="Times New Roman" w:hAnsi="Times New Roman" w:cs="Times New Roman"/>
                <w:sz w:val="24"/>
                <w:szCs w:val="24"/>
              </w:rPr>
            </w:pPr>
            <w:r w:rsidRPr="00396DD5">
              <w:rPr>
                <w:rFonts w:ascii="Times New Roman" w:eastAsia="Times New Roman" w:hAnsi="Times New Roman" w:cs="Times New Roman"/>
                <w:sz w:val="24"/>
                <w:szCs w:val="24"/>
              </w:rPr>
              <w:t>Izraugoties piemērotāko līdzekli leģitīmā mērķa sasniegšanai, Latvijas Banka izvērtēja, ka nebūtu atbilstoši izdot, piemēram, zemāka ranga normatīvos aktus, kuri nebūtu finanšu tirgus dalībniekam juridiski saistoši</w:t>
            </w:r>
            <w:r w:rsidR="00396DD5" w:rsidRPr="00396DD5">
              <w:rPr>
                <w:rFonts w:ascii="Times New Roman" w:eastAsia="Times New Roman" w:hAnsi="Times New Roman" w:cs="Times New Roman"/>
                <w:sz w:val="24"/>
                <w:szCs w:val="24"/>
              </w:rPr>
              <w:t xml:space="preserve"> (ieteikumi), īpaši ņemot vērā tirgus izkropļojuma un regulējuma arbitrāžas riskus</w:t>
            </w:r>
            <w:r w:rsidRPr="00396DD5">
              <w:rPr>
                <w:rFonts w:ascii="Times New Roman" w:eastAsia="Times New Roman" w:hAnsi="Times New Roman" w:cs="Times New Roman"/>
                <w:sz w:val="24"/>
                <w:szCs w:val="24"/>
              </w:rPr>
              <w:t xml:space="preserve">. Vienlaikus ar </w:t>
            </w:r>
            <w:r w:rsidR="00BE1C57" w:rsidRPr="00396DD5">
              <w:rPr>
                <w:rFonts w:ascii="Times New Roman" w:eastAsia="Times New Roman" w:hAnsi="Times New Roman" w:cs="Times New Roman"/>
                <w:sz w:val="24"/>
                <w:szCs w:val="24"/>
              </w:rPr>
              <w:t xml:space="preserve">noteikumu </w:t>
            </w:r>
            <w:r w:rsidRPr="00396DD5">
              <w:rPr>
                <w:rFonts w:ascii="Times New Roman" w:eastAsia="Times New Roman" w:hAnsi="Times New Roman" w:cs="Times New Roman"/>
                <w:sz w:val="24"/>
                <w:szCs w:val="24"/>
              </w:rPr>
              <w:t xml:space="preserve">projektu tiek noteiktas prasības, kuras Latvijas Banka uzraudzības ietvaros var konkrēti kontrolēt un nepieciešamības gadījumā par konkrētu prasību pārkāpumu piemērot </w:t>
            </w:r>
            <w:r w:rsidRPr="001D3C3F">
              <w:rPr>
                <w:rFonts w:ascii="Times New Roman" w:eastAsia="Times New Roman" w:hAnsi="Times New Roman" w:cs="Times New Roman"/>
                <w:sz w:val="24"/>
                <w:szCs w:val="24"/>
              </w:rPr>
              <w:t>finanšu tirgus dalībniekam</w:t>
            </w:r>
            <w:r w:rsidRPr="00396DD5">
              <w:rPr>
                <w:rFonts w:ascii="Times New Roman" w:eastAsia="Times New Roman" w:hAnsi="Times New Roman" w:cs="Times New Roman"/>
                <w:sz w:val="24"/>
                <w:szCs w:val="24"/>
              </w:rPr>
              <w:t xml:space="preserve"> korektīvos pasākumus vai sankcijas.</w:t>
            </w:r>
          </w:p>
          <w:p w14:paraId="5D70D865" w14:textId="77777777" w:rsidR="00EA4E92" w:rsidRDefault="00EA4E92" w:rsidP="00400485">
            <w:pPr>
              <w:jc w:val="both"/>
              <w:rPr>
                <w:rFonts w:ascii="Times New Roman" w:eastAsia="Times New Roman" w:hAnsi="Times New Roman" w:cs="Times New Roman"/>
                <w:sz w:val="24"/>
                <w:szCs w:val="24"/>
              </w:rPr>
            </w:pPr>
          </w:p>
          <w:p w14:paraId="12569A52" w14:textId="4184B6C5" w:rsidR="005E1EC8" w:rsidRPr="0035623D" w:rsidRDefault="00396DD5" w:rsidP="00DD59EA">
            <w:pPr>
              <w:jc w:val="both"/>
              <w:rPr>
                <w:rFonts w:ascii="Times New Roman" w:hAnsi="Times New Roman" w:cs="Times New Roman"/>
                <w:sz w:val="24"/>
                <w:szCs w:val="24"/>
              </w:rPr>
            </w:pPr>
            <w:r w:rsidRPr="00396DD5">
              <w:rPr>
                <w:rFonts w:ascii="Times New Roman" w:eastAsia="Times New Roman" w:hAnsi="Times New Roman" w:cs="Times New Roman"/>
                <w:sz w:val="24"/>
                <w:szCs w:val="24"/>
              </w:rPr>
              <w:t xml:space="preserve">Samērojot papildu slogu un resursus, kas </w:t>
            </w:r>
            <w:r w:rsidR="0064414B">
              <w:rPr>
                <w:rFonts w:ascii="Times New Roman" w:eastAsia="Times New Roman" w:hAnsi="Times New Roman" w:cs="Times New Roman"/>
                <w:sz w:val="24"/>
                <w:szCs w:val="24"/>
              </w:rPr>
              <w:t xml:space="preserve">finanšu </w:t>
            </w:r>
            <w:r w:rsidRPr="00396DD5">
              <w:rPr>
                <w:rFonts w:ascii="Times New Roman" w:eastAsia="Times New Roman" w:hAnsi="Times New Roman" w:cs="Times New Roman"/>
                <w:sz w:val="24"/>
                <w:szCs w:val="24"/>
              </w:rPr>
              <w:t xml:space="preserve">tirgus dalībniekiem – </w:t>
            </w:r>
            <w:r>
              <w:rPr>
                <w:rFonts w:ascii="Times New Roman" w:eastAsia="Times New Roman" w:hAnsi="Times New Roman" w:cs="Times New Roman"/>
                <w:sz w:val="24"/>
                <w:szCs w:val="24"/>
              </w:rPr>
              <w:t>kredītiestādēm</w:t>
            </w:r>
            <w:r w:rsidRPr="00396DD5">
              <w:rPr>
                <w:rFonts w:ascii="Times New Roman" w:eastAsia="Times New Roman" w:hAnsi="Times New Roman" w:cs="Times New Roman"/>
                <w:sz w:val="24"/>
                <w:szCs w:val="24"/>
              </w:rPr>
              <w:t xml:space="preserve"> – būs jāiegulda Latvijas Bankas noteikto prasību ievērošanā, ar sabiedrības ieguvumu, jāsecina, ka sabiedrības interesēm piešķirama prioritāte un tās ieguvums būs lielāks par papildu resursu ieguldījumu, kas konkrētajam </w:t>
            </w:r>
            <w:r w:rsidR="0064414B">
              <w:rPr>
                <w:rFonts w:ascii="Times New Roman" w:eastAsia="Times New Roman" w:hAnsi="Times New Roman" w:cs="Times New Roman"/>
                <w:sz w:val="24"/>
                <w:szCs w:val="24"/>
              </w:rPr>
              <w:t xml:space="preserve">finanšu </w:t>
            </w:r>
            <w:r w:rsidRPr="00396DD5">
              <w:rPr>
                <w:rFonts w:ascii="Times New Roman" w:eastAsia="Times New Roman" w:hAnsi="Times New Roman" w:cs="Times New Roman"/>
                <w:sz w:val="24"/>
                <w:szCs w:val="24"/>
              </w:rPr>
              <w:t xml:space="preserve">tirgus dalībniekam varētu rasties ar uzliktajiem pienākumiem, un to atsver sagaidāmie ilgtermiņa ieguvumi </w:t>
            </w:r>
            <w:r w:rsidR="00EC58D3" w:rsidRPr="002B447E">
              <w:rPr>
                <w:rFonts w:ascii="Times New Roman" w:eastAsia="Times New Roman" w:hAnsi="Times New Roman" w:cs="Times New Roman"/>
                <w:sz w:val="24"/>
                <w:szCs w:val="24"/>
              </w:rPr>
              <w:t>kredītiestāžu augstāka pašu kapitāla uzturēšanas</w:t>
            </w:r>
            <w:r w:rsidR="00EC58D3">
              <w:rPr>
                <w:rFonts w:ascii="Times New Roman" w:eastAsia="Times New Roman" w:hAnsi="Times New Roman" w:cs="Times New Roman"/>
                <w:sz w:val="24"/>
                <w:szCs w:val="24"/>
              </w:rPr>
              <w:t xml:space="preserve"> un tādējādi </w:t>
            </w:r>
            <w:r w:rsidRPr="00396DD5">
              <w:rPr>
                <w:rFonts w:ascii="Times New Roman" w:eastAsia="Times New Roman" w:hAnsi="Times New Roman" w:cs="Times New Roman"/>
                <w:sz w:val="24"/>
                <w:szCs w:val="24"/>
              </w:rPr>
              <w:t>stabilāka finanšu sektora veidā, kas savukārt stiprinās ieguldītāju tiesisko interešu aizsardzību.</w:t>
            </w:r>
          </w:p>
        </w:tc>
      </w:tr>
      <w:tr w:rsidR="00A61684" w:rsidRPr="00A61684" w14:paraId="73006DC9" w14:textId="77777777" w:rsidTr="00207E57">
        <w:tc>
          <w:tcPr>
            <w:tcW w:w="2122" w:type="dxa"/>
          </w:tcPr>
          <w:p w14:paraId="57036A8D" w14:textId="76ABCFE9" w:rsidR="00822148" w:rsidRPr="004C1C0E" w:rsidRDefault="009E6A95" w:rsidP="00CB2ED4">
            <w:pPr>
              <w:jc w:val="both"/>
              <w:rPr>
                <w:rFonts w:ascii="Times New Roman" w:hAnsi="Times New Roman" w:cs="Times New Roman"/>
                <w:b/>
                <w:bCs/>
                <w:sz w:val="24"/>
                <w:szCs w:val="24"/>
              </w:rPr>
            </w:pPr>
            <w:r w:rsidRPr="004C1C0E">
              <w:rPr>
                <w:rFonts w:ascii="Times New Roman" w:hAnsi="Times New Roman" w:cs="Times New Roman"/>
                <w:b/>
                <w:bCs/>
                <w:sz w:val="24"/>
                <w:szCs w:val="24"/>
              </w:rPr>
              <w:lastRenderedPageBreak/>
              <w:t>Spēkā stāšanās</w:t>
            </w:r>
          </w:p>
        </w:tc>
        <w:tc>
          <w:tcPr>
            <w:tcW w:w="6237" w:type="dxa"/>
          </w:tcPr>
          <w:p w14:paraId="0CB42CA8" w14:textId="77777777" w:rsidR="000242EC" w:rsidRPr="000242EC" w:rsidRDefault="000242EC" w:rsidP="000242EC">
            <w:pPr>
              <w:jc w:val="both"/>
              <w:rPr>
                <w:rFonts w:ascii="Times New Roman" w:hAnsi="Times New Roman" w:cs="Times New Roman"/>
                <w:sz w:val="24"/>
                <w:szCs w:val="24"/>
              </w:rPr>
            </w:pPr>
            <w:r w:rsidRPr="000242EC">
              <w:rPr>
                <w:rFonts w:ascii="Times New Roman" w:hAnsi="Times New Roman" w:cs="Times New Roman"/>
                <w:sz w:val="24"/>
                <w:szCs w:val="24"/>
              </w:rPr>
              <w:t>Nākamajā dienā pēc publicēšanas oficiālajā izdevumā "Latvijas</w:t>
            </w:r>
          </w:p>
          <w:p w14:paraId="391B9A6F" w14:textId="39E0B992" w:rsidR="00D34E4F" w:rsidRPr="004A3786" w:rsidRDefault="000242EC" w:rsidP="000242EC">
            <w:pPr>
              <w:jc w:val="both"/>
              <w:rPr>
                <w:rFonts w:ascii="Times New Roman" w:hAnsi="Times New Roman" w:cs="Times New Roman"/>
                <w:sz w:val="24"/>
                <w:szCs w:val="24"/>
              </w:rPr>
            </w:pPr>
            <w:r w:rsidRPr="000242EC">
              <w:rPr>
                <w:rFonts w:ascii="Times New Roman" w:hAnsi="Times New Roman" w:cs="Times New Roman"/>
                <w:sz w:val="24"/>
                <w:szCs w:val="24"/>
              </w:rPr>
              <w:t>Vēstnesis".</w:t>
            </w:r>
          </w:p>
        </w:tc>
      </w:tr>
      <w:tr w:rsidR="00A61684" w:rsidRPr="00A61684" w14:paraId="3E1DDE9F" w14:textId="77777777" w:rsidTr="00207E57">
        <w:tc>
          <w:tcPr>
            <w:tcW w:w="2122" w:type="dxa"/>
          </w:tcPr>
          <w:p w14:paraId="5FBEDEFD" w14:textId="712405EF" w:rsidR="00822148" w:rsidRPr="004C1C0E" w:rsidRDefault="009E6A95" w:rsidP="00C31A97">
            <w:pPr>
              <w:rPr>
                <w:rFonts w:ascii="Times New Roman" w:hAnsi="Times New Roman" w:cs="Times New Roman"/>
                <w:b/>
                <w:bCs/>
                <w:sz w:val="24"/>
                <w:szCs w:val="24"/>
              </w:rPr>
            </w:pPr>
            <w:r w:rsidRPr="004C1C0E">
              <w:rPr>
                <w:rFonts w:ascii="Times New Roman" w:hAnsi="Times New Roman" w:cs="Times New Roman"/>
                <w:b/>
                <w:bCs/>
                <w:sz w:val="24"/>
                <w:szCs w:val="24"/>
              </w:rPr>
              <w:t>Ietekme uz Latvijas Bankas budžetu</w:t>
            </w:r>
          </w:p>
        </w:tc>
        <w:tc>
          <w:tcPr>
            <w:tcW w:w="6237" w:type="dxa"/>
            <w:shd w:val="clear" w:color="auto" w:fill="auto"/>
          </w:tcPr>
          <w:p w14:paraId="387D687A" w14:textId="4BDA436B" w:rsidR="009E6A95" w:rsidRPr="00962FA0" w:rsidRDefault="00952874" w:rsidP="00CB2ED4">
            <w:pPr>
              <w:jc w:val="both"/>
              <w:rPr>
                <w:rFonts w:ascii="Times New Roman" w:hAnsi="Times New Roman" w:cs="Times New Roman"/>
                <w:sz w:val="24"/>
                <w:szCs w:val="24"/>
              </w:rPr>
            </w:pPr>
            <w:r w:rsidRPr="00962FA0">
              <w:rPr>
                <w:rFonts w:ascii="Times New Roman" w:hAnsi="Times New Roman" w:cs="Times New Roman"/>
                <w:sz w:val="24"/>
                <w:szCs w:val="24"/>
              </w:rPr>
              <w:t>Noteikumu izdošana nerada ietekmi uz Latvijas Bankas budžetu.</w:t>
            </w:r>
          </w:p>
        </w:tc>
      </w:tr>
      <w:tr w:rsidR="00A61684" w:rsidRPr="00A61684" w14:paraId="4266A97A" w14:textId="77777777" w:rsidTr="00207E57">
        <w:tc>
          <w:tcPr>
            <w:tcW w:w="2122" w:type="dxa"/>
          </w:tcPr>
          <w:p w14:paraId="2C58F0AD" w14:textId="56CA1F33" w:rsidR="00822148" w:rsidRPr="004C62E5" w:rsidRDefault="0099611F" w:rsidP="00822148">
            <w:pPr>
              <w:jc w:val="both"/>
              <w:rPr>
                <w:rFonts w:ascii="Times New Roman" w:hAnsi="Times New Roman" w:cs="Times New Roman"/>
                <w:b/>
                <w:bCs/>
                <w:sz w:val="24"/>
                <w:szCs w:val="24"/>
                <w:highlight w:val="yellow"/>
              </w:rPr>
            </w:pPr>
            <w:r w:rsidRPr="004C62E5">
              <w:rPr>
                <w:rFonts w:ascii="Times New Roman" w:hAnsi="Times New Roman" w:cs="Times New Roman"/>
                <w:b/>
                <w:bCs/>
                <w:sz w:val="24"/>
                <w:szCs w:val="24"/>
              </w:rPr>
              <w:lastRenderedPageBreak/>
              <w:t>Administratīvā sloga un izmaksu novērtējums (tirgus dalībniekiem)</w:t>
            </w:r>
          </w:p>
        </w:tc>
        <w:tc>
          <w:tcPr>
            <w:tcW w:w="6237" w:type="dxa"/>
          </w:tcPr>
          <w:p w14:paraId="34E94F93" w14:textId="0997BAC2" w:rsidR="000E00F6" w:rsidRDefault="000E00F6" w:rsidP="00F5604D">
            <w:pPr>
              <w:jc w:val="both"/>
              <w:rPr>
                <w:rFonts w:ascii="Times New Roman" w:hAnsi="Times New Roman" w:cs="Times New Roman"/>
                <w:sz w:val="24"/>
                <w:szCs w:val="24"/>
                <w:lang w:eastAsia="lv-LV"/>
              </w:rPr>
            </w:pPr>
            <w:r w:rsidRPr="006C4C15">
              <w:rPr>
                <w:rFonts w:ascii="Times New Roman" w:hAnsi="Times New Roman" w:cs="Times New Roman"/>
                <w:sz w:val="24"/>
                <w:szCs w:val="24"/>
                <w:lang w:eastAsia="lv-LV"/>
              </w:rPr>
              <w:t>Noteikumu projektā ietvertās jaunās prasības</w:t>
            </w:r>
            <w:r w:rsidR="006C4C15" w:rsidRPr="006C4C15">
              <w:rPr>
                <w:rFonts w:ascii="Times New Roman" w:hAnsi="Times New Roman" w:cs="Times New Roman"/>
                <w:sz w:val="24"/>
                <w:szCs w:val="24"/>
                <w:lang w:eastAsia="lv-LV"/>
              </w:rPr>
              <w:t xml:space="preserve"> (minētas anotācijas sadaļā "Mērķis un būtība")</w:t>
            </w:r>
            <w:r w:rsidRPr="006C4C15">
              <w:rPr>
                <w:rFonts w:ascii="Times New Roman" w:hAnsi="Times New Roman" w:cs="Times New Roman"/>
                <w:sz w:val="24"/>
                <w:szCs w:val="24"/>
                <w:lang w:eastAsia="lv-LV"/>
              </w:rPr>
              <w:t xml:space="preserve">, kas nav ietvertas pašlaik spēkā esošajos </w:t>
            </w:r>
            <w:r w:rsidR="00BB3CC2">
              <w:rPr>
                <w:rFonts w:ascii="Times New Roman" w:hAnsi="Times New Roman" w:cs="Times New Roman"/>
                <w:sz w:val="24"/>
                <w:szCs w:val="24"/>
                <w:lang w:eastAsia="lv-LV"/>
              </w:rPr>
              <w:t>N</w:t>
            </w:r>
            <w:r w:rsidRPr="006C4C15">
              <w:rPr>
                <w:rFonts w:ascii="Times New Roman" w:hAnsi="Times New Roman" w:cs="Times New Roman"/>
                <w:sz w:val="24"/>
                <w:szCs w:val="24"/>
                <w:lang w:eastAsia="lv-LV"/>
              </w:rPr>
              <w:t>oteikumos Nr.</w:t>
            </w:r>
            <w:r w:rsidR="004A3786">
              <w:rPr>
                <w:rFonts w:ascii="Times New Roman" w:hAnsi="Times New Roman" w:cs="Times New Roman"/>
                <w:sz w:val="24"/>
                <w:szCs w:val="24"/>
                <w:lang w:eastAsia="lv-LV"/>
              </w:rPr>
              <w:t> </w:t>
            </w:r>
            <w:r w:rsidRPr="006C4C15">
              <w:rPr>
                <w:rFonts w:ascii="Times New Roman" w:hAnsi="Times New Roman" w:cs="Times New Roman"/>
                <w:sz w:val="24"/>
                <w:szCs w:val="24"/>
                <w:lang w:eastAsia="lv-LV"/>
              </w:rPr>
              <w:t xml:space="preserve">209, radīs papildu </w:t>
            </w:r>
            <w:r w:rsidRPr="007B06D0">
              <w:rPr>
                <w:rFonts w:ascii="Times New Roman" w:hAnsi="Times New Roman" w:cs="Times New Roman"/>
                <w:sz w:val="24"/>
                <w:szCs w:val="24"/>
                <w:lang w:eastAsia="lv-LV"/>
              </w:rPr>
              <w:t>administratīvo slogu</w:t>
            </w:r>
            <w:r w:rsidRPr="006C4C15">
              <w:rPr>
                <w:rFonts w:ascii="Times New Roman" w:hAnsi="Times New Roman" w:cs="Times New Roman"/>
                <w:sz w:val="24"/>
                <w:szCs w:val="24"/>
                <w:lang w:eastAsia="lv-LV"/>
              </w:rPr>
              <w:t xml:space="preserve"> </w:t>
            </w:r>
            <w:r w:rsidR="007B06D0">
              <w:rPr>
                <w:rFonts w:ascii="Times New Roman" w:hAnsi="Times New Roman" w:cs="Times New Roman"/>
                <w:sz w:val="24"/>
                <w:szCs w:val="24"/>
                <w:lang w:eastAsia="lv-LV"/>
              </w:rPr>
              <w:t xml:space="preserve">un izmaksas </w:t>
            </w:r>
            <w:r w:rsidR="00DA5C27">
              <w:rPr>
                <w:rFonts w:ascii="Times New Roman" w:hAnsi="Times New Roman" w:cs="Times New Roman"/>
                <w:sz w:val="24"/>
                <w:szCs w:val="24"/>
                <w:lang w:eastAsia="lv-LV"/>
              </w:rPr>
              <w:t xml:space="preserve">finanšu </w:t>
            </w:r>
            <w:r w:rsidRPr="006C4C15">
              <w:rPr>
                <w:rFonts w:ascii="Times New Roman" w:hAnsi="Times New Roman" w:cs="Times New Roman"/>
                <w:sz w:val="24"/>
                <w:szCs w:val="24"/>
                <w:lang w:eastAsia="lv-LV"/>
              </w:rPr>
              <w:t xml:space="preserve">tirgus dalībniekiem, </w:t>
            </w:r>
            <w:r w:rsidR="009A6E24" w:rsidRPr="009A6E24">
              <w:rPr>
                <w:rFonts w:ascii="Times New Roman" w:hAnsi="Times New Roman" w:cs="Times New Roman"/>
                <w:sz w:val="24"/>
                <w:szCs w:val="24"/>
                <w:lang w:eastAsia="lv-LV"/>
              </w:rPr>
              <w:t>uz kuriem tās ir attiecināmas</w:t>
            </w:r>
            <w:r w:rsidRPr="006C4C15">
              <w:rPr>
                <w:rFonts w:ascii="Times New Roman" w:hAnsi="Times New Roman" w:cs="Times New Roman"/>
                <w:sz w:val="24"/>
                <w:szCs w:val="24"/>
                <w:lang w:eastAsia="lv-LV"/>
              </w:rPr>
              <w:t>.</w:t>
            </w:r>
          </w:p>
          <w:p w14:paraId="1E1FB713" w14:textId="77777777" w:rsidR="001E409F" w:rsidRPr="006C4C15" w:rsidRDefault="001E409F" w:rsidP="00F5604D">
            <w:pPr>
              <w:jc w:val="both"/>
              <w:rPr>
                <w:rFonts w:ascii="Times New Roman" w:hAnsi="Times New Roman" w:cs="Times New Roman"/>
                <w:sz w:val="24"/>
                <w:szCs w:val="24"/>
                <w:lang w:eastAsia="lv-LV"/>
              </w:rPr>
            </w:pPr>
          </w:p>
          <w:p w14:paraId="6B15E7B3" w14:textId="5CC3EE79" w:rsidR="0035623D" w:rsidRPr="004A3786" w:rsidRDefault="009272BF" w:rsidP="0035623D">
            <w:pPr>
              <w:jc w:val="both"/>
              <w:rPr>
                <w:rFonts w:ascii="Times New Roman" w:hAnsi="Times New Roman" w:cs="Times New Roman"/>
                <w:sz w:val="24"/>
                <w:szCs w:val="24"/>
                <w:highlight w:val="yellow"/>
              </w:rPr>
            </w:pPr>
            <w:r>
              <w:rPr>
                <w:rFonts w:ascii="Times New Roman" w:hAnsi="Times New Roman" w:cs="Times New Roman"/>
                <w:sz w:val="24"/>
                <w:szCs w:val="24"/>
                <w:lang w:eastAsia="lv-LV"/>
              </w:rPr>
              <w:t>Administ</w:t>
            </w:r>
            <w:r w:rsidR="004D5596">
              <w:rPr>
                <w:rFonts w:ascii="Times New Roman" w:hAnsi="Times New Roman" w:cs="Times New Roman"/>
                <w:sz w:val="24"/>
                <w:szCs w:val="24"/>
                <w:lang w:eastAsia="lv-LV"/>
              </w:rPr>
              <w:t xml:space="preserve">ratīvais slogs un </w:t>
            </w:r>
            <w:r w:rsidR="000E00F6" w:rsidRPr="0035623D">
              <w:rPr>
                <w:rFonts w:ascii="Times New Roman" w:hAnsi="Times New Roman" w:cs="Times New Roman"/>
                <w:sz w:val="24"/>
                <w:szCs w:val="24"/>
                <w:lang w:eastAsia="lv-LV"/>
              </w:rPr>
              <w:t xml:space="preserve">izmaksas precīzi nav aprēķināmas, jo </w:t>
            </w:r>
            <w:r w:rsidR="00F92BB5">
              <w:rPr>
                <w:rFonts w:ascii="Times New Roman" w:hAnsi="Times New Roman" w:cs="Times New Roman"/>
                <w:sz w:val="24"/>
                <w:szCs w:val="24"/>
                <w:lang w:eastAsia="lv-LV"/>
              </w:rPr>
              <w:t>tās</w:t>
            </w:r>
            <w:r w:rsidR="000E00F6" w:rsidRPr="0035623D">
              <w:rPr>
                <w:rFonts w:ascii="Times New Roman" w:hAnsi="Times New Roman" w:cs="Times New Roman"/>
                <w:sz w:val="24"/>
                <w:szCs w:val="24"/>
                <w:lang w:eastAsia="lv-LV"/>
              </w:rPr>
              <w:t xml:space="preserve"> atkarīgas no vairākiem faktoriem, piemēram, no tā, vai noteikumu </w:t>
            </w:r>
            <w:r w:rsidR="0038642D">
              <w:rPr>
                <w:rFonts w:ascii="Times New Roman" w:hAnsi="Times New Roman" w:cs="Times New Roman"/>
                <w:sz w:val="24"/>
                <w:szCs w:val="24"/>
                <w:lang w:eastAsia="lv-LV"/>
              </w:rPr>
              <w:t xml:space="preserve">projektā paredzēto </w:t>
            </w:r>
            <w:r w:rsidR="000E00F6" w:rsidRPr="0035623D">
              <w:rPr>
                <w:rFonts w:ascii="Times New Roman" w:hAnsi="Times New Roman" w:cs="Times New Roman"/>
                <w:sz w:val="24"/>
                <w:szCs w:val="24"/>
                <w:lang w:eastAsia="lv-LV"/>
              </w:rPr>
              <w:t xml:space="preserve">prasību ieviešanai </w:t>
            </w:r>
            <w:r w:rsidR="00B703E6">
              <w:rPr>
                <w:rFonts w:ascii="Times New Roman" w:hAnsi="Times New Roman" w:cs="Times New Roman"/>
                <w:sz w:val="24"/>
                <w:szCs w:val="24"/>
                <w:lang w:eastAsia="lv-LV"/>
              </w:rPr>
              <w:t xml:space="preserve">finanšu </w:t>
            </w:r>
            <w:r w:rsidR="000E00F6" w:rsidRPr="0035623D">
              <w:rPr>
                <w:rFonts w:ascii="Times New Roman" w:hAnsi="Times New Roman" w:cs="Times New Roman"/>
                <w:sz w:val="24"/>
                <w:szCs w:val="24"/>
                <w:lang w:eastAsia="lv-LV"/>
              </w:rPr>
              <w:t>tirgus dalībnieks izmantos iekšējos vai ārējos resursus</w:t>
            </w:r>
            <w:r w:rsidR="008D2A05">
              <w:rPr>
                <w:rFonts w:ascii="Times New Roman" w:hAnsi="Times New Roman" w:cs="Times New Roman"/>
                <w:sz w:val="24"/>
                <w:szCs w:val="24"/>
                <w:lang w:eastAsia="lv-LV"/>
              </w:rPr>
              <w:t>,</w:t>
            </w:r>
            <w:r w:rsidR="000E00F6" w:rsidRPr="0035623D">
              <w:rPr>
                <w:rFonts w:ascii="Times New Roman" w:hAnsi="Times New Roman" w:cs="Times New Roman"/>
                <w:sz w:val="24"/>
                <w:szCs w:val="24"/>
                <w:lang w:eastAsia="lv-LV"/>
              </w:rPr>
              <w:t xml:space="preserve"> </w:t>
            </w:r>
            <w:r w:rsidR="00F92BB5">
              <w:rPr>
                <w:rFonts w:ascii="Times New Roman" w:hAnsi="Times New Roman" w:cs="Times New Roman"/>
                <w:sz w:val="24"/>
                <w:szCs w:val="24"/>
                <w:lang w:eastAsia="lv-LV"/>
              </w:rPr>
              <w:t>noteikum</w:t>
            </w:r>
            <w:r w:rsidR="0038642D">
              <w:rPr>
                <w:rFonts w:ascii="Times New Roman" w:hAnsi="Times New Roman" w:cs="Times New Roman"/>
                <w:sz w:val="24"/>
                <w:szCs w:val="24"/>
                <w:lang w:eastAsia="lv-LV"/>
              </w:rPr>
              <w:t>u projektā</w:t>
            </w:r>
            <w:r w:rsidR="00F92BB5">
              <w:rPr>
                <w:rFonts w:ascii="Times New Roman" w:hAnsi="Times New Roman" w:cs="Times New Roman"/>
                <w:sz w:val="24"/>
                <w:szCs w:val="24"/>
                <w:lang w:eastAsia="lv-LV"/>
              </w:rPr>
              <w:t xml:space="preserve"> aprakstītās vienkāršotās metodes vai </w:t>
            </w:r>
            <w:r w:rsidR="00F92BB5" w:rsidRPr="00F92BB5">
              <w:rPr>
                <w:rFonts w:ascii="Times New Roman" w:hAnsi="Times New Roman" w:cs="Times New Roman"/>
                <w:sz w:val="24"/>
                <w:szCs w:val="24"/>
                <w:lang w:eastAsia="lv-LV"/>
              </w:rPr>
              <w:t>kredītiestādes izstrādātos un tās darbībai un riska profilam pielāgotos iekšējos modeļus, metodes vai pieejas</w:t>
            </w:r>
            <w:r w:rsidR="00533702">
              <w:rPr>
                <w:rFonts w:ascii="Times New Roman" w:hAnsi="Times New Roman" w:cs="Times New Roman"/>
                <w:sz w:val="24"/>
                <w:szCs w:val="24"/>
                <w:lang w:eastAsia="lv-LV"/>
              </w:rPr>
              <w:t>,</w:t>
            </w:r>
            <w:r w:rsidR="00F92BB5" w:rsidRPr="00F92BB5">
              <w:rPr>
                <w:rFonts w:ascii="Times New Roman" w:hAnsi="Times New Roman" w:cs="Times New Roman"/>
                <w:sz w:val="24"/>
                <w:szCs w:val="24"/>
                <w:lang w:eastAsia="lv-LV"/>
              </w:rPr>
              <w:t xml:space="preserve"> </w:t>
            </w:r>
            <w:r w:rsidR="000E00F6" w:rsidRPr="0035623D">
              <w:rPr>
                <w:rFonts w:ascii="Times New Roman" w:hAnsi="Times New Roman" w:cs="Times New Roman"/>
                <w:sz w:val="24"/>
                <w:szCs w:val="24"/>
                <w:lang w:eastAsia="lv-LV"/>
              </w:rPr>
              <w:t>un citiem faktoriem.</w:t>
            </w:r>
          </w:p>
        </w:tc>
      </w:tr>
      <w:tr w:rsidR="00A61684" w:rsidRPr="00A61684" w14:paraId="78453D7D" w14:textId="77777777" w:rsidTr="00207E57">
        <w:tc>
          <w:tcPr>
            <w:tcW w:w="2122" w:type="dxa"/>
          </w:tcPr>
          <w:p w14:paraId="5AF60CCD" w14:textId="40437210" w:rsidR="00822148" w:rsidRPr="00BF3956" w:rsidRDefault="009E6A95" w:rsidP="00CB2ED4">
            <w:pPr>
              <w:jc w:val="both"/>
              <w:rPr>
                <w:rFonts w:ascii="Times New Roman" w:hAnsi="Times New Roman" w:cs="Times New Roman"/>
                <w:b/>
                <w:bCs/>
                <w:sz w:val="24"/>
                <w:szCs w:val="24"/>
                <w:highlight w:val="yellow"/>
              </w:rPr>
            </w:pPr>
            <w:r w:rsidRPr="00432BC5">
              <w:rPr>
                <w:rFonts w:ascii="Times New Roman" w:hAnsi="Times New Roman" w:cs="Times New Roman"/>
                <w:b/>
                <w:bCs/>
                <w:sz w:val="24"/>
                <w:szCs w:val="24"/>
              </w:rPr>
              <w:t>Saistītie dokumenti</w:t>
            </w:r>
          </w:p>
        </w:tc>
        <w:tc>
          <w:tcPr>
            <w:tcW w:w="6237" w:type="dxa"/>
          </w:tcPr>
          <w:p w14:paraId="3E3DE70B" w14:textId="55355F5E" w:rsidR="001E409F" w:rsidRDefault="001E409F" w:rsidP="0094724D">
            <w:pPr>
              <w:jc w:val="both"/>
              <w:rPr>
                <w:rFonts w:ascii="Times New Roman" w:hAnsi="Times New Roman" w:cs="Times New Roman"/>
                <w:sz w:val="24"/>
                <w:szCs w:val="24"/>
              </w:rPr>
            </w:pPr>
            <w:r>
              <w:rPr>
                <w:rFonts w:ascii="Times New Roman" w:hAnsi="Times New Roman" w:cs="Times New Roman"/>
                <w:sz w:val="24"/>
                <w:szCs w:val="24"/>
              </w:rPr>
              <w:t>Ar noteikumu projektu saistītie dokumenti:</w:t>
            </w:r>
          </w:p>
          <w:p w14:paraId="03DA6C0F" w14:textId="28B4E18F" w:rsidR="0094724D" w:rsidRDefault="0094724D" w:rsidP="0094724D">
            <w:pPr>
              <w:jc w:val="both"/>
              <w:rPr>
                <w:rFonts w:ascii="Times New Roman" w:hAnsi="Times New Roman" w:cs="Times New Roman"/>
                <w:sz w:val="24"/>
                <w:szCs w:val="24"/>
              </w:rPr>
            </w:pPr>
            <w:r>
              <w:rPr>
                <w:rFonts w:ascii="Times New Roman" w:hAnsi="Times New Roman" w:cs="Times New Roman"/>
                <w:sz w:val="24"/>
                <w:szCs w:val="24"/>
              </w:rPr>
              <w:t>1)</w:t>
            </w:r>
            <w:r w:rsidRPr="0094724D">
              <w:rPr>
                <w:rFonts w:ascii="Times New Roman" w:hAnsi="Times New Roman" w:cs="Times New Roman"/>
                <w:sz w:val="24"/>
                <w:szCs w:val="24"/>
              </w:rPr>
              <w:t xml:space="preserve"> </w:t>
            </w:r>
            <w:hyperlink r:id="rId14" w:history="1">
              <w:r w:rsidR="0079415B" w:rsidRPr="0079415B">
                <w:rPr>
                  <w:rStyle w:val="Hyperlink"/>
                  <w:rFonts w:ascii="Times New Roman" w:hAnsi="Times New Roman" w:cs="Times New Roman"/>
                  <w:sz w:val="24"/>
                  <w:szCs w:val="24"/>
                </w:rPr>
                <w:t>Kredītiestāžu likums</w:t>
              </w:r>
            </w:hyperlink>
            <w:r>
              <w:rPr>
                <w:rFonts w:ascii="Times New Roman" w:hAnsi="Times New Roman" w:cs="Times New Roman"/>
                <w:sz w:val="24"/>
                <w:szCs w:val="24"/>
              </w:rPr>
              <w:t>;</w:t>
            </w:r>
          </w:p>
          <w:p w14:paraId="702FF8F1" w14:textId="22D4E58D" w:rsidR="0094724D" w:rsidRDefault="0094724D" w:rsidP="0094724D">
            <w:pPr>
              <w:jc w:val="both"/>
              <w:rPr>
                <w:rFonts w:ascii="Times New Roman" w:hAnsi="Times New Roman" w:cs="Times New Roman"/>
                <w:sz w:val="24"/>
                <w:szCs w:val="24"/>
              </w:rPr>
            </w:pPr>
            <w:r>
              <w:rPr>
                <w:rFonts w:ascii="Times New Roman" w:hAnsi="Times New Roman" w:cs="Times New Roman"/>
                <w:sz w:val="24"/>
                <w:szCs w:val="24"/>
              </w:rPr>
              <w:t>2)</w:t>
            </w:r>
            <w:r w:rsidR="000D453C">
              <w:rPr>
                <w:rFonts w:ascii="Times New Roman" w:hAnsi="Times New Roman" w:cs="Times New Roman"/>
                <w:sz w:val="24"/>
                <w:szCs w:val="24"/>
              </w:rPr>
              <w:t xml:space="preserve"> </w:t>
            </w:r>
            <w:hyperlink r:id="rId15" w:history="1">
              <w:r w:rsidR="000D453C" w:rsidRPr="008D2A05">
                <w:rPr>
                  <w:rStyle w:val="Hyperlink"/>
                  <w:rFonts w:ascii="Times New Roman" w:hAnsi="Times New Roman" w:cs="Times New Roman"/>
                  <w:sz w:val="24"/>
                  <w:szCs w:val="24"/>
                </w:rPr>
                <w:t>Latvijas Bankas likums</w:t>
              </w:r>
            </w:hyperlink>
            <w:r w:rsidRPr="008D2A05">
              <w:rPr>
                <w:rFonts w:ascii="Times New Roman" w:hAnsi="Times New Roman" w:cs="Times New Roman"/>
                <w:sz w:val="24"/>
                <w:szCs w:val="24"/>
              </w:rPr>
              <w:t>;</w:t>
            </w:r>
          </w:p>
          <w:p w14:paraId="2D36644B" w14:textId="0ABD9AFD" w:rsidR="00026984" w:rsidRDefault="0094724D" w:rsidP="0094724D">
            <w:pPr>
              <w:jc w:val="both"/>
              <w:rPr>
                <w:rFonts w:ascii="Times New Roman" w:hAnsi="Times New Roman" w:cs="Times New Roman"/>
                <w:sz w:val="24"/>
                <w:szCs w:val="24"/>
              </w:rPr>
            </w:pPr>
            <w:r>
              <w:rPr>
                <w:rFonts w:ascii="Times New Roman" w:hAnsi="Times New Roman" w:cs="Times New Roman"/>
                <w:sz w:val="24"/>
                <w:szCs w:val="24"/>
              </w:rPr>
              <w:t>3)</w:t>
            </w:r>
            <w:r w:rsidR="004131A9">
              <w:rPr>
                <w:rFonts w:ascii="Times New Roman" w:hAnsi="Times New Roman" w:cs="Times New Roman"/>
                <w:sz w:val="24"/>
                <w:szCs w:val="24"/>
              </w:rPr>
              <w:t xml:space="preserve"> </w:t>
            </w:r>
            <w:hyperlink r:id="rId16" w:history="1">
              <w:r w:rsidR="008D02D4" w:rsidRPr="008D02D4">
                <w:rPr>
                  <w:rStyle w:val="Hyperlink"/>
                  <w:rFonts w:ascii="Times New Roman" w:hAnsi="Times New Roman" w:cs="Times New Roman"/>
                  <w:sz w:val="24"/>
                  <w:szCs w:val="24"/>
                </w:rPr>
                <w:t>Ieguldījumu brokeru sabiedrību likums</w:t>
              </w:r>
            </w:hyperlink>
            <w:r w:rsidR="00026984">
              <w:rPr>
                <w:rFonts w:ascii="Times New Roman" w:hAnsi="Times New Roman" w:cs="Times New Roman"/>
                <w:sz w:val="24"/>
                <w:szCs w:val="24"/>
              </w:rPr>
              <w:t>;</w:t>
            </w:r>
          </w:p>
          <w:p w14:paraId="18916B18" w14:textId="2E1E6BFC" w:rsidR="008D1398" w:rsidRDefault="00026984" w:rsidP="0094724D">
            <w:pPr>
              <w:jc w:val="both"/>
              <w:rPr>
                <w:rFonts w:ascii="Times New Roman" w:hAnsi="Times New Roman" w:cs="Times New Roman"/>
                <w:sz w:val="24"/>
                <w:szCs w:val="24"/>
              </w:rPr>
            </w:pPr>
            <w:r>
              <w:rPr>
                <w:rFonts w:ascii="Times New Roman" w:hAnsi="Times New Roman" w:cs="Times New Roman"/>
                <w:sz w:val="24"/>
                <w:szCs w:val="24"/>
              </w:rPr>
              <w:t>4)</w:t>
            </w:r>
            <w:r w:rsidR="00DD6E23">
              <w:rPr>
                <w:rFonts w:ascii="Times New Roman" w:hAnsi="Times New Roman" w:cs="Times New Roman"/>
                <w:sz w:val="24"/>
                <w:szCs w:val="24"/>
              </w:rPr>
              <w:t xml:space="preserve"> </w:t>
            </w:r>
            <w:hyperlink r:id="rId17" w:history="1">
              <w:r w:rsidR="00D77F22" w:rsidRPr="00D77F22">
                <w:rPr>
                  <w:rStyle w:val="Hyperlink"/>
                  <w:rFonts w:ascii="Times New Roman" w:hAnsi="Times New Roman" w:cs="Times New Roman"/>
                  <w:sz w:val="24"/>
                  <w:szCs w:val="24"/>
                </w:rPr>
                <w:t>Regula Nr.</w:t>
              </w:r>
              <w:r w:rsidR="004F0A3D">
                <w:rPr>
                  <w:rStyle w:val="Hyperlink"/>
                  <w:rFonts w:ascii="Times New Roman" w:hAnsi="Times New Roman" w:cs="Times New Roman"/>
                  <w:sz w:val="24"/>
                  <w:szCs w:val="24"/>
                </w:rPr>
                <w:t> </w:t>
              </w:r>
              <w:r w:rsidR="00D77F22" w:rsidRPr="00D77F22">
                <w:rPr>
                  <w:rStyle w:val="Hyperlink"/>
                  <w:rFonts w:ascii="Times New Roman" w:hAnsi="Times New Roman" w:cs="Times New Roman"/>
                  <w:sz w:val="24"/>
                  <w:szCs w:val="24"/>
                </w:rPr>
                <w:t>575/2013</w:t>
              </w:r>
            </w:hyperlink>
            <w:r w:rsidR="00D77F22">
              <w:rPr>
                <w:rFonts w:ascii="Times New Roman" w:hAnsi="Times New Roman" w:cs="Times New Roman"/>
                <w:sz w:val="24"/>
                <w:szCs w:val="24"/>
              </w:rPr>
              <w:t>;</w:t>
            </w:r>
          </w:p>
          <w:p w14:paraId="5243D32E" w14:textId="136011D3" w:rsidR="000E36AD" w:rsidRDefault="000E36AD" w:rsidP="0094724D">
            <w:pPr>
              <w:jc w:val="both"/>
              <w:rPr>
                <w:rFonts w:ascii="Times New Roman" w:hAnsi="Times New Roman" w:cs="Times New Roman"/>
                <w:sz w:val="24"/>
                <w:szCs w:val="24"/>
              </w:rPr>
            </w:pPr>
            <w:r>
              <w:rPr>
                <w:rFonts w:ascii="Times New Roman" w:hAnsi="Times New Roman" w:cs="Times New Roman"/>
                <w:sz w:val="24"/>
                <w:szCs w:val="24"/>
              </w:rPr>
              <w:t xml:space="preserve">5) </w:t>
            </w:r>
            <w:hyperlink r:id="rId18" w:history="1">
              <w:r>
                <w:rPr>
                  <w:rStyle w:val="Hyperlink"/>
                  <w:rFonts w:ascii="Times New Roman" w:hAnsi="Times New Roman" w:cs="Times New Roman"/>
                  <w:sz w:val="24"/>
                  <w:szCs w:val="24"/>
                </w:rPr>
                <w:t>Komisijas 2023. gada 13. augusta regula (ES)</w:t>
              </w:r>
              <w:r w:rsidR="001E409F">
                <w:rPr>
                  <w:rStyle w:val="Hyperlink"/>
                  <w:rFonts w:ascii="Times New Roman" w:hAnsi="Times New Roman" w:cs="Times New Roman"/>
                  <w:sz w:val="24"/>
                  <w:szCs w:val="24"/>
                </w:rPr>
                <w:t> </w:t>
              </w:r>
              <w:r>
                <w:rPr>
                  <w:rStyle w:val="Hyperlink"/>
                  <w:rFonts w:ascii="Times New Roman" w:hAnsi="Times New Roman" w:cs="Times New Roman"/>
                  <w:sz w:val="24"/>
                  <w:szCs w:val="24"/>
                </w:rPr>
                <w:t>2023/1803, ar ko pieņem vairākus starptautiskos grāmatvedības standartus saskaņā ar Eiropas Parlamenta un Padomes regulu (EK) Nr. 1606/2002</w:t>
              </w:r>
            </w:hyperlink>
            <w:r w:rsidRPr="00B50B94">
              <w:rPr>
                <w:rStyle w:val="Hyperlink"/>
                <w:rFonts w:ascii="Times New Roman" w:hAnsi="Times New Roman" w:cs="Times New Roman"/>
                <w:color w:val="auto"/>
                <w:sz w:val="24"/>
                <w:szCs w:val="24"/>
              </w:rPr>
              <w:t>;</w:t>
            </w:r>
          </w:p>
          <w:p w14:paraId="4FA74EEF" w14:textId="2929B793" w:rsidR="00591702" w:rsidRDefault="00591702" w:rsidP="00094A20">
            <w:pPr>
              <w:jc w:val="both"/>
              <w:rPr>
                <w:rFonts w:ascii="Times New Roman" w:hAnsi="Times New Roman" w:cs="Times New Roman"/>
                <w:sz w:val="24"/>
                <w:szCs w:val="24"/>
              </w:rPr>
            </w:pPr>
            <w:r>
              <w:rPr>
                <w:rFonts w:ascii="Times New Roman" w:hAnsi="Times New Roman" w:cs="Times New Roman"/>
                <w:sz w:val="24"/>
                <w:szCs w:val="24"/>
              </w:rPr>
              <w:t>6</w:t>
            </w:r>
            <w:r w:rsidR="00D77F22">
              <w:rPr>
                <w:rFonts w:ascii="Times New Roman" w:hAnsi="Times New Roman" w:cs="Times New Roman"/>
                <w:sz w:val="24"/>
                <w:szCs w:val="24"/>
              </w:rPr>
              <w:t>)</w:t>
            </w:r>
            <w:r w:rsidR="00BB5489">
              <w:rPr>
                <w:rFonts w:ascii="Times New Roman" w:hAnsi="Times New Roman" w:cs="Times New Roman"/>
                <w:sz w:val="24"/>
                <w:szCs w:val="24"/>
              </w:rPr>
              <w:t xml:space="preserve"> </w:t>
            </w:r>
            <w:hyperlink r:id="rId19" w:history="1">
              <w:r>
                <w:rPr>
                  <w:rStyle w:val="Hyperlink"/>
                  <w:rFonts w:ascii="Times New Roman" w:hAnsi="Times New Roman" w:cs="Times New Roman"/>
                  <w:sz w:val="24"/>
                  <w:szCs w:val="24"/>
                </w:rPr>
                <w:t>Eiropas Parlamenta un Padomes 2006. gada 20. decembra regula (EK) Nr. 1893/2006, ar ko izveido NACE 2. red. saimniecisko darbību statistisko klasifikāciju, kā arī groza Padomes regulu (EEK) Nr. 3037/90 un dažas EK regulas par īpašām statistikas jomām</w:t>
              </w:r>
            </w:hyperlink>
            <w:r>
              <w:rPr>
                <w:rFonts w:ascii="Times New Roman" w:hAnsi="Times New Roman" w:cs="Times New Roman"/>
                <w:sz w:val="24"/>
                <w:szCs w:val="24"/>
              </w:rPr>
              <w:t>;</w:t>
            </w:r>
          </w:p>
          <w:p w14:paraId="5487954E" w14:textId="67C0CCB0" w:rsidR="009216DB" w:rsidRDefault="009216DB" w:rsidP="00094A20">
            <w:pPr>
              <w:jc w:val="both"/>
              <w:rPr>
                <w:rStyle w:val="Hyperlink"/>
                <w:rFonts w:ascii="Times New Roman" w:hAnsi="Times New Roman" w:cs="Times New Roman"/>
                <w:color w:val="auto"/>
                <w:sz w:val="24"/>
                <w:szCs w:val="24"/>
                <w:u w:val="none"/>
              </w:rPr>
            </w:pPr>
            <w:r>
              <w:rPr>
                <w:rFonts w:ascii="Times New Roman" w:hAnsi="Times New Roman" w:cs="Times New Roman"/>
                <w:sz w:val="24"/>
                <w:szCs w:val="24"/>
              </w:rPr>
              <w:t xml:space="preserve">7) </w:t>
            </w:r>
            <w:hyperlink r:id="rId20" w:history="1">
              <w:r w:rsidRPr="009216DB">
                <w:rPr>
                  <w:rStyle w:val="Hyperlink"/>
                  <w:rFonts w:ascii="Times New Roman" w:hAnsi="Times New Roman" w:cs="Times New Roman"/>
                  <w:sz w:val="24"/>
                  <w:szCs w:val="24"/>
                </w:rPr>
                <w:t>Komisijas 2022. gada 10. oktobra deleģētā regula (ES) 2023/137, ar kuru groza Eiropas Parlamenta un Padomes regulu (EK) Nr. 1893/2006, ar ko izveido NACE 2. red.</w:t>
              </w:r>
              <w:r w:rsidRPr="00D30B7E">
                <w:rPr>
                  <w:rStyle w:val="Hyperlink"/>
                  <w:rFonts w:ascii="Times New Roman" w:hAnsi="Times New Roman" w:cs="Times New Roman"/>
                  <w:color w:val="auto"/>
                  <w:sz w:val="24"/>
                  <w:szCs w:val="24"/>
                  <w:u w:val="none"/>
                </w:rPr>
                <w:t>;</w:t>
              </w:r>
            </w:hyperlink>
          </w:p>
          <w:p w14:paraId="43E3B669" w14:textId="7BAE414B" w:rsidR="00DF59C6" w:rsidRPr="00DF59C6" w:rsidRDefault="00DF59C6" w:rsidP="00094A20">
            <w:pPr>
              <w:jc w:val="both"/>
              <w:rPr>
                <w:rFonts w:ascii="Times New Roman" w:hAnsi="Times New Roman" w:cs="Times New Roman"/>
                <w:sz w:val="24"/>
                <w:szCs w:val="24"/>
              </w:rPr>
            </w:pPr>
            <w:r w:rsidRPr="00DF59C6">
              <w:rPr>
                <w:rStyle w:val="Hyperlink"/>
                <w:rFonts w:ascii="Times New Roman" w:hAnsi="Times New Roman" w:cs="Times New Roman"/>
                <w:color w:val="auto"/>
                <w:sz w:val="24"/>
                <w:szCs w:val="24"/>
                <w:u w:val="none"/>
              </w:rPr>
              <w:t>8)</w:t>
            </w:r>
            <w:r w:rsidRPr="00DF59C6">
              <w:rPr>
                <w:rStyle w:val="Hyperlink"/>
                <w:rFonts w:ascii="Times New Roman" w:hAnsi="Times New Roman" w:cs="Times New Roman"/>
                <w:sz w:val="24"/>
                <w:szCs w:val="24"/>
                <w:u w:val="none"/>
              </w:rPr>
              <w:t xml:space="preserve"> </w:t>
            </w:r>
            <w:hyperlink r:id="rId21" w:history="1">
              <w:r w:rsidR="00D154EC">
                <w:rPr>
                  <w:rStyle w:val="Hyperlink"/>
                  <w:rFonts w:ascii="Times New Roman" w:hAnsi="Times New Roman" w:cs="Times New Roman"/>
                  <w:sz w:val="24"/>
                  <w:szCs w:val="24"/>
                </w:rPr>
                <w:t xml:space="preserve">Eiropas Parlamenta un Padomes 2024. gada 31. maija regula (ES) 2024/1623, ar ko </w:t>
              </w:r>
              <w:r w:rsidR="00516DA7">
                <w:rPr>
                  <w:rStyle w:val="Hyperlink"/>
                  <w:rFonts w:ascii="Times New Roman" w:hAnsi="Times New Roman" w:cs="Times New Roman"/>
                  <w:sz w:val="24"/>
                  <w:szCs w:val="24"/>
                </w:rPr>
                <w:t xml:space="preserve">regulu </w:t>
              </w:r>
              <w:r w:rsidR="00D154EC">
                <w:rPr>
                  <w:rStyle w:val="Hyperlink"/>
                  <w:rFonts w:ascii="Times New Roman" w:hAnsi="Times New Roman" w:cs="Times New Roman"/>
                  <w:sz w:val="24"/>
                  <w:szCs w:val="24"/>
                </w:rPr>
                <w:t>(ES) Nr. 575/2013 groza attiecībā uz prasībām kredītriskam, kredīta vērtības korekcijas riskam, operacionālajam riskam, tirgus riskam un riska darījumu vērtības minimālajai robežvērtībai</w:t>
              </w:r>
            </w:hyperlink>
            <w:r w:rsidRPr="00DF59C6">
              <w:rPr>
                <w:rStyle w:val="Hyperlink"/>
                <w:rFonts w:ascii="Times New Roman" w:hAnsi="Times New Roman" w:cs="Times New Roman"/>
                <w:color w:val="auto"/>
                <w:sz w:val="24"/>
                <w:szCs w:val="24"/>
                <w:u w:val="none"/>
              </w:rPr>
              <w:t>;</w:t>
            </w:r>
          </w:p>
          <w:p w14:paraId="1BDE4A3D" w14:textId="29AC1EEA" w:rsidR="004047DF" w:rsidRDefault="00DF59C6" w:rsidP="00C9220A">
            <w:pPr>
              <w:jc w:val="both"/>
              <w:rPr>
                <w:rFonts w:ascii="Times New Roman" w:hAnsi="Times New Roman" w:cs="Times New Roman"/>
                <w:sz w:val="24"/>
                <w:szCs w:val="24"/>
              </w:rPr>
            </w:pPr>
            <w:r>
              <w:rPr>
                <w:rFonts w:ascii="Times New Roman" w:hAnsi="Times New Roman" w:cs="Times New Roman"/>
                <w:sz w:val="24"/>
                <w:szCs w:val="24"/>
              </w:rPr>
              <w:t>9</w:t>
            </w:r>
            <w:r w:rsidR="004047DF">
              <w:rPr>
                <w:rFonts w:ascii="Times New Roman" w:hAnsi="Times New Roman" w:cs="Times New Roman"/>
                <w:sz w:val="24"/>
                <w:szCs w:val="24"/>
              </w:rPr>
              <w:t>)</w:t>
            </w:r>
            <w:r w:rsidR="00C9220A">
              <w:rPr>
                <w:rFonts w:ascii="Times New Roman" w:hAnsi="Times New Roman" w:cs="Times New Roman"/>
                <w:sz w:val="24"/>
                <w:szCs w:val="24"/>
              </w:rPr>
              <w:t xml:space="preserve"> </w:t>
            </w:r>
            <w:hyperlink r:id="rId22" w:history="1">
              <w:r w:rsidR="00C9220A" w:rsidRPr="00C9220A">
                <w:rPr>
                  <w:rStyle w:val="Hyperlink"/>
                  <w:rFonts w:ascii="Times New Roman" w:hAnsi="Times New Roman" w:cs="Times New Roman"/>
                  <w:sz w:val="24"/>
                  <w:szCs w:val="24"/>
                </w:rPr>
                <w:t>Noteikumi Nr. 209</w:t>
              </w:r>
            </w:hyperlink>
            <w:r w:rsidR="00C9220A">
              <w:rPr>
                <w:rFonts w:ascii="Times New Roman" w:hAnsi="Times New Roman" w:cs="Times New Roman"/>
                <w:sz w:val="24"/>
                <w:szCs w:val="24"/>
              </w:rPr>
              <w:t>;</w:t>
            </w:r>
          </w:p>
          <w:p w14:paraId="0A07D7EC" w14:textId="4B2AB3D9" w:rsidR="004047DF" w:rsidRDefault="00DF59C6" w:rsidP="00C9220A">
            <w:pPr>
              <w:jc w:val="both"/>
              <w:rPr>
                <w:rFonts w:ascii="Times New Roman" w:hAnsi="Times New Roman" w:cs="Times New Roman"/>
                <w:sz w:val="24"/>
                <w:szCs w:val="24"/>
              </w:rPr>
            </w:pPr>
            <w:r>
              <w:rPr>
                <w:rFonts w:ascii="Times New Roman" w:hAnsi="Times New Roman" w:cs="Times New Roman"/>
                <w:sz w:val="24"/>
                <w:szCs w:val="24"/>
              </w:rPr>
              <w:t>10</w:t>
            </w:r>
            <w:r w:rsidR="004047DF">
              <w:rPr>
                <w:rFonts w:ascii="Times New Roman" w:hAnsi="Times New Roman" w:cs="Times New Roman"/>
                <w:sz w:val="24"/>
                <w:szCs w:val="24"/>
              </w:rPr>
              <w:t>)</w:t>
            </w:r>
            <w:r w:rsidR="002E7488">
              <w:rPr>
                <w:rFonts w:ascii="Times New Roman" w:hAnsi="Times New Roman" w:cs="Times New Roman"/>
                <w:sz w:val="24"/>
                <w:szCs w:val="24"/>
              </w:rPr>
              <w:t xml:space="preserve"> </w:t>
            </w:r>
            <w:hyperlink r:id="rId23" w:history="1">
              <w:r w:rsidR="00176FC8">
                <w:rPr>
                  <w:rStyle w:val="Hyperlink"/>
                  <w:rFonts w:ascii="Times New Roman" w:hAnsi="Times New Roman" w:cs="Times New Roman"/>
                  <w:sz w:val="24"/>
                  <w:szCs w:val="24"/>
                </w:rPr>
                <w:t>Latvijas Bankas 2022. gada 24. oktobra noteikumi Nr. 226 "Noteikumi par elektronisko informācijas apmaiņu ar Latvijas Banku"</w:t>
              </w:r>
            </w:hyperlink>
            <w:r w:rsidR="00B46CD0">
              <w:rPr>
                <w:rFonts w:ascii="Times New Roman" w:hAnsi="Times New Roman" w:cs="Times New Roman"/>
                <w:sz w:val="24"/>
                <w:szCs w:val="24"/>
              </w:rPr>
              <w:t>;</w:t>
            </w:r>
          </w:p>
          <w:p w14:paraId="2125539F" w14:textId="4042788E" w:rsidR="00B50B94" w:rsidRDefault="00DF59C6" w:rsidP="00C9220A">
            <w:pPr>
              <w:jc w:val="both"/>
              <w:rPr>
                <w:rFonts w:ascii="Times New Roman" w:hAnsi="Times New Roman" w:cs="Times New Roman"/>
                <w:sz w:val="24"/>
                <w:szCs w:val="24"/>
              </w:rPr>
            </w:pPr>
            <w:r>
              <w:rPr>
                <w:rFonts w:ascii="Times New Roman" w:hAnsi="Times New Roman" w:cs="Times New Roman"/>
                <w:sz w:val="24"/>
                <w:szCs w:val="24"/>
              </w:rPr>
              <w:t>11</w:t>
            </w:r>
            <w:r w:rsidR="00B50B94">
              <w:rPr>
                <w:rFonts w:ascii="Times New Roman" w:hAnsi="Times New Roman" w:cs="Times New Roman"/>
                <w:sz w:val="24"/>
                <w:szCs w:val="24"/>
              </w:rPr>
              <w:t xml:space="preserve">) </w:t>
            </w:r>
            <w:hyperlink r:id="rId24" w:history="1">
              <w:r w:rsidR="00B50B94" w:rsidRPr="00CC1207">
                <w:rPr>
                  <w:rStyle w:val="Hyperlink"/>
                  <w:rFonts w:ascii="Times New Roman" w:hAnsi="Times New Roman" w:cs="Times New Roman"/>
                  <w:sz w:val="24"/>
                  <w:szCs w:val="24"/>
                </w:rPr>
                <w:t>Latvijas Bankas 2018. gada 18. janvāra noteikumi Nr. 160 "Kredītu reģistra noteikumi"</w:t>
              </w:r>
            </w:hyperlink>
            <w:r w:rsidR="00B50B94">
              <w:rPr>
                <w:rFonts w:ascii="Times New Roman" w:hAnsi="Times New Roman" w:cs="Times New Roman"/>
                <w:sz w:val="24"/>
                <w:szCs w:val="24"/>
              </w:rPr>
              <w:t>;</w:t>
            </w:r>
          </w:p>
          <w:p w14:paraId="60557CEE" w14:textId="5117A891" w:rsidR="00B50B94" w:rsidRDefault="00DF59C6" w:rsidP="00C9220A">
            <w:pPr>
              <w:jc w:val="both"/>
              <w:rPr>
                <w:rFonts w:ascii="Times New Roman" w:hAnsi="Times New Roman" w:cs="Times New Roman"/>
                <w:sz w:val="24"/>
                <w:szCs w:val="24"/>
              </w:rPr>
            </w:pPr>
            <w:r>
              <w:rPr>
                <w:rFonts w:ascii="Times New Roman" w:hAnsi="Times New Roman" w:cs="Times New Roman"/>
                <w:sz w:val="24"/>
                <w:szCs w:val="24"/>
              </w:rPr>
              <w:t>12</w:t>
            </w:r>
            <w:r w:rsidR="00B50B94">
              <w:rPr>
                <w:rFonts w:ascii="Times New Roman" w:hAnsi="Times New Roman" w:cs="Times New Roman"/>
                <w:sz w:val="24"/>
                <w:szCs w:val="24"/>
              </w:rPr>
              <w:t xml:space="preserve">) </w:t>
            </w:r>
            <w:hyperlink r:id="rId25" w:history="1">
              <w:r w:rsidR="00B50B94">
                <w:rPr>
                  <w:rStyle w:val="Hyperlink"/>
                  <w:rFonts w:ascii="Times New Roman" w:hAnsi="Times New Roman" w:cs="Times New Roman"/>
                  <w:sz w:val="24"/>
                  <w:szCs w:val="24"/>
                </w:rPr>
                <w:t>Latvijas Bankas 2023. gada 18. decembra noteikumi Nr. 265 "Kredītriska pārvaldīšanas noteikumi"</w:t>
              </w:r>
            </w:hyperlink>
            <w:r w:rsidR="00B50B94">
              <w:rPr>
                <w:rFonts w:ascii="Times New Roman" w:hAnsi="Times New Roman" w:cs="Times New Roman"/>
                <w:sz w:val="24"/>
                <w:szCs w:val="24"/>
              </w:rPr>
              <w:t>;</w:t>
            </w:r>
          </w:p>
          <w:p w14:paraId="123784C2" w14:textId="776066EC" w:rsidR="00B25615" w:rsidRPr="00B50B94" w:rsidRDefault="00DF59C6" w:rsidP="005534E1">
            <w:pPr>
              <w:jc w:val="both"/>
              <w:rPr>
                <w:rStyle w:val="Hyperlink"/>
                <w:rFonts w:ascii="Times New Roman" w:hAnsi="Times New Roman" w:cs="Times New Roman"/>
                <w:sz w:val="24"/>
                <w:szCs w:val="24"/>
              </w:rPr>
            </w:pPr>
            <w:r w:rsidRPr="00B50B94">
              <w:rPr>
                <w:rFonts w:ascii="Times New Roman" w:hAnsi="Times New Roman" w:cs="Times New Roman"/>
                <w:sz w:val="24"/>
                <w:szCs w:val="24"/>
              </w:rPr>
              <w:t>1</w:t>
            </w:r>
            <w:r>
              <w:rPr>
                <w:rFonts w:ascii="Times New Roman" w:hAnsi="Times New Roman" w:cs="Times New Roman"/>
                <w:sz w:val="24"/>
                <w:szCs w:val="24"/>
              </w:rPr>
              <w:t>3</w:t>
            </w:r>
            <w:r w:rsidR="00176FC8" w:rsidRPr="00B50B94">
              <w:rPr>
                <w:rFonts w:ascii="Times New Roman" w:hAnsi="Times New Roman" w:cs="Times New Roman"/>
                <w:sz w:val="24"/>
                <w:szCs w:val="24"/>
              </w:rPr>
              <w:t xml:space="preserve">) </w:t>
            </w:r>
            <w:hyperlink r:id="rId26" w:history="1">
              <w:r w:rsidR="008F3EF1" w:rsidRPr="00B50B94">
                <w:rPr>
                  <w:rStyle w:val="Hyperlink"/>
                  <w:rFonts w:ascii="Times New Roman" w:hAnsi="Times New Roman" w:cs="Times New Roman"/>
                  <w:sz w:val="24"/>
                  <w:szCs w:val="24"/>
                </w:rPr>
                <w:t>EB</w:t>
              </w:r>
              <w:r w:rsidR="00B84BFD">
                <w:rPr>
                  <w:rStyle w:val="Hyperlink"/>
                  <w:rFonts w:ascii="Times New Roman" w:hAnsi="Times New Roman" w:cs="Times New Roman"/>
                  <w:sz w:val="24"/>
                  <w:szCs w:val="24"/>
                </w:rPr>
                <w:t>I</w:t>
              </w:r>
              <w:r w:rsidR="008F3EF1" w:rsidRPr="00B50B94">
                <w:rPr>
                  <w:rStyle w:val="Hyperlink"/>
                  <w:rFonts w:ascii="Times New Roman" w:hAnsi="Times New Roman" w:cs="Times New Roman"/>
                  <w:sz w:val="24"/>
                  <w:szCs w:val="24"/>
                </w:rPr>
                <w:t xml:space="preserve"> 2018.</w:t>
              </w:r>
              <w:r w:rsidR="001E409F">
                <w:rPr>
                  <w:rStyle w:val="Hyperlink"/>
                  <w:rFonts w:ascii="Times New Roman" w:hAnsi="Times New Roman" w:cs="Times New Roman"/>
                  <w:sz w:val="24"/>
                  <w:szCs w:val="24"/>
                </w:rPr>
                <w:t> </w:t>
              </w:r>
              <w:r w:rsidR="008F3EF1" w:rsidRPr="00B50B94">
                <w:rPr>
                  <w:rStyle w:val="Hyperlink"/>
                  <w:rFonts w:ascii="Times New Roman" w:hAnsi="Times New Roman" w:cs="Times New Roman"/>
                  <w:sz w:val="24"/>
                  <w:szCs w:val="24"/>
                </w:rPr>
                <w:t>gada 19.</w:t>
              </w:r>
              <w:r w:rsidR="001E409F">
                <w:rPr>
                  <w:rStyle w:val="Hyperlink"/>
                  <w:rFonts w:ascii="Times New Roman" w:hAnsi="Times New Roman" w:cs="Times New Roman"/>
                  <w:sz w:val="24"/>
                  <w:szCs w:val="24"/>
                </w:rPr>
                <w:t> </w:t>
              </w:r>
              <w:r w:rsidR="008F3EF1" w:rsidRPr="00B50B94">
                <w:rPr>
                  <w:rStyle w:val="Hyperlink"/>
                  <w:rFonts w:ascii="Times New Roman" w:hAnsi="Times New Roman" w:cs="Times New Roman"/>
                  <w:sz w:val="24"/>
                  <w:szCs w:val="24"/>
                </w:rPr>
                <w:t>jūlija pamatnostādnes EBA/GL/2018/04 "Pamatnostādnes par iestāžu spriedzes testiem"</w:t>
              </w:r>
            </w:hyperlink>
            <w:r w:rsidR="00767F78" w:rsidRPr="00B50B94">
              <w:rPr>
                <w:rStyle w:val="Hyperlink"/>
                <w:rFonts w:ascii="Times New Roman" w:hAnsi="Times New Roman" w:cs="Times New Roman"/>
                <w:color w:val="auto"/>
                <w:sz w:val="24"/>
                <w:szCs w:val="24"/>
              </w:rPr>
              <w:t>;</w:t>
            </w:r>
          </w:p>
          <w:p w14:paraId="5E150A6F" w14:textId="28697521" w:rsidR="004453FB" w:rsidRPr="00B50B94" w:rsidRDefault="00DF59C6" w:rsidP="005534E1">
            <w:pPr>
              <w:jc w:val="both"/>
              <w:rPr>
                <w:rStyle w:val="Hyperlink"/>
                <w:rFonts w:ascii="Times New Roman" w:hAnsi="Times New Roman" w:cs="Times New Roman"/>
                <w:sz w:val="24"/>
                <w:szCs w:val="24"/>
                <w:u w:val="none"/>
              </w:rPr>
            </w:pPr>
            <w:r w:rsidRPr="00B50B94">
              <w:rPr>
                <w:rStyle w:val="Hyperlink"/>
                <w:rFonts w:ascii="Times New Roman" w:hAnsi="Times New Roman" w:cs="Times New Roman"/>
                <w:color w:val="auto"/>
                <w:sz w:val="24"/>
                <w:szCs w:val="24"/>
                <w:u w:val="none"/>
              </w:rPr>
              <w:t>1</w:t>
            </w:r>
            <w:r>
              <w:rPr>
                <w:rStyle w:val="Hyperlink"/>
                <w:rFonts w:ascii="Times New Roman" w:hAnsi="Times New Roman" w:cs="Times New Roman"/>
                <w:color w:val="auto"/>
                <w:sz w:val="24"/>
                <w:szCs w:val="24"/>
                <w:u w:val="none"/>
              </w:rPr>
              <w:t>4</w:t>
            </w:r>
            <w:r w:rsidR="00AF7D11" w:rsidRPr="00B50B94">
              <w:rPr>
                <w:rStyle w:val="Hyperlink"/>
                <w:rFonts w:ascii="Times New Roman" w:hAnsi="Times New Roman" w:cs="Times New Roman"/>
                <w:color w:val="auto"/>
                <w:sz w:val="24"/>
                <w:szCs w:val="24"/>
                <w:u w:val="none"/>
              </w:rPr>
              <w:t>)</w:t>
            </w:r>
            <w:r w:rsidR="00AF7D11" w:rsidRPr="00B50B94">
              <w:rPr>
                <w:rStyle w:val="Hyperlink"/>
                <w:rFonts w:ascii="Times New Roman" w:hAnsi="Times New Roman" w:cs="Times New Roman"/>
                <w:sz w:val="24"/>
                <w:szCs w:val="24"/>
                <w:u w:val="none"/>
              </w:rPr>
              <w:t xml:space="preserve"> </w:t>
            </w:r>
            <w:hyperlink r:id="rId27" w:history="1">
              <w:r w:rsidR="00C06145" w:rsidRPr="00B50B94">
                <w:rPr>
                  <w:rStyle w:val="Hyperlink"/>
                  <w:rFonts w:ascii="Times New Roman" w:hAnsi="Times New Roman" w:cs="Times New Roman"/>
                  <w:sz w:val="24"/>
                  <w:szCs w:val="24"/>
                </w:rPr>
                <w:t>EB</w:t>
              </w:r>
              <w:r w:rsidR="00B84BFD">
                <w:rPr>
                  <w:rStyle w:val="Hyperlink"/>
                  <w:rFonts w:ascii="Times New Roman" w:hAnsi="Times New Roman" w:cs="Times New Roman"/>
                  <w:sz w:val="24"/>
                  <w:szCs w:val="24"/>
                </w:rPr>
                <w:t>I</w:t>
              </w:r>
              <w:r w:rsidR="00C06145" w:rsidRPr="00B50B94">
                <w:rPr>
                  <w:rStyle w:val="Hyperlink"/>
                  <w:rFonts w:ascii="Times New Roman" w:hAnsi="Times New Roman" w:cs="Times New Roman"/>
                  <w:sz w:val="24"/>
                  <w:szCs w:val="24"/>
                </w:rPr>
                <w:t xml:space="preserve"> 2022.</w:t>
              </w:r>
              <w:r w:rsidR="00A569F1" w:rsidRPr="00B50B94">
                <w:rPr>
                  <w:rStyle w:val="Hyperlink"/>
                  <w:rFonts w:ascii="Times New Roman" w:hAnsi="Times New Roman" w:cs="Times New Roman"/>
                  <w:sz w:val="24"/>
                  <w:szCs w:val="24"/>
                </w:rPr>
                <w:t> </w:t>
              </w:r>
              <w:r w:rsidR="00C06145" w:rsidRPr="00B50B94">
                <w:rPr>
                  <w:rStyle w:val="Hyperlink"/>
                  <w:rFonts w:ascii="Times New Roman" w:hAnsi="Times New Roman" w:cs="Times New Roman"/>
                  <w:sz w:val="24"/>
                  <w:szCs w:val="24"/>
                </w:rPr>
                <w:t>gada 20.</w:t>
              </w:r>
              <w:r w:rsidR="00A569F1" w:rsidRPr="00B50B94">
                <w:rPr>
                  <w:rStyle w:val="Hyperlink"/>
                  <w:rFonts w:ascii="Times New Roman" w:hAnsi="Times New Roman" w:cs="Times New Roman"/>
                  <w:sz w:val="24"/>
                  <w:szCs w:val="24"/>
                </w:rPr>
                <w:t> </w:t>
              </w:r>
              <w:r w:rsidR="00C06145" w:rsidRPr="00B50B94">
                <w:rPr>
                  <w:rStyle w:val="Hyperlink"/>
                  <w:rFonts w:ascii="Times New Roman" w:hAnsi="Times New Roman" w:cs="Times New Roman"/>
                  <w:sz w:val="24"/>
                  <w:szCs w:val="24"/>
                </w:rPr>
                <w:t>oktobra pamatnostādnes EBA/GL/2022/14 "Pamatnostādnes, kas ir izdotas</w:t>
              </w:r>
              <w:r w:rsidR="00E7435F" w:rsidRPr="00B50B94">
                <w:rPr>
                  <w:rStyle w:val="Hyperlink"/>
                  <w:rFonts w:ascii="Times New Roman" w:hAnsi="Times New Roman" w:cs="Times New Roman"/>
                  <w:sz w:val="24"/>
                  <w:szCs w:val="24"/>
                </w:rPr>
                <w:t>,</w:t>
              </w:r>
              <w:r w:rsidR="00C06145" w:rsidRPr="00B50B94">
                <w:rPr>
                  <w:rStyle w:val="Hyperlink"/>
                  <w:rFonts w:ascii="Times New Roman" w:hAnsi="Times New Roman" w:cs="Times New Roman"/>
                  <w:sz w:val="24"/>
                  <w:szCs w:val="24"/>
                </w:rPr>
                <w:t xml:space="preserve"> pamatojoties uz Direktīvas</w:t>
              </w:r>
              <w:r w:rsidR="001E409F">
                <w:rPr>
                  <w:rStyle w:val="Hyperlink"/>
                  <w:rFonts w:ascii="Times New Roman" w:hAnsi="Times New Roman" w:cs="Times New Roman"/>
                  <w:sz w:val="24"/>
                  <w:szCs w:val="24"/>
                </w:rPr>
                <w:t> </w:t>
              </w:r>
              <w:r w:rsidR="00C06145" w:rsidRPr="00B50B94">
                <w:rPr>
                  <w:rStyle w:val="Hyperlink"/>
                  <w:rFonts w:ascii="Times New Roman" w:hAnsi="Times New Roman" w:cs="Times New Roman"/>
                  <w:sz w:val="24"/>
                  <w:szCs w:val="24"/>
                </w:rPr>
                <w:t>2013/36/ES 84.</w:t>
              </w:r>
              <w:r w:rsidR="00A569F1" w:rsidRPr="00B50B94">
                <w:rPr>
                  <w:rStyle w:val="Hyperlink"/>
                  <w:rFonts w:ascii="Times New Roman" w:hAnsi="Times New Roman" w:cs="Times New Roman"/>
                  <w:sz w:val="24"/>
                  <w:szCs w:val="24"/>
                </w:rPr>
                <w:t> </w:t>
              </w:r>
              <w:r w:rsidR="00C06145" w:rsidRPr="00B50B94">
                <w:rPr>
                  <w:rStyle w:val="Hyperlink"/>
                  <w:rFonts w:ascii="Times New Roman" w:hAnsi="Times New Roman" w:cs="Times New Roman"/>
                  <w:sz w:val="24"/>
                  <w:szCs w:val="24"/>
                </w:rPr>
                <w:t>panta 6.</w:t>
              </w:r>
              <w:r w:rsidR="00A569F1" w:rsidRPr="00B50B94">
                <w:rPr>
                  <w:rStyle w:val="Hyperlink"/>
                  <w:rFonts w:ascii="Times New Roman" w:hAnsi="Times New Roman" w:cs="Times New Roman"/>
                  <w:sz w:val="24"/>
                  <w:szCs w:val="24"/>
                </w:rPr>
                <w:t> </w:t>
              </w:r>
              <w:r w:rsidR="00C06145" w:rsidRPr="00B50B94">
                <w:rPr>
                  <w:rStyle w:val="Hyperlink"/>
                  <w:rFonts w:ascii="Times New Roman" w:hAnsi="Times New Roman" w:cs="Times New Roman"/>
                  <w:sz w:val="24"/>
                  <w:szCs w:val="24"/>
                </w:rPr>
                <w:t xml:space="preserve">punktu, un kurās ir precizēti kritēriji tādu risku identificēšanai, </w:t>
              </w:r>
              <w:r w:rsidR="00C06145" w:rsidRPr="00B50B94">
                <w:rPr>
                  <w:rStyle w:val="Hyperlink"/>
                  <w:rFonts w:ascii="Times New Roman" w:hAnsi="Times New Roman" w:cs="Times New Roman"/>
                  <w:sz w:val="24"/>
                  <w:szCs w:val="24"/>
                </w:rPr>
                <w:lastRenderedPageBreak/>
                <w:t>novērtēšanai, pārvaldībai un mazināšanai, kas izriet no iespējamajām procentu likmju izmaiņām, kā arī kritēriji kredītriska starpības riska novērtēšanai un uzraudzībai saistībā ar iestāžu netirdzniecības portfeļu darbībām</w:t>
              </w:r>
            </w:hyperlink>
            <w:r w:rsidR="00B84BFD">
              <w:rPr>
                <w:rStyle w:val="Hyperlink"/>
                <w:rFonts w:ascii="Times New Roman" w:hAnsi="Times New Roman" w:cs="Times New Roman"/>
                <w:sz w:val="24"/>
                <w:szCs w:val="24"/>
              </w:rPr>
              <w:t>"</w:t>
            </w:r>
            <w:r w:rsidR="00C06145" w:rsidRPr="00B50B94">
              <w:rPr>
                <w:rStyle w:val="Hyperlink"/>
                <w:rFonts w:ascii="Times New Roman" w:hAnsi="Times New Roman" w:cs="Times New Roman"/>
                <w:color w:val="auto"/>
                <w:sz w:val="24"/>
                <w:szCs w:val="24"/>
                <w:u w:val="none"/>
              </w:rPr>
              <w:t>;</w:t>
            </w:r>
          </w:p>
          <w:p w14:paraId="59FB8D47" w14:textId="7E6E310C" w:rsidR="0069031E" w:rsidRPr="00B50B94" w:rsidRDefault="00DF59C6" w:rsidP="005534E1">
            <w:pPr>
              <w:jc w:val="both"/>
              <w:rPr>
                <w:rStyle w:val="Hyperlink"/>
                <w:rFonts w:ascii="Times New Roman" w:hAnsi="Times New Roman" w:cs="Times New Roman"/>
                <w:sz w:val="24"/>
                <w:szCs w:val="24"/>
                <w:u w:val="none"/>
              </w:rPr>
            </w:pPr>
            <w:r w:rsidRPr="00B50B94">
              <w:rPr>
                <w:rStyle w:val="Hyperlink"/>
                <w:rFonts w:ascii="Times New Roman" w:hAnsi="Times New Roman" w:cs="Times New Roman"/>
                <w:color w:val="auto"/>
                <w:sz w:val="24"/>
                <w:szCs w:val="24"/>
                <w:u w:val="none"/>
              </w:rPr>
              <w:t>1</w:t>
            </w:r>
            <w:r>
              <w:rPr>
                <w:rStyle w:val="Hyperlink"/>
                <w:rFonts w:ascii="Times New Roman" w:hAnsi="Times New Roman" w:cs="Times New Roman"/>
                <w:color w:val="auto"/>
                <w:sz w:val="24"/>
                <w:szCs w:val="24"/>
                <w:u w:val="none"/>
              </w:rPr>
              <w:t>5</w:t>
            </w:r>
            <w:r w:rsidR="0069031E" w:rsidRPr="00B50B94">
              <w:rPr>
                <w:rStyle w:val="Hyperlink"/>
                <w:rFonts w:ascii="Times New Roman" w:hAnsi="Times New Roman" w:cs="Times New Roman"/>
                <w:color w:val="auto"/>
                <w:sz w:val="24"/>
                <w:szCs w:val="24"/>
                <w:u w:val="none"/>
              </w:rPr>
              <w:t>)</w:t>
            </w:r>
            <w:r w:rsidR="00B50B94" w:rsidRPr="00B50B94">
              <w:rPr>
                <w:rStyle w:val="Hyperlink"/>
                <w:rFonts w:ascii="Times New Roman" w:hAnsi="Times New Roman" w:cs="Times New Roman"/>
                <w:color w:val="auto"/>
                <w:sz w:val="24"/>
                <w:szCs w:val="24"/>
                <w:u w:val="none"/>
              </w:rPr>
              <w:t xml:space="preserve"> </w:t>
            </w:r>
            <w:hyperlink r:id="rId28" w:history="1">
              <w:r w:rsidR="00B50B94" w:rsidRPr="00B50B94">
                <w:rPr>
                  <w:rStyle w:val="Hyperlink"/>
                  <w:rFonts w:ascii="Times New Roman" w:hAnsi="Times New Roman" w:cs="Times New Roman"/>
                  <w:sz w:val="24"/>
                  <w:szCs w:val="24"/>
                </w:rPr>
                <w:t>Pamatnostādnes (2022) par SREP</w:t>
              </w:r>
            </w:hyperlink>
            <w:r w:rsidR="0069031E" w:rsidRPr="00B50B94">
              <w:rPr>
                <w:rStyle w:val="Hyperlink"/>
                <w:rFonts w:ascii="Times New Roman" w:hAnsi="Times New Roman" w:cs="Times New Roman"/>
                <w:color w:val="auto"/>
                <w:sz w:val="24"/>
                <w:szCs w:val="24"/>
              </w:rPr>
              <w:t>;</w:t>
            </w:r>
          </w:p>
          <w:p w14:paraId="3C1116DC" w14:textId="4DFDB7B9" w:rsidR="00A21472" w:rsidRPr="00B50B94" w:rsidRDefault="00DF59C6" w:rsidP="005534E1">
            <w:pPr>
              <w:jc w:val="both"/>
              <w:rPr>
                <w:rFonts w:ascii="Times New Roman" w:hAnsi="Times New Roman" w:cs="Times New Roman"/>
                <w:sz w:val="24"/>
                <w:szCs w:val="24"/>
              </w:rPr>
            </w:pPr>
            <w:r w:rsidRPr="00B50B94">
              <w:rPr>
                <w:rFonts w:ascii="Times New Roman" w:hAnsi="Times New Roman" w:cs="Times New Roman"/>
                <w:sz w:val="24"/>
                <w:szCs w:val="24"/>
              </w:rPr>
              <w:t>1</w:t>
            </w:r>
            <w:r>
              <w:rPr>
                <w:rFonts w:ascii="Times New Roman" w:hAnsi="Times New Roman" w:cs="Times New Roman"/>
                <w:sz w:val="24"/>
                <w:szCs w:val="24"/>
              </w:rPr>
              <w:t>6</w:t>
            </w:r>
            <w:r w:rsidR="00E13114" w:rsidRPr="00B50B94">
              <w:rPr>
                <w:rFonts w:ascii="Times New Roman" w:hAnsi="Times New Roman" w:cs="Times New Roman"/>
                <w:sz w:val="24"/>
                <w:szCs w:val="24"/>
              </w:rPr>
              <w:t>)</w:t>
            </w:r>
            <w:r w:rsidR="00B50B94" w:rsidRPr="00B50B94">
              <w:rPr>
                <w:rFonts w:ascii="Times New Roman" w:hAnsi="Times New Roman" w:cs="Times New Roman"/>
                <w:sz w:val="24"/>
                <w:szCs w:val="24"/>
              </w:rPr>
              <w:t xml:space="preserve"> Pamatnostādnes (2014) par SREP (</w:t>
            </w:r>
            <w:hyperlink r:id="rId29" w:history="1">
              <w:r w:rsidR="00B50B94" w:rsidRPr="00B50B94">
                <w:rPr>
                  <w:rStyle w:val="Hyperlink"/>
                  <w:rFonts w:ascii="Times New Roman" w:hAnsi="Times New Roman" w:cs="Times New Roman"/>
                  <w:sz w:val="24"/>
                  <w:szCs w:val="24"/>
                </w:rPr>
                <w:t>EBI/PN/2014/13</w:t>
              </w:r>
            </w:hyperlink>
            <w:r w:rsidR="00B50B94" w:rsidRPr="00B50B94">
              <w:rPr>
                <w:rFonts w:ascii="Times New Roman" w:hAnsi="Times New Roman" w:cs="Times New Roman"/>
                <w:sz w:val="24"/>
                <w:szCs w:val="24"/>
              </w:rPr>
              <w:t>)</w:t>
            </w:r>
            <w:r w:rsidR="00BC2B77" w:rsidRPr="00B50B94">
              <w:rPr>
                <w:rFonts w:ascii="Times New Roman" w:hAnsi="Times New Roman" w:cs="Times New Roman"/>
                <w:sz w:val="24"/>
                <w:szCs w:val="24"/>
              </w:rPr>
              <w:t>;</w:t>
            </w:r>
          </w:p>
          <w:p w14:paraId="73FAFE3D" w14:textId="155AC39C" w:rsidR="00B50B94" w:rsidRDefault="00DF59C6" w:rsidP="005534E1">
            <w:pPr>
              <w:jc w:val="both"/>
              <w:rPr>
                <w:rFonts w:ascii="Times New Roman" w:hAnsi="Times New Roman" w:cs="Times New Roman"/>
                <w:sz w:val="24"/>
                <w:szCs w:val="24"/>
              </w:rPr>
            </w:pPr>
            <w:r w:rsidRPr="00B50B94">
              <w:rPr>
                <w:rFonts w:ascii="Times New Roman" w:hAnsi="Times New Roman" w:cs="Times New Roman"/>
                <w:sz w:val="24"/>
                <w:szCs w:val="24"/>
              </w:rPr>
              <w:t>1</w:t>
            </w:r>
            <w:r>
              <w:rPr>
                <w:rFonts w:ascii="Times New Roman" w:hAnsi="Times New Roman" w:cs="Times New Roman"/>
                <w:sz w:val="24"/>
                <w:szCs w:val="24"/>
              </w:rPr>
              <w:t>7</w:t>
            </w:r>
            <w:r w:rsidR="00B50B94" w:rsidRPr="00B50B94">
              <w:rPr>
                <w:rFonts w:ascii="Times New Roman" w:hAnsi="Times New Roman" w:cs="Times New Roman"/>
                <w:sz w:val="24"/>
                <w:szCs w:val="24"/>
              </w:rPr>
              <w:t xml:space="preserve">) </w:t>
            </w:r>
            <w:hyperlink r:id="rId30" w:history="1">
              <w:r w:rsidR="00B50B94" w:rsidRPr="002529A3">
                <w:rPr>
                  <w:rStyle w:val="Hyperlink"/>
                  <w:rFonts w:ascii="Times New Roman" w:hAnsi="Times New Roman" w:cs="Times New Roman"/>
                  <w:sz w:val="24"/>
                  <w:szCs w:val="24"/>
                </w:rPr>
                <w:t>Pamatnostādnes par informāciju</w:t>
              </w:r>
            </w:hyperlink>
            <w:r w:rsidR="00B50B94" w:rsidRPr="00B50B94">
              <w:rPr>
                <w:rStyle w:val="Hyperlink"/>
                <w:rFonts w:ascii="Times New Roman" w:hAnsi="Times New Roman" w:cs="Times New Roman"/>
                <w:sz w:val="24"/>
                <w:szCs w:val="24"/>
              </w:rPr>
              <w:t>;</w:t>
            </w:r>
          </w:p>
          <w:p w14:paraId="37F47AA3" w14:textId="175CAB97" w:rsidR="009E6A95" w:rsidRDefault="00DF59C6" w:rsidP="005534E1">
            <w:pPr>
              <w:jc w:val="both"/>
              <w:rPr>
                <w:rFonts w:ascii="Times New Roman" w:hAnsi="Times New Roman" w:cs="Times New Roman"/>
                <w:sz w:val="24"/>
                <w:szCs w:val="24"/>
              </w:rPr>
            </w:pPr>
            <w:r w:rsidRPr="0055650F">
              <w:rPr>
                <w:rFonts w:ascii="Times New Roman" w:hAnsi="Times New Roman" w:cs="Times New Roman"/>
                <w:sz w:val="24"/>
                <w:szCs w:val="24"/>
              </w:rPr>
              <w:t>1</w:t>
            </w:r>
            <w:r>
              <w:rPr>
                <w:rFonts w:ascii="Times New Roman" w:hAnsi="Times New Roman" w:cs="Times New Roman"/>
                <w:sz w:val="24"/>
                <w:szCs w:val="24"/>
              </w:rPr>
              <w:t>8</w:t>
            </w:r>
            <w:r w:rsidR="00754033" w:rsidRPr="0055650F">
              <w:rPr>
                <w:rFonts w:ascii="Times New Roman" w:hAnsi="Times New Roman" w:cs="Times New Roman"/>
                <w:sz w:val="24"/>
                <w:szCs w:val="24"/>
              </w:rPr>
              <w:t xml:space="preserve">) </w:t>
            </w:r>
            <w:r w:rsidR="00C845B4" w:rsidRPr="0055650F">
              <w:rPr>
                <w:rFonts w:ascii="Times New Roman" w:hAnsi="Times New Roman" w:cs="Times New Roman"/>
                <w:sz w:val="24"/>
                <w:szCs w:val="24"/>
              </w:rPr>
              <w:t>Latvijas Bankas noteikumu projekts "</w:t>
            </w:r>
            <w:r w:rsidR="00B25615" w:rsidRPr="00926C85">
              <w:rPr>
                <w:rFonts w:ascii="Times New Roman" w:hAnsi="Times New Roman" w:cs="Times New Roman"/>
                <w:sz w:val="24"/>
                <w:szCs w:val="24"/>
              </w:rPr>
              <w:t>Kredītiestāžu, ieguldījumu brokeru sabiedrību, ieguldījumu pārvaldes sabiedrību un privāto pensiju fondu gada pārskatu un konsolidēto gada pārskatu noteikumi</w:t>
            </w:r>
            <w:r w:rsidR="00C845B4">
              <w:rPr>
                <w:rFonts w:ascii="Times New Roman" w:hAnsi="Times New Roman" w:cs="Times New Roman"/>
                <w:sz w:val="24"/>
                <w:szCs w:val="24"/>
              </w:rPr>
              <w:t>"</w:t>
            </w:r>
            <w:r w:rsidR="00A40946">
              <w:rPr>
                <w:rFonts w:ascii="Times New Roman" w:hAnsi="Times New Roman" w:cs="Times New Roman"/>
                <w:sz w:val="24"/>
                <w:szCs w:val="24"/>
              </w:rPr>
              <w:t xml:space="preserve"> (2024. gada 17. jūlijā publicēts </w:t>
            </w:r>
            <w:r w:rsidR="0086330C">
              <w:rPr>
                <w:rFonts w:ascii="Times New Roman" w:hAnsi="Times New Roman" w:cs="Times New Roman"/>
                <w:sz w:val="24"/>
                <w:szCs w:val="24"/>
              </w:rPr>
              <w:t xml:space="preserve">Latvijas Bankas tīmekļvietnē </w:t>
            </w:r>
            <w:r w:rsidR="00A40946">
              <w:rPr>
                <w:rFonts w:ascii="Times New Roman" w:hAnsi="Times New Roman" w:cs="Times New Roman"/>
                <w:sz w:val="24"/>
                <w:szCs w:val="24"/>
              </w:rPr>
              <w:t>sabiedrības līdzdalībai)</w:t>
            </w:r>
            <w:r w:rsidR="00754033">
              <w:rPr>
                <w:rFonts w:ascii="Times New Roman" w:hAnsi="Times New Roman" w:cs="Times New Roman"/>
                <w:sz w:val="24"/>
                <w:szCs w:val="24"/>
              </w:rPr>
              <w:t>;</w:t>
            </w:r>
          </w:p>
          <w:p w14:paraId="24DAFAA5" w14:textId="0C42F73C" w:rsidR="003B20E7" w:rsidRPr="003B20E7" w:rsidRDefault="00DF59C6" w:rsidP="005534E1">
            <w:pPr>
              <w:jc w:val="both"/>
              <w:rPr>
                <w:rFonts w:ascii="Times New Roman" w:hAnsi="Times New Roman" w:cs="Times New Roman"/>
                <w:sz w:val="24"/>
                <w:szCs w:val="24"/>
              </w:rPr>
            </w:pPr>
            <w:r w:rsidRPr="003B20E7">
              <w:rPr>
                <w:rFonts w:ascii="Times New Roman" w:hAnsi="Times New Roman" w:cs="Times New Roman"/>
                <w:sz w:val="24"/>
                <w:szCs w:val="24"/>
              </w:rPr>
              <w:t>1</w:t>
            </w:r>
            <w:r>
              <w:rPr>
                <w:rFonts w:ascii="Times New Roman" w:hAnsi="Times New Roman" w:cs="Times New Roman"/>
                <w:sz w:val="24"/>
                <w:szCs w:val="24"/>
              </w:rPr>
              <w:t>9</w:t>
            </w:r>
            <w:r w:rsidR="003B20E7" w:rsidRPr="003B20E7">
              <w:rPr>
                <w:rFonts w:ascii="Times New Roman" w:hAnsi="Times New Roman" w:cs="Times New Roman"/>
                <w:sz w:val="24"/>
                <w:szCs w:val="24"/>
              </w:rPr>
              <w:t>)</w:t>
            </w:r>
            <w:r w:rsidR="003B20E7">
              <w:t xml:space="preserve"> </w:t>
            </w:r>
            <w:r w:rsidR="003B20E7" w:rsidRPr="00C8578B">
              <w:rPr>
                <w:rStyle w:val="Hyperlink"/>
                <w:rFonts w:ascii="Times New Roman" w:hAnsi="Times New Roman" w:cs="Times New Roman"/>
                <w:color w:val="auto"/>
                <w:sz w:val="24"/>
                <w:szCs w:val="24"/>
                <w:u w:val="none"/>
              </w:rPr>
              <w:t>Latvijas Bankas noteikumu projekts "</w:t>
            </w:r>
            <w:r w:rsidR="00FB466F" w:rsidRPr="00C8578B">
              <w:rPr>
                <w:rStyle w:val="Hyperlink"/>
                <w:rFonts w:ascii="Times New Roman" w:hAnsi="Times New Roman" w:cs="Times New Roman"/>
                <w:color w:val="auto"/>
                <w:sz w:val="24"/>
                <w:szCs w:val="24"/>
                <w:u w:val="none"/>
              </w:rPr>
              <w:t>Likviditātes riska pārvaldīšanas un likviditātes pietiekamības novērtēšanas procesa noteikumi</w:t>
            </w:r>
            <w:r w:rsidR="003B20E7" w:rsidRPr="00C8578B">
              <w:rPr>
                <w:rStyle w:val="Hyperlink"/>
                <w:rFonts w:ascii="Times New Roman" w:hAnsi="Times New Roman" w:cs="Times New Roman"/>
                <w:color w:val="auto"/>
                <w:sz w:val="24"/>
                <w:szCs w:val="24"/>
                <w:u w:val="none"/>
              </w:rPr>
              <w:t>";</w:t>
            </w:r>
          </w:p>
          <w:p w14:paraId="2C55F282" w14:textId="00137B0A" w:rsidR="00776ADF" w:rsidRPr="00861E61" w:rsidRDefault="00DF59C6" w:rsidP="00436827">
            <w:pPr>
              <w:jc w:val="both"/>
              <w:rPr>
                <w:rFonts w:ascii="Times New Roman" w:hAnsi="Times New Roman" w:cs="Times New Roman"/>
                <w:sz w:val="24"/>
                <w:szCs w:val="24"/>
              </w:rPr>
            </w:pPr>
            <w:r>
              <w:rPr>
                <w:rFonts w:ascii="Times New Roman" w:hAnsi="Times New Roman" w:cs="Times New Roman"/>
                <w:sz w:val="24"/>
                <w:szCs w:val="24"/>
              </w:rPr>
              <w:t>20</w:t>
            </w:r>
            <w:r w:rsidR="00754033">
              <w:rPr>
                <w:rFonts w:ascii="Times New Roman" w:hAnsi="Times New Roman" w:cs="Times New Roman"/>
                <w:sz w:val="24"/>
                <w:szCs w:val="24"/>
              </w:rPr>
              <w:t xml:space="preserve">) </w:t>
            </w:r>
            <w:r w:rsidR="00436827" w:rsidRPr="00C8578B">
              <w:rPr>
                <w:rFonts w:ascii="Times New Roman" w:hAnsi="Times New Roman" w:cs="Times New Roman"/>
                <w:sz w:val="24"/>
                <w:szCs w:val="24"/>
              </w:rPr>
              <w:t>Latvijas Bankas noteikumu projekts "Kredītiestāžu pārvaldības sistēmas izveides noteikumi".</w:t>
            </w:r>
          </w:p>
        </w:tc>
      </w:tr>
      <w:tr w:rsidR="00A61684" w:rsidRPr="00A61684" w14:paraId="6E8D0230" w14:textId="77777777" w:rsidTr="00207E57">
        <w:tc>
          <w:tcPr>
            <w:tcW w:w="2122" w:type="dxa"/>
          </w:tcPr>
          <w:p w14:paraId="36731D0A" w14:textId="5D7F3E58" w:rsidR="00822148" w:rsidRPr="004C1C0E" w:rsidRDefault="009E6A95" w:rsidP="00CB2ED4">
            <w:pPr>
              <w:jc w:val="both"/>
              <w:rPr>
                <w:rFonts w:ascii="Times New Roman" w:hAnsi="Times New Roman" w:cs="Times New Roman"/>
                <w:b/>
                <w:bCs/>
                <w:sz w:val="24"/>
                <w:szCs w:val="24"/>
              </w:rPr>
            </w:pPr>
            <w:r w:rsidRPr="004C1C0E">
              <w:rPr>
                <w:rFonts w:ascii="Times New Roman" w:hAnsi="Times New Roman" w:cs="Times New Roman"/>
                <w:b/>
                <w:bCs/>
                <w:sz w:val="24"/>
                <w:szCs w:val="24"/>
              </w:rPr>
              <w:lastRenderedPageBreak/>
              <w:t>Saskaņošana ar Eiropas Centrālo banku</w:t>
            </w:r>
          </w:p>
        </w:tc>
        <w:tc>
          <w:tcPr>
            <w:tcW w:w="6237" w:type="dxa"/>
          </w:tcPr>
          <w:p w14:paraId="792DD68E" w14:textId="53BE43BC" w:rsidR="009E6A95" w:rsidRPr="00B801C3" w:rsidRDefault="003A7C34" w:rsidP="00CB2ED4">
            <w:pPr>
              <w:jc w:val="both"/>
              <w:rPr>
                <w:rFonts w:ascii="Times New Roman" w:hAnsi="Times New Roman" w:cs="Times New Roman"/>
                <w:sz w:val="24"/>
                <w:szCs w:val="24"/>
              </w:rPr>
            </w:pPr>
            <w:r w:rsidRPr="00822148">
              <w:rPr>
                <w:rFonts w:ascii="Times New Roman" w:hAnsi="Times New Roman" w:cs="Times New Roman"/>
                <w:sz w:val="24"/>
                <w:szCs w:val="24"/>
              </w:rPr>
              <w:t>Noteikumu</w:t>
            </w:r>
            <w:r w:rsidR="009E6A95" w:rsidRPr="00822148">
              <w:rPr>
                <w:rFonts w:ascii="Times New Roman" w:hAnsi="Times New Roman" w:cs="Times New Roman"/>
                <w:sz w:val="24"/>
                <w:szCs w:val="24"/>
              </w:rPr>
              <w:t xml:space="preserve"> </w:t>
            </w:r>
            <w:r w:rsidR="00822148" w:rsidRPr="00F5604D">
              <w:rPr>
                <w:rFonts w:ascii="Times New Roman" w:hAnsi="Times New Roman" w:cs="Times New Roman"/>
                <w:sz w:val="24"/>
                <w:szCs w:val="24"/>
              </w:rPr>
              <w:t xml:space="preserve">projekts </w:t>
            </w:r>
            <w:r w:rsidR="009E6A95" w:rsidRPr="00822148">
              <w:rPr>
                <w:rFonts w:ascii="Times New Roman" w:hAnsi="Times New Roman" w:cs="Times New Roman"/>
                <w:sz w:val="24"/>
                <w:szCs w:val="24"/>
              </w:rPr>
              <w:t xml:space="preserve">nav </w:t>
            </w:r>
            <w:r w:rsidR="00952874" w:rsidRPr="00822148">
              <w:rPr>
                <w:rFonts w:ascii="Times New Roman" w:hAnsi="Times New Roman" w:cs="Times New Roman"/>
                <w:sz w:val="24"/>
                <w:szCs w:val="24"/>
              </w:rPr>
              <w:t>jā</w:t>
            </w:r>
            <w:r w:rsidR="009E6A95" w:rsidRPr="00822148">
              <w:rPr>
                <w:rFonts w:ascii="Times New Roman" w:hAnsi="Times New Roman" w:cs="Times New Roman"/>
                <w:sz w:val="24"/>
                <w:szCs w:val="24"/>
              </w:rPr>
              <w:t>saskaņo ar Eiropas Centrālo banku.</w:t>
            </w:r>
          </w:p>
        </w:tc>
      </w:tr>
      <w:tr w:rsidR="00A61684" w:rsidRPr="00A61684" w14:paraId="48DDCC66" w14:textId="77777777" w:rsidTr="00207E57">
        <w:tc>
          <w:tcPr>
            <w:tcW w:w="2122" w:type="dxa"/>
          </w:tcPr>
          <w:p w14:paraId="58FC4ACD" w14:textId="75E381C9" w:rsidR="00822148" w:rsidRPr="004C1C0E" w:rsidRDefault="009E6A95" w:rsidP="00822148">
            <w:pPr>
              <w:jc w:val="both"/>
              <w:rPr>
                <w:rFonts w:ascii="Times New Roman" w:hAnsi="Times New Roman" w:cs="Times New Roman"/>
                <w:b/>
                <w:bCs/>
                <w:sz w:val="24"/>
                <w:szCs w:val="24"/>
              </w:rPr>
            </w:pPr>
            <w:r w:rsidRPr="000B3458">
              <w:rPr>
                <w:rFonts w:ascii="Times New Roman" w:hAnsi="Times New Roman" w:cs="Times New Roman"/>
                <w:b/>
                <w:bCs/>
                <w:sz w:val="24"/>
                <w:szCs w:val="24"/>
              </w:rPr>
              <w:t>Saskaņošana ar citām publiskām un privātām personām</w:t>
            </w:r>
          </w:p>
        </w:tc>
        <w:tc>
          <w:tcPr>
            <w:tcW w:w="6237" w:type="dxa"/>
          </w:tcPr>
          <w:p w14:paraId="4FBFE1AD" w14:textId="074E3A14" w:rsidR="00EA0CC6" w:rsidRDefault="00EA0CC6" w:rsidP="00EA0CC6">
            <w:pPr>
              <w:jc w:val="both"/>
              <w:rPr>
                <w:rFonts w:ascii="Times New Roman" w:hAnsi="Times New Roman" w:cs="Times New Roman"/>
                <w:sz w:val="24"/>
                <w:szCs w:val="24"/>
              </w:rPr>
            </w:pPr>
            <w:r w:rsidRPr="00962FA0">
              <w:rPr>
                <w:rFonts w:ascii="Times New Roman" w:hAnsi="Times New Roman" w:cs="Times New Roman"/>
                <w:sz w:val="24"/>
                <w:szCs w:val="24"/>
              </w:rPr>
              <w:t xml:space="preserve">Noteikumu projekts </w:t>
            </w:r>
            <w:r w:rsidR="00274FD5">
              <w:rPr>
                <w:rFonts w:ascii="Times New Roman" w:hAnsi="Times New Roman" w:cs="Times New Roman"/>
                <w:sz w:val="24"/>
                <w:szCs w:val="24"/>
              </w:rPr>
              <w:t xml:space="preserve">2024. gada 13. augustā </w:t>
            </w:r>
            <w:r w:rsidR="00274FD5" w:rsidRPr="00962FA0">
              <w:rPr>
                <w:rFonts w:ascii="Times New Roman" w:hAnsi="Times New Roman" w:cs="Times New Roman"/>
                <w:sz w:val="24"/>
                <w:szCs w:val="24"/>
              </w:rPr>
              <w:t>tik</w:t>
            </w:r>
            <w:r w:rsidR="00274FD5">
              <w:rPr>
                <w:rFonts w:ascii="Times New Roman" w:hAnsi="Times New Roman" w:cs="Times New Roman"/>
                <w:sz w:val="24"/>
                <w:szCs w:val="24"/>
              </w:rPr>
              <w:t>a</w:t>
            </w:r>
            <w:r w:rsidR="00274FD5" w:rsidRPr="00962FA0">
              <w:rPr>
                <w:rFonts w:ascii="Times New Roman" w:hAnsi="Times New Roman" w:cs="Times New Roman"/>
                <w:sz w:val="24"/>
                <w:szCs w:val="24"/>
              </w:rPr>
              <w:t xml:space="preserve"> </w:t>
            </w:r>
            <w:r w:rsidRPr="00962FA0">
              <w:rPr>
                <w:rFonts w:ascii="Times New Roman" w:hAnsi="Times New Roman" w:cs="Times New Roman"/>
                <w:sz w:val="24"/>
                <w:szCs w:val="24"/>
              </w:rPr>
              <w:t xml:space="preserve">publicēts Latvijas Bankas tīmekļvietnes </w:t>
            </w:r>
            <w:hyperlink r:id="rId31" w:history="1">
              <w:r w:rsidR="006602C9" w:rsidRPr="0068252C">
                <w:rPr>
                  <w:rStyle w:val="Hyperlink"/>
                  <w:rFonts w:ascii="Times New Roman" w:hAnsi="Times New Roman" w:cs="Times New Roman"/>
                  <w:sz w:val="24"/>
                  <w:szCs w:val="24"/>
                </w:rPr>
                <w:t>www.bank.lv</w:t>
              </w:r>
            </w:hyperlink>
            <w:r w:rsidR="006602C9">
              <w:rPr>
                <w:rFonts w:ascii="Times New Roman" w:hAnsi="Times New Roman" w:cs="Times New Roman"/>
                <w:sz w:val="24"/>
                <w:szCs w:val="24"/>
              </w:rPr>
              <w:t xml:space="preserve"> </w:t>
            </w:r>
            <w:r w:rsidR="00986CDF" w:rsidRPr="00962FA0">
              <w:rPr>
                <w:rFonts w:ascii="Times New Roman" w:hAnsi="Times New Roman" w:cs="Times New Roman"/>
                <w:sz w:val="24"/>
                <w:szCs w:val="24"/>
              </w:rPr>
              <w:t>sadaļ</w:t>
            </w:r>
            <w:r w:rsidR="00986CDF">
              <w:rPr>
                <w:rFonts w:ascii="Times New Roman" w:hAnsi="Times New Roman" w:cs="Times New Roman"/>
                <w:sz w:val="24"/>
                <w:szCs w:val="24"/>
              </w:rPr>
              <w:t>as "</w:t>
            </w:r>
            <w:r w:rsidR="00986CDF" w:rsidRPr="00986CDF">
              <w:rPr>
                <w:rFonts w:ascii="Times New Roman" w:hAnsi="Times New Roman" w:cs="Times New Roman"/>
                <w:sz w:val="24"/>
                <w:szCs w:val="24"/>
              </w:rPr>
              <w:t>Tiesību akti" apakšsadaļā</w:t>
            </w:r>
            <w:r w:rsidR="00986CDF" w:rsidRPr="00962FA0">
              <w:rPr>
                <w:rFonts w:ascii="Times New Roman" w:hAnsi="Times New Roman" w:cs="Times New Roman"/>
                <w:sz w:val="24"/>
                <w:szCs w:val="24"/>
              </w:rPr>
              <w:t xml:space="preserve"> </w:t>
            </w:r>
            <w:r w:rsidRPr="00962FA0">
              <w:rPr>
                <w:rFonts w:ascii="Times New Roman" w:hAnsi="Times New Roman" w:cs="Times New Roman"/>
                <w:sz w:val="24"/>
                <w:szCs w:val="24"/>
              </w:rPr>
              <w:t xml:space="preserve">"Sabiedrības līdzdalība", un </w:t>
            </w:r>
            <w:r w:rsidR="00274FD5">
              <w:rPr>
                <w:rFonts w:ascii="Times New Roman" w:hAnsi="Times New Roman" w:cs="Times New Roman"/>
                <w:sz w:val="24"/>
                <w:szCs w:val="24"/>
              </w:rPr>
              <w:t>līdz 2024.</w:t>
            </w:r>
            <w:r w:rsidR="00E62586">
              <w:rPr>
                <w:rFonts w:ascii="Times New Roman" w:hAnsi="Times New Roman" w:cs="Times New Roman"/>
                <w:sz w:val="24"/>
                <w:szCs w:val="24"/>
              </w:rPr>
              <w:t> </w:t>
            </w:r>
            <w:r w:rsidR="00274FD5">
              <w:rPr>
                <w:rFonts w:ascii="Times New Roman" w:hAnsi="Times New Roman" w:cs="Times New Roman"/>
                <w:sz w:val="24"/>
                <w:szCs w:val="24"/>
              </w:rPr>
              <w:t>gada 27. augustam sabiedrībai bija iespēja iesaistīties tā apspriešanā</w:t>
            </w:r>
            <w:r w:rsidRPr="00962FA0">
              <w:rPr>
                <w:rFonts w:ascii="Times New Roman" w:hAnsi="Times New Roman" w:cs="Times New Roman"/>
                <w:sz w:val="24"/>
                <w:szCs w:val="24"/>
              </w:rPr>
              <w:t>.</w:t>
            </w:r>
          </w:p>
          <w:p w14:paraId="14249638" w14:textId="77777777" w:rsidR="00D40121" w:rsidRPr="00962FA0" w:rsidRDefault="00D40121" w:rsidP="00EA0CC6">
            <w:pPr>
              <w:jc w:val="both"/>
              <w:rPr>
                <w:rFonts w:ascii="Times New Roman" w:hAnsi="Times New Roman" w:cs="Times New Roman"/>
                <w:sz w:val="24"/>
                <w:szCs w:val="24"/>
              </w:rPr>
            </w:pPr>
          </w:p>
          <w:p w14:paraId="61CE77FB" w14:textId="0E05230B" w:rsidR="00D40121" w:rsidRPr="00962FA0" w:rsidRDefault="00EA0CC6" w:rsidP="00EA0CC6">
            <w:pPr>
              <w:jc w:val="both"/>
              <w:rPr>
                <w:rFonts w:ascii="Times New Roman" w:hAnsi="Times New Roman" w:cs="Times New Roman"/>
                <w:sz w:val="24"/>
                <w:szCs w:val="24"/>
              </w:rPr>
            </w:pPr>
            <w:r w:rsidRPr="00962FA0">
              <w:rPr>
                <w:rFonts w:ascii="Times New Roman" w:hAnsi="Times New Roman" w:cs="Times New Roman"/>
                <w:sz w:val="24"/>
                <w:szCs w:val="24"/>
              </w:rPr>
              <w:t xml:space="preserve">Vienlaikus par </w:t>
            </w:r>
            <w:r w:rsidR="002C329B">
              <w:rPr>
                <w:rFonts w:ascii="Times New Roman" w:hAnsi="Times New Roman" w:cs="Times New Roman"/>
                <w:sz w:val="24"/>
                <w:szCs w:val="24"/>
              </w:rPr>
              <w:t>n</w:t>
            </w:r>
            <w:r w:rsidR="002C329B" w:rsidRPr="00962FA0">
              <w:rPr>
                <w:rFonts w:ascii="Times New Roman" w:hAnsi="Times New Roman" w:cs="Times New Roman"/>
                <w:sz w:val="24"/>
                <w:szCs w:val="24"/>
              </w:rPr>
              <w:t xml:space="preserve">oteikumu </w:t>
            </w:r>
            <w:r w:rsidRPr="00962FA0">
              <w:rPr>
                <w:rFonts w:ascii="Times New Roman" w:hAnsi="Times New Roman" w:cs="Times New Roman"/>
                <w:sz w:val="24"/>
                <w:szCs w:val="24"/>
              </w:rPr>
              <w:t xml:space="preserve">projektu un notiekošo sabiedrības līdzdalību individuāli </w:t>
            </w:r>
            <w:r w:rsidR="00274FD5" w:rsidRPr="00962FA0">
              <w:rPr>
                <w:rFonts w:ascii="Times New Roman" w:hAnsi="Times New Roman" w:cs="Times New Roman"/>
                <w:sz w:val="24"/>
                <w:szCs w:val="24"/>
              </w:rPr>
              <w:t>tik</w:t>
            </w:r>
            <w:r w:rsidR="00274FD5">
              <w:rPr>
                <w:rFonts w:ascii="Times New Roman" w:hAnsi="Times New Roman" w:cs="Times New Roman"/>
                <w:sz w:val="24"/>
                <w:szCs w:val="24"/>
              </w:rPr>
              <w:t>a</w:t>
            </w:r>
            <w:r w:rsidR="00274FD5" w:rsidRPr="00962FA0">
              <w:rPr>
                <w:rFonts w:ascii="Times New Roman" w:hAnsi="Times New Roman" w:cs="Times New Roman"/>
                <w:sz w:val="24"/>
                <w:szCs w:val="24"/>
              </w:rPr>
              <w:t xml:space="preserve"> </w:t>
            </w:r>
            <w:r w:rsidRPr="00962FA0">
              <w:rPr>
                <w:rFonts w:ascii="Times New Roman" w:hAnsi="Times New Roman" w:cs="Times New Roman"/>
                <w:sz w:val="24"/>
                <w:szCs w:val="24"/>
              </w:rPr>
              <w:t>informēta Latvijas Finanšu nozares asociācija</w:t>
            </w:r>
            <w:r w:rsidR="007677F6" w:rsidRPr="00962FA0">
              <w:rPr>
                <w:rFonts w:ascii="Times New Roman" w:hAnsi="Times New Roman" w:cs="Times New Roman"/>
                <w:sz w:val="24"/>
                <w:szCs w:val="24"/>
              </w:rPr>
              <w:t xml:space="preserve"> un</w:t>
            </w:r>
            <w:r w:rsidRPr="00962FA0">
              <w:rPr>
                <w:rFonts w:ascii="Times New Roman" w:hAnsi="Times New Roman" w:cs="Times New Roman"/>
                <w:sz w:val="24"/>
                <w:szCs w:val="24"/>
              </w:rPr>
              <w:t xml:space="preserve"> </w:t>
            </w:r>
            <w:r w:rsidR="003A7C34" w:rsidRPr="00962FA0">
              <w:rPr>
                <w:rFonts w:ascii="Times New Roman" w:hAnsi="Times New Roman" w:cs="Times New Roman"/>
                <w:sz w:val="24"/>
                <w:szCs w:val="24"/>
              </w:rPr>
              <w:t>kredītiestādes, k</w:t>
            </w:r>
            <w:r w:rsidR="00601CE0">
              <w:rPr>
                <w:rFonts w:ascii="Times New Roman" w:hAnsi="Times New Roman" w:cs="Times New Roman"/>
                <w:sz w:val="24"/>
                <w:szCs w:val="24"/>
              </w:rPr>
              <w:t>ur</w:t>
            </w:r>
            <w:r w:rsidR="003A7C34" w:rsidRPr="00962FA0">
              <w:rPr>
                <w:rFonts w:ascii="Times New Roman" w:hAnsi="Times New Roman" w:cs="Times New Roman"/>
                <w:sz w:val="24"/>
                <w:szCs w:val="24"/>
              </w:rPr>
              <w:t xml:space="preserve">as nav Latvijas Finanšu nozares asociācijas </w:t>
            </w:r>
            <w:r w:rsidR="009543C5" w:rsidRPr="00962FA0">
              <w:rPr>
                <w:rFonts w:ascii="Times New Roman" w:hAnsi="Times New Roman" w:cs="Times New Roman"/>
                <w:sz w:val="24"/>
                <w:szCs w:val="24"/>
              </w:rPr>
              <w:t>biedr</w:t>
            </w:r>
            <w:r w:rsidR="009543C5">
              <w:rPr>
                <w:rFonts w:ascii="Times New Roman" w:hAnsi="Times New Roman" w:cs="Times New Roman"/>
                <w:sz w:val="24"/>
                <w:szCs w:val="24"/>
              </w:rPr>
              <w:t>es</w:t>
            </w:r>
            <w:r w:rsidRPr="00962FA0">
              <w:rPr>
                <w:rFonts w:ascii="Times New Roman" w:hAnsi="Times New Roman" w:cs="Times New Roman"/>
                <w:sz w:val="24"/>
                <w:szCs w:val="24"/>
              </w:rPr>
              <w:t>.</w:t>
            </w:r>
          </w:p>
        </w:tc>
      </w:tr>
      <w:tr w:rsidR="00FC38CB" w:rsidRPr="00A61684" w14:paraId="69C6D010" w14:textId="77777777" w:rsidTr="00207E57">
        <w:tc>
          <w:tcPr>
            <w:tcW w:w="2122" w:type="dxa"/>
          </w:tcPr>
          <w:p w14:paraId="19ED627F" w14:textId="441DA441" w:rsidR="00822148" w:rsidRPr="004C1C0E" w:rsidRDefault="00FC38CB" w:rsidP="00FC38CB">
            <w:pPr>
              <w:jc w:val="both"/>
              <w:rPr>
                <w:rFonts w:ascii="Times New Roman" w:hAnsi="Times New Roman" w:cs="Times New Roman"/>
                <w:b/>
                <w:bCs/>
                <w:sz w:val="24"/>
                <w:szCs w:val="24"/>
              </w:rPr>
            </w:pPr>
            <w:r w:rsidRPr="000B3458">
              <w:rPr>
                <w:rFonts w:ascii="Times New Roman" w:eastAsia="Times New Roman" w:hAnsi="Times New Roman" w:cs="Times New Roman"/>
                <w:b/>
                <w:bCs/>
                <w:sz w:val="24"/>
                <w:szCs w:val="24"/>
                <w:lang w:eastAsia="lv-LV"/>
              </w:rPr>
              <w:t>Saskaņošanas rezultāti</w:t>
            </w:r>
          </w:p>
        </w:tc>
        <w:tc>
          <w:tcPr>
            <w:tcW w:w="6237" w:type="dxa"/>
          </w:tcPr>
          <w:p w14:paraId="42E86DBD" w14:textId="0EFDE2FE" w:rsidR="00FC38CB" w:rsidRPr="004A3786" w:rsidRDefault="00274FD5" w:rsidP="00FC38CB">
            <w:pPr>
              <w:jc w:val="both"/>
              <w:rPr>
                <w:rFonts w:ascii="Times New Roman" w:hAnsi="Times New Roman" w:cs="Times New Roman"/>
                <w:sz w:val="24"/>
                <w:szCs w:val="24"/>
              </w:rPr>
            </w:pPr>
            <w:r w:rsidRPr="00274FD5">
              <w:rPr>
                <w:rFonts w:ascii="Times New Roman" w:eastAsia="Times New Roman" w:hAnsi="Times New Roman" w:cs="Times New Roman"/>
                <w:bCs/>
                <w:sz w:val="24"/>
                <w:szCs w:val="24"/>
                <w:lang w:eastAsia="lv-LV"/>
              </w:rPr>
              <w:t xml:space="preserve">Sabiedrības līdzdalības rezultātā par noteikumu projektu tika saņemti vairāki priekšlikumi </w:t>
            </w:r>
            <w:r w:rsidR="00A848A2">
              <w:rPr>
                <w:rFonts w:ascii="Times New Roman" w:eastAsia="Times New Roman" w:hAnsi="Times New Roman" w:cs="Times New Roman"/>
                <w:bCs/>
                <w:sz w:val="24"/>
                <w:szCs w:val="24"/>
                <w:lang w:eastAsia="lv-LV"/>
              </w:rPr>
              <w:t xml:space="preserve">skaidrot </w:t>
            </w:r>
            <w:r w:rsidR="00AA6530">
              <w:rPr>
                <w:rFonts w:ascii="Times New Roman" w:eastAsia="Times New Roman" w:hAnsi="Times New Roman" w:cs="Times New Roman"/>
                <w:bCs/>
                <w:sz w:val="24"/>
                <w:szCs w:val="24"/>
                <w:lang w:eastAsia="lv-LV"/>
              </w:rPr>
              <w:t xml:space="preserve">vairāku </w:t>
            </w:r>
            <w:r w:rsidR="00A848A2">
              <w:rPr>
                <w:rFonts w:ascii="Times New Roman" w:eastAsia="Times New Roman" w:hAnsi="Times New Roman" w:cs="Times New Roman"/>
                <w:bCs/>
                <w:sz w:val="24"/>
                <w:szCs w:val="24"/>
                <w:lang w:eastAsia="lv-LV"/>
              </w:rPr>
              <w:t xml:space="preserve">noteikumu projektā paredzēto prasību piemērošanu jaundibinātām </w:t>
            </w:r>
            <w:r w:rsidR="00E62586">
              <w:rPr>
                <w:rFonts w:ascii="Times New Roman" w:eastAsia="Times New Roman" w:hAnsi="Times New Roman" w:cs="Times New Roman"/>
                <w:bCs/>
                <w:sz w:val="24"/>
                <w:szCs w:val="24"/>
                <w:lang w:eastAsia="lv-LV"/>
              </w:rPr>
              <w:t>kredītiestādēm</w:t>
            </w:r>
            <w:r w:rsidR="00AA6530">
              <w:rPr>
                <w:rFonts w:ascii="Times New Roman" w:eastAsia="Times New Roman" w:hAnsi="Times New Roman" w:cs="Times New Roman"/>
                <w:bCs/>
                <w:sz w:val="24"/>
                <w:szCs w:val="24"/>
                <w:lang w:eastAsia="lv-LV"/>
              </w:rPr>
              <w:t xml:space="preserve">, kā arī priekšlikums </w:t>
            </w:r>
            <w:r w:rsidR="00A848A2">
              <w:rPr>
                <w:rFonts w:ascii="Times New Roman" w:eastAsia="Times New Roman" w:hAnsi="Times New Roman" w:cs="Times New Roman"/>
                <w:bCs/>
                <w:sz w:val="24"/>
                <w:szCs w:val="24"/>
                <w:lang w:eastAsia="lv-LV"/>
              </w:rPr>
              <w:t>precizēt</w:t>
            </w:r>
            <w:r w:rsidR="00AA6530">
              <w:rPr>
                <w:rFonts w:ascii="Times New Roman" w:eastAsia="Times New Roman" w:hAnsi="Times New Roman" w:cs="Times New Roman"/>
                <w:bCs/>
                <w:sz w:val="24"/>
                <w:szCs w:val="24"/>
                <w:lang w:eastAsia="lv-LV"/>
              </w:rPr>
              <w:t xml:space="preserve"> prasības par riska darījumiem piemērojamo pakāpju papildu izvērtēšanu</w:t>
            </w:r>
            <w:r w:rsidRPr="00274FD5">
              <w:rPr>
                <w:rFonts w:ascii="Times New Roman" w:eastAsia="Times New Roman" w:hAnsi="Times New Roman" w:cs="Times New Roman"/>
                <w:bCs/>
                <w:sz w:val="24"/>
                <w:szCs w:val="24"/>
                <w:lang w:eastAsia="lv-LV"/>
              </w:rPr>
              <w:t xml:space="preserve">. </w:t>
            </w:r>
            <w:r w:rsidR="00E62586">
              <w:rPr>
                <w:rFonts w:ascii="Times New Roman" w:eastAsia="Times New Roman" w:hAnsi="Times New Roman" w:cs="Times New Roman"/>
                <w:bCs/>
                <w:sz w:val="24"/>
                <w:szCs w:val="24"/>
                <w:lang w:eastAsia="lv-LV"/>
              </w:rPr>
              <w:t>Priekšlikumu</w:t>
            </w:r>
            <w:r w:rsidRPr="00274FD5">
              <w:rPr>
                <w:rFonts w:ascii="Times New Roman" w:eastAsia="Times New Roman" w:hAnsi="Times New Roman" w:cs="Times New Roman"/>
                <w:bCs/>
                <w:sz w:val="24"/>
                <w:szCs w:val="24"/>
                <w:lang w:eastAsia="lv-LV"/>
              </w:rPr>
              <w:t xml:space="preserve"> apkopojums ir pievienots anotācijas pielikumā.</w:t>
            </w:r>
          </w:p>
        </w:tc>
      </w:tr>
    </w:tbl>
    <w:p w14:paraId="37E2A4CD" w14:textId="3E6D0983" w:rsidR="00D834D8" w:rsidRDefault="00D834D8" w:rsidP="00F47661">
      <w:pPr>
        <w:jc w:val="both"/>
      </w:pPr>
    </w:p>
    <w:p w14:paraId="7812B7BC" w14:textId="77777777" w:rsidR="00D834D8" w:rsidRDefault="00D834D8">
      <w:r>
        <w:br w:type="page"/>
      </w:r>
    </w:p>
    <w:p w14:paraId="189FFD2E" w14:textId="77777777" w:rsidR="00D834D8" w:rsidRDefault="00D834D8" w:rsidP="00D834D8">
      <w:pPr>
        <w:pStyle w:val="NApunkts1"/>
        <w:numPr>
          <w:ilvl w:val="0"/>
          <w:numId w:val="0"/>
        </w:numPr>
        <w:spacing w:before="0"/>
        <w:jc w:val="right"/>
        <w:rPr>
          <w:bCs/>
          <w:color w:val="000000" w:themeColor="text1"/>
        </w:rPr>
        <w:sectPr w:rsidR="00D834D8" w:rsidSect="00E921EE">
          <w:headerReference w:type="default" r:id="rId32"/>
          <w:pgSz w:w="11906" w:h="16838"/>
          <w:pgMar w:top="1440" w:right="1800" w:bottom="1440" w:left="1800" w:header="708" w:footer="708" w:gutter="0"/>
          <w:cols w:space="708"/>
          <w:titlePg/>
          <w:docGrid w:linePitch="360"/>
        </w:sectPr>
      </w:pPr>
    </w:p>
    <w:p w14:paraId="57AFA3C3" w14:textId="77777777" w:rsidR="00D834D8" w:rsidRPr="00D834D8" w:rsidRDefault="00D834D8" w:rsidP="00D834D8">
      <w:pPr>
        <w:pStyle w:val="NApunkts1"/>
        <w:numPr>
          <w:ilvl w:val="0"/>
          <w:numId w:val="0"/>
        </w:numPr>
        <w:spacing w:before="0"/>
        <w:jc w:val="right"/>
        <w:rPr>
          <w:bCs/>
          <w:color w:val="000000" w:themeColor="text1"/>
        </w:rPr>
      </w:pPr>
      <w:r w:rsidRPr="00D834D8">
        <w:rPr>
          <w:bCs/>
          <w:color w:val="000000" w:themeColor="text1"/>
        </w:rPr>
        <w:lastRenderedPageBreak/>
        <w:t>Pielikums</w:t>
      </w:r>
      <w:r w:rsidRPr="00D834D8">
        <w:rPr>
          <w:bCs/>
          <w:color w:val="000000" w:themeColor="text1"/>
        </w:rPr>
        <w:br/>
        <w:t>Latvijas Bankas noteikumu projekta anotācijai</w:t>
      </w:r>
    </w:p>
    <w:p w14:paraId="082A4C4E" w14:textId="2F60FF29" w:rsidR="00D834D8" w:rsidRPr="00D834D8" w:rsidRDefault="00D834D8" w:rsidP="00D834D8">
      <w:pPr>
        <w:pStyle w:val="NApunkts1"/>
        <w:numPr>
          <w:ilvl w:val="0"/>
          <w:numId w:val="0"/>
        </w:numPr>
        <w:jc w:val="center"/>
        <w:rPr>
          <w:bCs/>
        </w:rPr>
      </w:pPr>
      <w:r w:rsidRPr="00D834D8">
        <w:rPr>
          <w:b/>
          <w:color w:val="000000" w:themeColor="text1"/>
        </w:rPr>
        <w:t xml:space="preserve">Sabiedrības līdzdalības </w:t>
      </w:r>
      <w:r w:rsidR="00F33AA2">
        <w:rPr>
          <w:b/>
          <w:color w:val="000000" w:themeColor="text1"/>
        </w:rPr>
        <w:t>laikā</w:t>
      </w:r>
      <w:r w:rsidR="00F33AA2" w:rsidRPr="00D834D8">
        <w:rPr>
          <w:b/>
          <w:color w:val="000000" w:themeColor="text1"/>
        </w:rPr>
        <w:t xml:space="preserve"> </w:t>
      </w:r>
      <w:r w:rsidRPr="00D834D8">
        <w:rPr>
          <w:b/>
          <w:color w:val="000000" w:themeColor="text1"/>
        </w:rPr>
        <w:t>saņemto priekšlikumu par Latvijas Bankas noteikumu projektu "Kredītiestāžu kapitāla pietiekamības novērtēšanas procesa noteikumi" apkopojums</w:t>
      </w:r>
    </w:p>
    <w:p w14:paraId="59BE055B" w14:textId="77777777" w:rsidR="00D834D8" w:rsidRPr="00D834D8" w:rsidRDefault="00D834D8" w:rsidP="00D834D8">
      <w:pPr>
        <w:pStyle w:val="NApunkts1"/>
        <w:numPr>
          <w:ilvl w:val="0"/>
          <w:numId w:val="0"/>
        </w:numPr>
        <w:rPr>
          <w:bCs/>
        </w:rPr>
      </w:pPr>
    </w:p>
    <w:tbl>
      <w:tblPr>
        <w:tblW w:w="1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4509"/>
        <w:gridCol w:w="4518"/>
        <w:gridCol w:w="4518"/>
      </w:tblGrid>
      <w:tr w:rsidR="00D834D8" w:rsidRPr="00D834D8" w14:paraId="170DDFA6" w14:textId="77777777" w:rsidTr="008814FC">
        <w:tc>
          <w:tcPr>
            <w:tcW w:w="0" w:type="auto"/>
            <w:tcBorders>
              <w:top w:val="single" w:sz="4" w:space="0" w:color="auto"/>
              <w:left w:val="single" w:sz="4" w:space="0" w:color="auto"/>
              <w:bottom w:val="single" w:sz="4" w:space="0" w:color="auto"/>
              <w:right w:val="single" w:sz="4" w:space="0" w:color="auto"/>
            </w:tcBorders>
          </w:tcPr>
          <w:p w14:paraId="69E056A9" w14:textId="77777777" w:rsidR="00D834D8" w:rsidRPr="00D834D8" w:rsidRDefault="00D834D8" w:rsidP="00A848A2">
            <w:pPr>
              <w:spacing w:line="240" w:lineRule="auto"/>
              <w:jc w:val="center"/>
              <w:rPr>
                <w:rFonts w:ascii="Times New Roman" w:hAnsi="Times New Roman" w:cs="Times New Roman"/>
                <w:b/>
                <w:sz w:val="24"/>
                <w:szCs w:val="24"/>
              </w:rPr>
            </w:pPr>
            <w:r w:rsidRPr="00D834D8">
              <w:rPr>
                <w:rFonts w:ascii="Times New Roman" w:hAnsi="Times New Roman" w:cs="Times New Roman"/>
                <w:b/>
                <w:sz w:val="24"/>
                <w:szCs w:val="24"/>
              </w:rPr>
              <w:t>Nr.</w:t>
            </w:r>
            <w:r w:rsidRPr="00D834D8">
              <w:rPr>
                <w:rFonts w:ascii="Times New Roman" w:hAnsi="Times New Roman" w:cs="Times New Roman"/>
                <w:b/>
                <w:sz w:val="24"/>
                <w:szCs w:val="24"/>
              </w:rPr>
              <w:br/>
              <w:t>p. k.</w:t>
            </w:r>
          </w:p>
        </w:tc>
        <w:tc>
          <w:tcPr>
            <w:tcW w:w="4509" w:type="dxa"/>
            <w:tcBorders>
              <w:top w:val="single" w:sz="4" w:space="0" w:color="auto"/>
              <w:left w:val="single" w:sz="4" w:space="0" w:color="auto"/>
              <w:bottom w:val="single" w:sz="4" w:space="0" w:color="auto"/>
              <w:right w:val="single" w:sz="4" w:space="0" w:color="auto"/>
            </w:tcBorders>
            <w:shd w:val="clear" w:color="auto" w:fill="auto"/>
            <w:hideMark/>
          </w:tcPr>
          <w:p w14:paraId="5E699318" w14:textId="77777777" w:rsidR="00D834D8" w:rsidRPr="00D834D8" w:rsidRDefault="00D834D8" w:rsidP="00A848A2">
            <w:pPr>
              <w:spacing w:line="240" w:lineRule="auto"/>
              <w:jc w:val="center"/>
              <w:rPr>
                <w:rFonts w:ascii="Times New Roman" w:hAnsi="Times New Roman" w:cs="Times New Roman"/>
                <w:b/>
                <w:sz w:val="24"/>
                <w:szCs w:val="24"/>
              </w:rPr>
            </w:pPr>
            <w:r w:rsidRPr="00D834D8">
              <w:rPr>
                <w:rFonts w:ascii="Times New Roman" w:hAnsi="Times New Roman" w:cs="Times New Roman"/>
                <w:b/>
                <w:sz w:val="24"/>
                <w:szCs w:val="24"/>
              </w:rPr>
              <w:t xml:space="preserve">Sabiedrības līdzdalībai nodotā projekta redakcija </w:t>
            </w:r>
            <w:r w:rsidRPr="00D834D8">
              <w:rPr>
                <w:rFonts w:ascii="Times New Roman" w:hAnsi="Times New Roman" w:cs="Times New Roman"/>
                <w:b/>
                <w:iCs/>
                <w:sz w:val="24"/>
                <w:szCs w:val="24"/>
              </w:rPr>
              <w:t>(konkrētā punkta redakcija)</w:t>
            </w:r>
          </w:p>
        </w:tc>
        <w:tc>
          <w:tcPr>
            <w:tcW w:w="4518" w:type="dxa"/>
            <w:tcBorders>
              <w:top w:val="single" w:sz="4" w:space="0" w:color="auto"/>
              <w:left w:val="single" w:sz="4" w:space="0" w:color="auto"/>
              <w:bottom w:val="single" w:sz="4" w:space="0" w:color="auto"/>
              <w:right w:val="single" w:sz="4" w:space="0" w:color="auto"/>
            </w:tcBorders>
            <w:shd w:val="clear" w:color="auto" w:fill="auto"/>
            <w:hideMark/>
          </w:tcPr>
          <w:p w14:paraId="133CE9AC" w14:textId="2CF1FE18" w:rsidR="00D834D8" w:rsidRPr="00D834D8" w:rsidRDefault="00F33AA2" w:rsidP="00A848A2">
            <w:pPr>
              <w:spacing w:line="240" w:lineRule="auto"/>
              <w:jc w:val="center"/>
              <w:rPr>
                <w:rFonts w:ascii="Times New Roman" w:hAnsi="Times New Roman" w:cs="Times New Roman"/>
                <w:b/>
                <w:sz w:val="24"/>
                <w:szCs w:val="24"/>
              </w:rPr>
            </w:pPr>
            <w:r w:rsidRPr="00F33AA2">
              <w:rPr>
                <w:rFonts w:ascii="Times New Roman" w:hAnsi="Times New Roman" w:cs="Times New Roman"/>
                <w:b/>
                <w:sz w:val="24"/>
                <w:szCs w:val="24"/>
              </w:rPr>
              <w:t>Izteiktais iebildums (priekšlikums) par projekta konkrēto punktu, norādot sabiedrības pārstāvi</w:t>
            </w:r>
          </w:p>
        </w:tc>
        <w:tc>
          <w:tcPr>
            <w:tcW w:w="4518" w:type="dxa"/>
            <w:tcBorders>
              <w:top w:val="single" w:sz="4" w:space="0" w:color="auto"/>
              <w:left w:val="single" w:sz="4" w:space="0" w:color="auto"/>
              <w:bottom w:val="single" w:sz="4" w:space="0" w:color="auto"/>
              <w:right w:val="single" w:sz="4" w:space="0" w:color="auto"/>
            </w:tcBorders>
            <w:shd w:val="clear" w:color="auto" w:fill="auto"/>
            <w:hideMark/>
          </w:tcPr>
          <w:p w14:paraId="22DD18D1" w14:textId="77777777" w:rsidR="00D834D8" w:rsidRPr="00D834D8" w:rsidRDefault="00D834D8" w:rsidP="00A848A2">
            <w:pPr>
              <w:spacing w:line="240" w:lineRule="auto"/>
              <w:jc w:val="center"/>
              <w:rPr>
                <w:rFonts w:ascii="Times New Roman" w:hAnsi="Times New Roman" w:cs="Times New Roman"/>
                <w:b/>
                <w:sz w:val="24"/>
                <w:szCs w:val="24"/>
              </w:rPr>
            </w:pPr>
            <w:r w:rsidRPr="00D834D8">
              <w:rPr>
                <w:rFonts w:ascii="Times New Roman" w:hAnsi="Times New Roman" w:cs="Times New Roman"/>
                <w:b/>
                <w:iCs/>
                <w:sz w:val="24"/>
                <w:szCs w:val="24"/>
              </w:rPr>
              <w:t xml:space="preserve">Latvijas Bankas </w:t>
            </w:r>
            <w:r w:rsidRPr="00D834D8">
              <w:rPr>
                <w:rFonts w:ascii="Times New Roman" w:hAnsi="Times New Roman" w:cs="Times New Roman"/>
                <w:b/>
                <w:sz w:val="24"/>
                <w:szCs w:val="24"/>
              </w:rPr>
              <w:t xml:space="preserve">viedoklis par izteikto iebildumu (priekšlikumu) un </w:t>
            </w:r>
            <w:r w:rsidRPr="00D834D8">
              <w:rPr>
                <w:rFonts w:ascii="Times New Roman" w:hAnsi="Times New Roman" w:cs="Times New Roman"/>
                <w:b/>
                <w:iCs/>
                <w:sz w:val="24"/>
                <w:szCs w:val="24"/>
              </w:rPr>
              <w:t>norāde, vai tas ņemts vērā</w:t>
            </w:r>
          </w:p>
        </w:tc>
      </w:tr>
      <w:tr w:rsidR="00D834D8" w:rsidRPr="00D834D8" w14:paraId="0E1780F8" w14:textId="77777777" w:rsidTr="008814FC">
        <w:tc>
          <w:tcPr>
            <w:tcW w:w="0" w:type="auto"/>
            <w:tcBorders>
              <w:top w:val="single" w:sz="4" w:space="0" w:color="auto"/>
              <w:left w:val="single" w:sz="4" w:space="0" w:color="auto"/>
              <w:bottom w:val="single" w:sz="4" w:space="0" w:color="auto"/>
              <w:right w:val="single" w:sz="4" w:space="0" w:color="auto"/>
            </w:tcBorders>
          </w:tcPr>
          <w:p w14:paraId="0A498EFE" w14:textId="77777777" w:rsidR="00D834D8" w:rsidRPr="00D834D8" w:rsidRDefault="00D834D8" w:rsidP="00A848A2">
            <w:pPr>
              <w:spacing w:line="240" w:lineRule="auto"/>
              <w:jc w:val="center"/>
              <w:rPr>
                <w:rFonts w:ascii="Times New Roman" w:hAnsi="Times New Roman" w:cs="Times New Roman"/>
                <w:bCs/>
                <w:sz w:val="24"/>
                <w:szCs w:val="24"/>
              </w:rPr>
            </w:pPr>
            <w:r w:rsidRPr="00D834D8">
              <w:rPr>
                <w:rFonts w:ascii="Times New Roman" w:hAnsi="Times New Roman" w:cs="Times New Roman"/>
                <w:bCs/>
                <w:sz w:val="24"/>
                <w:szCs w:val="24"/>
              </w:rPr>
              <w:t>1.</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5F9CE65A" w14:textId="321C13A5" w:rsidR="00EE7FBE" w:rsidRDefault="00EE7FBE" w:rsidP="00A848A2">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41. </w:t>
            </w:r>
            <w:r w:rsidRPr="00EE7FBE">
              <w:rPr>
                <w:rFonts w:ascii="Times New Roman" w:hAnsi="Times New Roman" w:cs="Times New Roman"/>
                <w:bCs/>
                <w:sz w:val="24"/>
                <w:szCs w:val="24"/>
              </w:rPr>
              <w:t>Piemērojot vienkāršoto metodi NILLTPF riska segšanai nepieciešamā kapitāla apmēra noteikšanai, kredītiestāde:</w:t>
            </w:r>
          </w:p>
          <w:p w14:paraId="71DF1F82" w14:textId="5844F1D5" w:rsidR="00EE7FBE" w:rsidRDefault="00EE7FBE" w:rsidP="00A848A2">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w:t>
            </w:r>
          </w:p>
          <w:p w14:paraId="42FF55C7" w14:textId="7C0279CE" w:rsidR="00D834D8" w:rsidRPr="00703FBF" w:rsidRDefault="00D834D8" w:rsidP="00A848A2">
            <w:pPr>
              <w:spacing w:line="240" w:lineRule="auto"/>
              <w:jc w:val="both"/>
              <w:rPr>
                <w:rFonts w:ascii="Times New Roman" w:hAnsi="Times New Roman" w:cs="Times New Roman"/>
                <w:bCs/>
                <w:sz w:val="24"/>
                <w:szCs w:val="24"/>
              </w:rPr>
            </w:pPr>
            <w:r w:rsidRPr="00703FBF">
              <w:rPr>
                <w:rFonts w:ascii="Times New Roman" w:hAnsi="Times New Roman" w:cs="Times New Roman"/>
                <w:bCs/>
                <w:sz w:val="24"/>
                <w:szCs w:val="24"/>
              </w:rPr>
              <w:t>41.2.</w:t>
            </w:r>
            <w:r w:rsidR="00F33AA2">
              <w:rPr>
                <w:rFonts w:ascii="Times New Roman" w:hAnsi="Times New Roman" w:cs="Times New Roman"/>
                <w:bCs/>
                <w:sz w:val="24"/>
                <w:szCs w:val="24"/>
              </w:rPr>
              <w:t> </w:t>
            </w:r>
            <w:r w:rsidRPr="00703FBF">
              <w:rPr>
                <w:rFonts w:ascii="Times New Roman" w:hAnsi="Times New Roman" w:cs="Times New Roman"/>
                <w:bCs/>
                <w:sz w:val="24"/>
                <w:szCs w:val="24"/>
              </w:rPr>
              <w:t>nosaka piemērojamo procentu likmi, izmantojot šo noteikumu 3.</w:t>
            </w:r>
            <w:r w:rsidR="00F33AA2">
              <w:rPr>
                <w:rFonts w:ascii="Times New Roman" w:hAnsi="Times New Roman" w:cs="Times New Roman"/>
                <w:bCs/>
                <w:sz w:val="24"/>
                <w:szCs w:val="24"/>
              </w:rPr>
              <w:t> </w:t>
            </w:r>
            <w:r w:rsidRPr="00703FBF">
              <w:rPr>
                <w:rFonts w:ascii="Times New Roman" w:hAnsi="Times New Roman" w:cs="Times New Roman"/>
                <w:bCs/>
                <w:sz w:val="24"/>
                <w:szCs w:val="24"/>
              </w:rPr>
              <w:t>pielikuma 4.</w:t>
            </w:r>
            <w:r w:rsidR="00F33AA2">
              <w:rPr>
                <w:rFonts w:ascii="Times New Roman" w:hAnsi="Times New Roman" w:cs="Times New Roman"/>
                <w:bCs/>
                <w:sz w:val="24"/>
                <w:szCs w:val="24"/>
              </w:rPr>
              <w:t> </w:t>
            </w:r>
            <w:r w:rsidRPr="00703FBF">
              <w:rPr>
                <w:rFonts w:ascii="Times New Roman" w:hAnsi="Times New Roman" w:cs="Times New Roman"/>
                <w:bCs/>
                <w:sz w:val="24"/>
                <w:szCs w:val="24"/>
              </w:rPr>
              <w:t>tabulā "NILLTPF riska segšanai nepieciešamā kapitāla apmērs" ietvertos rādītājus Latvijas Bankas noteiktajam NILLTPF riska novērtējumam pēdējā uzraudzības pārbaudes un novērtēšanas procesā un nepieciešamā kapitāla apmēram;</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588A9346" w14:textId="2F8AC75C" w:rsidR="00D834D8" w:rsidRPr="00D834D8" w:rsidRDefault="00A848A2" w:rsidP="00345994">
            <w:pPr>
              <w:pStyle w:val="Default"/>
              <w:jc w:val="both"/>
              <w:rPr>
                <w:rFonts w:ascii="Times New Roman" w:hAnsi="Times New Roman" w:cs="Times New Roman"/>
              </w:rPr>
            </w:pPr>
            <w:r w:rsidRPr="00A848A2">
              <w:rPr>
                <w:rFonts w:ascii="Times New Roman" w:hAnsi="Times New Roman" w:cs="Times New Roman"/>
                <w:b/>
                <w:bCs/>
              </w:rPr>
              <w:t>AS INDEXO Banka:</w:t>
            </w:r>
            <w:r>
              <w:rPr>
                <w:rFonts w:ascii="Times New Roman" w:hAnsi="Times New Roman" w:cs="Times New Roman"/>
              </w:rPr>
              <w:t xml:space="preserve"> </w:t>
            </w:r>
            <w:r w:rsidR="00D834D8" w:rsidRPr="00D834D8">
              <w:rPr>
                <w:rFonts w:ascii="Times New Roman" w:hAnsi="Times New Roman" w:cs="Times New Roman"/>
              </w:rPr>
              <w:t>Saskaņā ar 3.3.3. sadaļu, lai noteiktu NILLTPF riska segšanai nepieciešamā kapitāla apmēru, piemērojot vienkāršoto metodi, kredītiestāde nosaka kopējo gada apgrozījumu, ko reizina ar procentu likmi, kura ir atkarīga no Latvijas Bankas NILLTPF riska novērtējuma pēdējā uzraudzības pārbaudes un novērtēšanas procesā un nepieciešamā kapitāla apmēra.</w:t>
            </w:r>
          </w:p>
          <w:p w14:paraId="5740D86B" w14:textId="77777777" w:rsidR="00D834D8" w:rsidRPr="00D834D8" w:rsidRDefault="00D834D8" w:rsidP="00A848A2">
            <w:pPr>
              <w:spacing w:line="240" w:lineRule="auto"/>
              <w:jc w:val="both"/>
              <w:rPr>
                <w:rFonts w:ascii="Times New Roman" w:hAnsi="Times New Roman" w:cs="Times New Roman"/>
                <w:bCs/>
                <w:sz w:val="24"/>
                <w:szCs w:val="24"/>
              </w:rPr>
            </w:pPr>
            <w:r w:rsidRPr="00D834D8">
              <w:rPr>
                <w:rFonts w:ascii="Times New Roman" w:hAnsi="Times New Roman" w:cs="Times New Roman"/>
                <w:sz w:val="24"/>
                <w:szCs w:val="24"/>
              </w:rPr>
              <w:t>Nepieciešams LB skaidrojums, kā rīkoties kredītiestādei, kas strādā mazāk kā gadu un tai nav Latvijas Bankas NILLTPF riska novērtējums.</w:t>
            </w:r>
            <w:r w:rsidRPr="00D834D8">
              <w:rPr>
                <w:rFonts w:ascii="Times New Roman" w:hAnsi="Times New Roman" w:cs="Times New Roman"/>
                <w:bCs/>
                <w:sz w:val="24"/>
                <w:szCs w:val="24"/>
              </w:rPr>
              <w:t xml:space="preserve"> </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3D5717F0" w14:textId="3399EEC0" w:rsidR="00DD5567" w:rsidRDefault="00DD5567" w:rsidP="00A848A2">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Noteikumu projekta 14.</w:t>
            </w:r>
            <w:r w:rsidR="00AA6530">
              <w:rPr>
                <w:rFonts w:ascii="Times New Roman" w:hAnsi="Times New Roman" w:cs="Times New Roman"/>
                <w:bCs/>
                <w:iCs/>
                <w:sz w:val="24"/>
                <w:szCs w:val="24"/>
              </w:rPr>
              <w:t> </w:t>
            </w:r>
            <w:r>
              <w:rPr>
                <w:rFonts w:ascii="Times New Roman" w:hAnsi="Times New Roman" w:cs="Times New Roman"/>
                <w:bCs/>
                <w:iCs/>
                <w:sz w:val="24"/>
                <w:szCs w:val="24"/>
              </w:rPr>
              <w:t>punkts paredz, ka</w:t>
            </w:r>
            <w:r w:rsidR="00AA6530">
              <w:rPr>
                <w:rFonts w:ascii="Times New Roman" w:hAnsi="Times New Roman" w:cs="Times New Roman"/>
                <w:bCs/>
                <w:iCs/>
                <w:sz w:val="24"/>
                <w:szCs w:val="24"/>
              </w:rPr>
              <w:t xml:space="preserve"> k</w:t>
            </w:r>
            <w:r w:rsidR="00AA6530" w:rsidRPr="00AA6530">
              <w:rPr>
                <w:rFonts w:ascii="Times New Roman" w:hAnsi="Times New Roman" w:cs="Times New Roman"/>
                <w:bCs/>
                <w:iCs/>
                <w:sz w:val="24"/>
                <w:szCs w:val="24"/>
              </w:rPr>
              <w:t>redītiestāde kapitāla pietiekamības novērtēšanas procesā risku, kuriem Eiropas Parlamenta un Padomes 2013.</w:t>
            </w:r>
            <w:r w:rsidR="00AA6530">
              <w:rPr>
                <w:rFonts w:ascii="Times New Roman" w:hAnsi="Times New Roman" w:cs="Times New Roman"/>
                <w:bCs/>
                <w:iCs/>
                <w:sz w:val="24"/>
                <w:szCs w:val="24"/>
              </w:rPr>
              <w:t> </w:t>
            </w:r>
            <w:r w:rsidR="00AA6530" w:rsidRPr="00AA6530">
              <w:rPr>
                <w:rFonts w:ascii="Times New Roman" w:hAnsi="Times New Roman" w:cs="Times New Roman"/>
                <w:bCs/>
                <w:iCs/>
                <w:sz w:val="24"/>
                <w:szCs w:val="24"/>
              </w:rPr>
              <w:t>gada 26.</w:t>
            </w:r>
            <w:r w:rsidR="00AA6530">
              <w:rPr>
                <w:rFonts w:ascii="Times New Roman" w:hAnsi="Times New Roman" w:cs="Times New Roman"/>
                <w:bCs/>
                <w:iCs/>
                <w:sz w:val="24"/>
                <w:szCs w:val="24"/>
              </w:rPr>
              <w:t> </w:t>
            </w:r>
            <w:r w:rsidR="00AA6530" w:rsidRPr="00AA6530">
              <w:rPr>
                <w:rFonts w:ascii="Times New Roman" w:hAnsi="Times New Roman" w:cs="Times New Roman"/>
                <w:bCs/>
                <w:iCs/>
                <w:sz w:val="24"/>
                <w:szCs w:val="24"/>
              </w:rPr>
              <w:t>jūnija regula (ES) Nr.</w:t>
            </w:r>
            <w:r w:rsidR="00AA6530">
              <w:rPr>
                <w:rFonts w:ascii="Times New Roman" w:hAnsi="Times New Roman" w:cs="Times New Roman"/>
                <w:bCs/>
                <w:iCs/>
                <w:sz w:val="24"/>
                <w:szCs w:val="24"/>
              </w:rPr>
              <w:t> </w:t>
            </w:r>
            <w:r w:rsidR="00AA6530" w:rsidRPr="00AA6530">
              <w:rPr>
                <w:rFonts w:ascii="Times New Roman" w:hAnsi="Times New Roman" w:cs="Times New Roman"/>
                <w:bCs/>
                <w:iCs/>
                <w:sz w:val="24"/>
                <w:szCs w:val="24"/>
              </w:rPr>
              <w:t>575/2013 par prudenciālajām prasībām attiecībā uz kredītiestādēm, un ar ko groza regulu (ES) Nr.</w:t>
            </w:r>
            <w:r w:rsidR="00AA6530">
              <w:rPr>
                <w:rFonts w:ascii="Times New Roman" w:hAnsi="Times New Roman" w:cs="Times New Roman"/>
                <w:bCs/>
                <w:iCs/>
                <w:sz w:val="24"/>
                <w:szCs w:val="24"/>
              </w:rPr>
              <w:t> </w:t>
            </w:r>
            <w:r w:rsidR="00AA6530" w:rsidRPr="00AA6530">
              <w:rPr>
                <w:rFonts w:ascii="Times New Roman" w:hAnsi="Times New Roman" w:cs="Times New Roman"/>
                <w:bCs/>
                <w:iCs/>
                <w:sz w:val="24"/>
                <w:szCs w:val="24"/>
              </w:rPr>
              <w:t>648/2012 (turpmāk</w:t>
            </w:r>
            <w:r w:rsidR="00AA6530">
              <w:rPr>
                <w:rFonts w:ascii="Times New Roman" w:hAnsi="Times New Roman" w:cs="Times New Roman"/>
                <w:bCs/>
                <w:iCs/>
                <w:sz w:val="24"/>
                <w:szCs w:val="24"/>
              </w:rPr>
              <w:t> </w:t>
            </w:r>
            <w:r w:rsidR="00AA6530" w:rsidRPr="00AA6530">
              <w:rPr>
                <w:rFonts w:ascii="Times New Roman" w:hAnsi="Times New Roman" w:cs="Times New Roman"/>
                <w:bCs/>
                <w:iCs/>
                <w:sz w:val="24"/>
                <w:szCs w:val="24"/>
              </w:rPr>
              <w:t>– Regula Nr.</w:t>
            </w:r>
            <w:r w:rsidR="00AA6530">
              <w:rPr>
                <w:rFonts w:ascii="Times New Roman" w:hAnsi="Times New Roman" w:cs="Times New Roman"/>
                <w:bCs/>
                <w:iCs/>
                <w:sz w:val="24"/>
                <w:szCs w:val="24"/>
              </w:rPr>
              <w:t> </w:t>
            </w:r>
            <w:r w:rsidR="00AA6530" w:rsidRPr="00AA6530">
              <w:rPr>
                <w:rFonts w:ascii="Times New Roman" w:hAnsi="Times New Roman" w:cs="Times New Roman"/>
                <w:bCs/>
                <w:iCs/>
                <w:sz w:val="24"/>
                <w:szCs w:val="24"/>
              </w:rPr>
              <w:t xml:space="preserve">575/2013) nenosaka pašu kapitāla prasības, segšanai nepieciešamā kapitāla apmēra noteikšanai var izmantot noteikumu </w:t>
            </w:r>
            <w:r w:rsidR="00AA6530">
              <w:rPr>
                <w:rFonts w:ascii="Times New Roman" w:hAnsi="Times New Roman" w:cs="Times New Roman"/>
                <w:bCs/>
                <w:iCs/>
                <w:sz w:val="24"/>
                <w:szCs w:val="24"/>
              </w:rPr>
              <w:t xml:space="preserve">projekta </w:t>
            </w:r>
            <w:r w:rsidR="00AA6530" w:rsidRPr="00AA6530">
              <w:rPr>
                <w:rFonts w:ascii="Times New Roman" w:hAnsi="Times New Roman" w:cs="Times New Roman"/>
                <w:bCs/>
                <w:iCs/>
                <w:sz w:val="24"/>
                <w:szCs w:val="24"/>
              </w:rPr>
              <w:t>3.3.</w:t>
            </w:r>
            <w:r w:rsidR="00AA6530">
              <w:rPr>
                <w:rFonts w:ascii="Times New Roman" w:hAnsi="Times New Roman" w:cs="Times New Roman"/>
                <w:bCs/>
                <w:iCs/>
                <w:sz w:val="24"/>
                <w:szCs w:val="24"/>
              </w:rPr>
              <w:t> </w:t>
            </w:r>
            <w:r w:rsidR="00AA6530" w:rsidRPr="00AA6530">
              <w:rPr>
                <w:rFonts w:ascii="Times New Roman" w:hAnsi="Times New Roman" w:cs="Times New Roman"/>
                <w:bCs/>
                <w:iCs/>
                <w:sz w:val="24"/>
                <w:szCs w:val="24"/>
              </w:rPr>
              <w:t>apakšnodaļā aprakstītās vienkāršotās metodes vai pašas izstrādātus un tās darbībai un riska profilam pielāgotus iekšējos modeļus, metodes vai pieejas.</w:t>
            </w:r>
          </w:p>
          <w:p w14:paraId="7379434B" w14:textId="1DE759DF" w:rsidR="00D834D8" w:rsidRPr="00D834D8" w:rsidRDefault="00AA6530" w:rsidP="00A848A2">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Ņemot vērā minēto, k</w:t>
            </w:r>
            <w:r w:rsidRPr="00D834D8">
              <w:rPr>
                <w:rFonts w:ascii="Times New Roman" w:hAnsi="Times New Roman" w:cs="Times New Roman"/>
                <w:bCs/>
                <w:iCs/>
                <w:sz w:val="24"/>
                <w:szCs w:val="24"/>
              </w:rPr>
              <w:t>redītiestāde</w:t>
            </w:r>
            <w:r w:rsidR="00D834D8" w:rsidRPr="00D834D8">
              <w:rPr>
                <w:rFonts w:ascii="Times New Roman" w:hAnsi="Times New Roman" w:cs="Times New Roman"/>
                <w:bCs/>
                <w:iCs/>
                <w:sz w:val="24"/>
                <w:szCs w:val="24"/>
              </w:rPr>
              <w:t xml:space="preserve">, kurai Latvijas Banka </w:t>
            </w:r>
            <w:r w:rsidR="002B447E" w:rsidRPr="00D834D8">
              <w:rPr>
                <w:rFonts w:ascii="Times New Roman" w:hAnsi="Times New Roman" w:cs="Times New Roman"/>
                <w:bCs/>
                <w:iCs/>
                <w:sz w:val="24"/>
                <w:szCs w:val="24"/>
              </w:rPr>
              <w:t xml:space="preserve">uzraudzības pārbaudes un novērtēšanas procesā </w:t>
            </w:r>
            <w:r w:rsidR="00D834D8" w:rsidRPr="00D834D8">
              <w:rPr>
                <w:rFonts w:ascii="Times New Roman" w:hAnsi="Times New Roman" w:cs="Times New Roman"/>
                <w:bCs/>
                <w:iCs/>
                <w:sz w:val="24"/>
                <w:szCs w:val="24"/>
              </w:rPr>
              <w:t xml:space="preserve">nav noteikusi NILLTPF riska novērtējumu, var izstrādāt </w:t>
            </w:r>
            <w:r w:rsidR="00D834D8" w:rsidRPr="00D834D8">
              <w:rPr>
                <w:rFonts w:ascii="Times New Roman" w:hAnsi="Times New Roman" w:cs="Times New Roman"/>
                <w:bCs/>
                <w:iCs/>
                <w:sz w:val="24"/>
                <w:szCs w:val="24"/>
              </w:rPr>
              <w:lastRenderedPageBreak/>
              <w:t>noteikumu projekta 41. punktā minētajai vienkāršotajai pieejai līdzīgu pieeju, piemēram, nosakot kopējo gada apgrozījumu saskaņā ar noteikumu projekta 41.1.</w:t>
            </w:r>
            <w:r w:rsidR="00587164">
              <w:rPr>
                <w:rFonts w:ascii="Times New Roman" w:hAnsi="Times New Roman" w:cs="Times New Roman"/>
                <w:bCs/>
                <w:iCs/>
                <w:sz w:val="24"/>
                <w:szCs w:val="24"/>
              </w:rPr>
              <w:t> </w:t>
            </w:r>
            <w:r w:rsidR="00D834D8" w:rsidRPr="00D834D8">
              <w:rPr>
                <w:rFonts w:ascii="Times New Roman" w:hAnsi="Times New Roman" w:cs="Times New Roman"/>
                <w:bCs/>
                <w:iCs/>
                <w:sz w:val="24"/>
                <w:szCs w:val="24"/>
              </w:rPr>
              <w:t xml:space="preserve">apakšpunktu un piemērojamo procentu likmi </w:t>
            </w:r>
            <w:r w:rsidR="00703FBF">
              <w:rPr>
                <w:rFonts w:ascii="Times New Roman" w:hAnsi="Times New Roman" w:cs="Times New Roman"/>
                <w:bCs/>
                <w:iCs/>
                <w:sz w:val="24"/>
                <w:szCs w:val="24"/>
              </w:rPr>
              <w:t>atbilstoši savam NILLTPF riska novērtējumam, to attiecīgi pamatojot pārskatā par kapitāla pietiekamības novērtēšanas procesu.</w:t>
            </w:r>
          </w:p>
        </w:tc>
      </w:tr>
      <w:tr w:rsidR="00D834D8" w:rsidRPr="00D834D8" w14:paraId="39D69541" w14:textId="77777777" w:rsidTr="008814FC">
        <w:tc>
          <w:tcPr>
            <w:tcW w:w="0" w:type="auto"/>
            <w:tcBorders>
              <w:top w:val="single" w:sz="4" w:space="0" w:color="auto"/>
              <w:left w:val="single" w:sz="4" w:space="0" w:color="auto"/>
              <w:bottom w:val="single" w:sz="4" w:space="0" w:color="auto"/>
              <w:right w:val="single" w:sz="4" w:space="0" w:color="auto"/>
            </w:tcBorders>
          </w:tcPr>
          <w:p w14:paraId="36BB7326" w14:textId="77777777" w:rsidR="00D834D8" w:rsidRPr="00D834D8" w:rsidRDefault="00D834D8" w:rsidP="00A848A2">
            <w:pPr>
              <w:spacing w:line="240" w:lineRule="auto"/>
              <w:jc w:val="center"/>
              <w:rPr>
                <w:rFonts w:ascii="Times New Roman" w:hAnsi="Times New Roman" w:cs="Times New Roman"/>
                <w:bCs/>
                <w:sz w:val="24"/>
                <w:szCs w:val="24"/>
              </w:rPr>
            </w:pPr>
            <w:r w:rsidRPr="00D834D8">
              <w:rPr>
                <w:rFonts w:ascii="Times New Roman" w:hAnsi="Times New Roman" w:cs="Times New Roman"/>
                <w:bCs/>
                <w:sz w:val="24"/>
                <w:szCs w:val="24"/>
              </w:rPr>
              <w:lastRenderedPageBreak/>
              <w:t>2.</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503D5677" w14:textId="4AFFA7D8" w:rsidR="00D834D8" w:rsidRPr="00F23FEF" w:rsidRDefault="00D834D8" w:rsidP="00A848A2">
            <w:pPr>
              <w:tabs>
                <w:tab w:val="left" w:pos="328"/>
                <w:tab w:val="left" w:pos="478"/>
                <w:tab w:val="left" w:pos="654"/>
              </w:tabs>
              <w:spacing w:line="240" w:lineRule="auto"/>
              <w:jc w:val="both"/>
              <w:rPr>
                <w:rFonts w:ascii="Times New Roman" w:hAnsi="Times New Roman" w:cs="Times New Roman"/>
                <w:bCs/>
                <w:sz w:val="24"/>
                <w:szCs w:val="24"/>
              </w:rPr>
            </w:pPr>
            <w:r w:rsidRPr="00F23FEF">
              <w:rPr>
                <w:rFonts w:ascii="Times New Roman" w:hAnsi="Times New Roman" w:cs="Times New Roman"/>
                <w:bCs/>
                <w:sz w:val="24"/>
                <w:szCs w:val="24"/>
              </w:rPr>
              <w:t>3.</w:t>
            </w:r>
            <w:r w:rsidR="00FF3D86">
              <w:rPr>
                <w:rFonts w:ascii="Times New Roman" w:hAnsi="Times New Roman" w:cs="Times New Roman"/>
                <w:bCs/>
                <w:sz w:val="24"/>
                <w:szCs w:val="24"/>
              </w:rPr>
              <w:t> </w:t>
            </w:r>
            <w:r w:rsidRPr="00F23FEF">
              <w:rPr>
                <w:rFonts w:ascii="Times New Roman" w:hAnsi="Times New Roman" w:cs="Times New Roman"/>
                <w:bCs/>
                <w:sz w:val="24"/>
                <w:szCs w:val="24"/>
              </w:rPr>
              <w:t>Kredītiestāde kapitāla pietiekamības novērtēšanas procesā nosaka pārmērīgas sviras RSNK apmēru un pārmērīgas sviras riska kapitāla rezervi paralēli VNK apmēra un papildu kapitāla rezerves noteikšanai un ņem vērā, ka kredītiestādes rīcībā esošo pašu kapitālu var izmantot, lai vienlaikus nodrošinātu gan VNK apmēra un papildu kapitāla rezerves kopsummu, gan pārmērīgas sviras RSNK apmēra un pārmērīgas sviras riska kapitāla rezerves kopsummu.</w:t>
            </w:r>
          </w:p>
          <w:p w14:paraId="762059D8" w14:textId="65C945C7" w:rsidR="00D834D8" w:rsidRPr="00F23FEF" w:rsidRDefault="00D834D8" w:rsidP="00A848A2">
            <w:pPr>
              <w:spacing w:line="240" w:lineRule="auto"/>
              <w:jc w:val="both"/>
              <w:rPr>
                <w:rFonts w:ascii="Times New Roman" w:hAnsi="Times New Roman" w:cs="Times New Roman"/>
                <w:bCs/>
                <w:sz w:val="24"/>
                <w:szCs w:val="24"/>
              </w:rPr>
            </w:pPr>
            <w:r w:rsidRPr="00F23FEF">
              <w:rPr>
                <w:rFonts w:ascii="Times New Roman" w:hAnsi="Times New Roman" w:cs="Times New Roman"/>
                <w:bCs/>
                <w:sz w:val="24"/>
                <w:szCs w:val="24"/>
              </w:rPr>
              <w:t>29.</w:t>
            </w:r>
            <w:r w:rsidR="00FF3D86">
              <w:rPr>
                <w:rFonts w:ascii="Times New Roman" w:hAnsi="Times New Roman" w:cs="Times New Roman"/>
                <w:bCs/>
                <w:sz w:val="24"/>
                <w:szCs w:val="24"/>
              </w:rPr>
              <w:t> </w:t>
            </w:r>
            <w:r w:rsidRPr="00F23FEF">
              <w:rPr>
                <w:rFonts w:ascii="Times New Roman" w:hAnsi="Times New Roman" w:cs="Times New Roman"/>
                <w:bCs/>
                <w:sz w:val="24"/>
                <w:szCs w:val="24"/>
              </w:rPr>
              <w:t>Kredītiestāde, izvērtējot saskaņā ar Regulu Nr.</w:t>
            </w:r>
            <w:r w:rsidR="00FF3D86">
              <w:rPr>
                <w:rFonts w:ascii="Times New Roman" w:hAnsi="Times New Roman" w:cs="Times New Roman"/>
                <w:bCs/>
                <w:sz w:val="24"/>
                <w:szCs w:val="24"/>
              </w:rPr>
              <w:t> </w:t>
            </w:r>
            <w:r w:rsidRPr="00F23FEF">
              <w:rPr>
                <w:rFonts w:ascii="Times New Roman" w:hAnsi="Times New Roman" w:cs="Times New Roman"/>
                <w:bCs/>
                <w:sz w:val="24"/>
                <w:szCs w:val="24"/>
              </w:rPr>
              <w:t>575/2013 aprēķinātā sviras rādītāja izpildei nepieciešamā pašu kapitāla prasības apmēra pietiekamību tās darbībai piemītošā pārmērīgas sviras riska segšanai, analizē savu pakļautību pārmērīgas sviras riskam un šā riska novērtējumā ņem vērā vismaz:</w:t>
            </w:r>
          </w:p>
          <w:p w14:paraId="5223BB2A" w14:textId="36F18DDA" w:rsidR="00D834D8" w:rsidRPr="00F23FEF" w:rsidRDefault="00FF3D86" w:rsidP="00A848A2">
            <w:pPr>
              <w:tabs>
                <w:tab w:val="left" w:pos="328"/>
                <w:tab w:val="left" w:pos="478"/>
                <w:tab w:val="left" w:pos="654"/>
              </w:tabs>
              <w:spacing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w:t>
            </w:r>
          </w:p>
          <w:p w14:paraId="3FD0124D" w14:textId="25C36301" w:rsidR="00D834D8" w:rsidRPr="00F23FEF" w:rsidRDefault="00D834D8" w:rsidP="00A848A2">
            <w:pPr>
              <w:tabs>
                <w:tab w:val="left" w:pos="328"/>
                <w:tab w:val="left" w:pos="478"/>
                <w:tab w:val="left" w:pos="654"/>
              </w:tabs>
              <w:spacing w:line="240" w:lineRule="auto"/>
              <w:jc w:val="both"/>
              <w:rPr>
                <w:rFonts w:ascii="Times New Roman" w:hAnsi="Times New Roman" w:cs="Times New Roman"/>
                <w:bCs/>
                <w:sz w:val="24"/>
                <w:szCs w:val="24"/>
                <w:highlight w:val="green"/>
              </w:rPr>
            </w:pPr>
            <w:r w:rsidRPr="00F23FEF">
              <w:rPr>
                <w:rFonts w:ascii="Times New Roman" w:hAnsi="Times New Roman" w:cs="Times New Roman"/>
                <w:bCs/>
                <w:sz w:val="24"/>
                <w:szCs w:val="24"/>
              </w:rPr>
              <w:t>29.2.</w:t>
            </w:r>
            <w:r w:rsidR="00FF3D86">
              <w:rPr>
                <w:rFonts w:ascii="Times New Roman" w:hAnsi="Times New Roman" w:cs="Times New Roman"/>
                <w:bCs/>
                <w:sz w:val="24"/>
                <w:szCs w:val="24"/>
              </w:rPr>
              <w:t> </w:t>
            </w:r>
            <w:r w:rsidRPr="00F23FEF">
              <w:rPr>
                <w:rFonts w:ascii="Times New Roman" w:hAnsi="Times New Roman" w:cs="Times New Roman"/>
                <w:bCs/>
                <w:sz w:val="24"/>
                <w:szCs w:val="24"/>
              </w:rPr>
              <w:t>kredītiestādes sviras rādītāju un to, kā sviras rādītājs un KDV mērs ir mainījies pēdējo triju gadu laikā, lai identificētu tādu iespējamo būtisku KDV mēra pieaugumu, kas rada kredītiestādei pārmērīgas sviras risku;</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2C5AD7DC" w14:textId="1E0CAE10" w:rsidR="00D834D8" w:rsidRPr="00D834D8" w:rsidRDefault="00A848A2" w:rsidP="00A848A2">
            <w:pPr>
              <w:spacing w:line="240" w:lineRule="auto"/>
              <w:jc w:val="both"/>
              <w:rPr>
                <w:rFonts w:ascii="Times New Roman" w:hAnsi="Times New Roman" w:cs="Times New Roman"/>
                <w:bCs/>
                <w:sz w:val="24"/>
                <w:szCs w:val="24"/>
              </w:rPr>
            </w:pPr>
            <w:r w:rsidRPr="00A848A2">
              <w:rPr>
                <w:rFonts w:ascii="Times New Roman" w:hAnsi="Times New Roman" w:cs="Times New Roman"/>
                <w:b/>
                <w:sz w:val="24"/>
                <w:szCs w:val="24"/>
              </w:rPr>
              <w:lastRenderedPageBreak/>
              <w:t>AS INDEXO Banka:</w:t>
            </w:r>
            <w:r>
              <w:rPr>
                <w:rFonts w:ascii="Times New Roman" w:hAnsi="Times New Roman" w:cs="Times New Roman"/>
                <w:bCs/>
                <w:sz w:val="24"/>
                <w:szCs w:val="24"/>
              </w:rPr>
              <w:t xml:space="preserve"> </w:t>
            </w:r>
            <w:r w:rsidR="00D834D8" w:rsidRPr="00D834D8">
              <w:rPr>
                <w:rFonts w:ascii="Times New Roman" w:hAnsi="Times New Roman" w:cs="Times New Roman"/>
                <w:bCs/>
                <w:sz w:val="24"/>
                <w:szCs w:val="24"/>
              </w:rPr>
              <w:t xml:space="preserve">Saskaņā ar 3. pantu, kredītiestāde, veicot pārmērīgas sviras riska novērtējumu, </w:t>
            </w:r>
            <w:r w:rsidR="00682436" w:rsidRPr="00D834D8">
              <w:rPr>
                <w:rFonts w:ascii="Times New Roman" w:hAnsi="Times New Roman" w:cs="Times New Roman"/>
                <w:bCs/>
                <w:sz w:val="24"/>
                <w:szCs w:val="24"/>
              </w:rPr>
              <w:t>anal</w:t>
            </w:r>
            <w:r w:rsidR="00682436">
              <w:rPr>
                <w:rFonts w:ascii="Times New Roman" w:hAnsi="Times New Roman" w:cs="Times New Roman"/>
                <w:bCs/>
                <w:sz w:val="24"/>
                <w:szCs w:val="24"/>
              </w:rPr>
              <w:t>i</w:t>
            </w:r>
            <w:r w:rsidR="00682436" w:rsidRPr="00D834D8">
              <w:rPr>
                <w:rFonts w:ascii="Times New Roman" w:hAnsi="Times New Roman" w:cs="Times New Roman"/>
                <w:bCs/>
                <w:sz w:val="24"/>
                <w:szCs w:val="24"/>
              </w:rPr>
              <w:t>zē</w:t>
            </w:r>
            <w:r w:rsidR="00D834D8" w:rsidRPr="00D834D8">
              <w:rPr>
                <w:rFonts w:ascii="Times New Roman" w:hAnsi="Times New Roman" w:cs="Times New Roman"/>
                <w:bCs/>
                <w:sz w:val="24"/>
                <w:szCs w:val="24"/>
              </w:rPr>
              <w:t>, vai ir vērojams kopējā riska darījumu vērtības mēra pieaugums iepriekšējos trīs gados.</w:t>
            </w:r>
          </w:p>
          <w:p w14:paraId="3417DC21" w14:textId="77777777" w:rsidR="00D834D8" w:rsidRPr="00D834D8" w:rsidRDefault="00D834D8" w:rsidP="00A848A2">
            <w:pPr>
              <w:spacing w:line="240" w:lineRule="auto"/>
              <w:jc w:val="both"/>
              <w:rPr>
                <w:rFonts w:ascii="Times New Roman" w:hAnsi="Times New Roman" w:cs="Times New Roman"/>
                <w:bCs/>
                <w:sz w:val="24"/>
                <w:szCs w:val="24"/>
              </w:rPr>
            </w:pPr>
            <w:r w:rsidRPr="00D834D8">
              <w:rPr>
                <w:rFonts w:ascii="Times New Roman" w:hAnsi="Times New Roman" w:cs="Times New Roman"/>
                <w:bCs/>
                <w:sz w:val="24"/>
                <w:szCs w:val="24"/>
              </w:rPr>
              <w:t>Nepieciešams LB skaidrojums kā rīkoties kredītiestādei, kas strādā mazāk kā gadu.</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1264A33A" w14:textId="07A43BD6" w:rsidR="00D834D8" w:rsidRPr="00D834D8" w:rsidRDefault="00D834D8" w:rsidP="00A848A2">
            <w:pPr>
              <w:spacing w:line="240" w:lineRule="auto"/>
              <w:jc w:val="both"/>
              <w:rPr>
                <w:rFonts w:ascii="Times New Roman" w:hAnsi="Times New Roman" w:cs="Times New Roman"/>
                <w:bCs/>
                <w:iCs/>
                <w:sz w:val="24"/>
                <w:szCs w:val="24"/>
              </w:rPr>
            </w:pPr>
            <w:r w:rsidRPr="00D834D8">
              <w:rPr>
                <w:rFonts w:ascii="Times New Roman" w:hAnsi="Times New Roman" w:cs="Times New Roman"/>
                <w:bCs/>
                <w:iCs/>
                <w:sz w:val="24"/>
                <w:szCs w:val="24"/>
              </w:rPr>
              <w:t>Kredītiestāde, kura strādā mazāk nekā gadu un k</w:t>
            </w:r>
            <w:r w:rsidR="00E62586">
              <w:rPr>
                <w:rFonts w:ascii="Times New Roman" w:hAnsi="Times New Roman" w:cs="Times New Roman"/>
                <w:bCs/>
                <w:iCs/>
                <w:sz w:val="24"/>
                <w:szCs w:val="24"/>
              </w:rPr>
              <w:t>ura</w:t>
            </w:r>
            <w:r w:rsidRPr="00D834D8">
              <w:rPr>
                <w:rFonts w:ascii="Times New Roman" w:hAnsi="Times New Roman" w:cs="Times New Roman"/>
                <w:bCs/>
                <w:iCs/>
                <w:sz w:val="24"/>
                <w:szCs w:val="24"/>
              </w:rPr>
              <w:t xml:space="preserve"> saskaņā ar noteikumu projekta 29. un 30. punktu </w:t>
            </w:r>
            <w:r w:rsidR="00345994" w:rsidRPr="00D834D8">
              <w:rPr>
                <w:rFonts w:ascii="Times New Roman" w:hAnsi="Times New Roman" w:cs="Times New Roman"/>
                <w:bCs/>
                <w:iCs/>
                <w:sz w:val="24"/>
                <w:szCs w:val="24"/>
              </w:rPr>
              <w:t xml:space="preserve">veic </w:t>
            </w:r>
            <w:r w:rsidRPr="00D834D8">
              <w:rPr>
                <w:rFonts w:ascii="Times New Roman" w:hAnsi="Times New Roman" w:cs="Times New Roman"/>
                <w:bCs/>
                <w:iCs/>
                <w:sz w:val="24"/>
                <w:szCs w:val="24"/>
              </w:rPr>
              <w:t>pārmērīgas sviras riska novērtējumu, lai noteiktu pārmērīgas sviras riska segšanai nepieciešamā kapitāla apmēru atbilstoši noteikumu projekta 3. punktam, neanalizē kopējā riska darījumu vērtības mēra pieaugumu iepriekšējos trīs gados, kas paredzēts noteikumu projekta 29.2. apakšpunktā,</w:t>
            </w:r>
            <w:r w:rsidRPr="00D834D8">
              <w:rPr>
                <w:rFonts w:ascii="Times New Roman" w:hAnsi="Times New Roman" w:cs="Times New Roman"/>
                <w:sz w:val="24"/>
                <w:szCs w:val="24"/>
              </w:rPr>
              <w:t xml:space="preserve"> jo tā nav nostrādājusi pilnus trīs gadus, </w:t>
            </w:r>
            <w:r w:rsidRPr="00D834D8">
              <w:rPr>
                <w:rFonts w:ascii="Times New Roman" w:hAnsi="Times New Roman" w:cs="Times New Roman"/>
                <w:bCs/>
                <w:iCs/>
                <w:sz w:val="24"/>
                <w:szCs w:val="24"/>
              </w:rPr>
              <w:t>un</w:t>
            </w:r>
            <w:r w:rsidRPr="00D834D8">
              <w:rPr>
                <w:rFonts w:ascii="Times New Roman" w:hAnsi="Times New Roman" w:cs="Times New Roman"/>
                <w:sz w:val="24"/>
                <w:szCs w:val="24"/>
              </w:rPr>
              <w:t xml:space="preserve"> iekļauj attiecīgo skaidrojumu pārskatā par kapitāla pietiekamības novērtēšanas procesu</w:t>
            </w:r>
            <w:r w:rsidRPr="00D834D8">
              <w:rPr>
                <w:rFonts w:ascii="Times New Roman" w:hAnsi="Times New Roman" w:cs="Times New Roman"/>
                <w:bCs/>
                <w:iCs/>
                <w:sz w:val="24"/>
                <w:szCs w:val="24"/>
              </w:rPr>
              <w:t>. Noteikumu projekta 29.2. apakšpunktā minēto izvērtējumu kredītiestāde sāk veikt, līdzko ir pieejami dati par pēdējiem trīs darbības gadiem.</w:t>
            </w:r>
          </w:p>
        </w:tc>
      </w:tr>
      <w:tr w:rsidR="00D834D8" w:rsidRPr="00D834D8" w14:paraId="6A073DDE" w14:textId="77777777" w:rsidTr="008814FC">
        <w:tc>
          <w:tcPr>
            <w:tcW w:w="0" w:type="auto"/>
            <w:tcBorders>
              <w:top w:val="single" w:sz="4" w:space="0" w:color="auto"/>
              <w:left w:val="single" w:sz="4" w:space="0" w:color="auto"/>
              <w:bottom w:val="single" w:sz="4" w:space="0" w:color="auto"/>
              <w:right w:val="single" w:sz="4" w:space="0" w:color="auto"/>
            </w:tcBorders>
          </w:tcPr>
          <w:p w14:paraId="7828A664" w14:textId="77777777" w:rsidR="00D834D8" w:rsidRPr="00D834D8" w:rsidRDefault="00D834D8" w:rsidP="00A848A2">
            <w:pPr>
              <w:spacing w:line="240" w:lineRule="auto"/>
              <w:jc w:val="center"/>
              <w:rPr>
                <w:rFonts w:ascii="Times New Roman" w:hAnsi="Times New Roman" w:cs="Times New Roman"/>
                <w:bCs/>
                <w:sz w:val="24"/>
                <w:szCs w:val="24"/>
              </w:rPr>
            </w:pPr>
            <w:r w:rsidRPr="00D834D8">
              <w:rPr>
                <w:rFonts w:ascii="Times New Roman" w:hAnsi="Times New Roman" w:cs="Times New Roman"/>
                <w:bCs/>
                <w:sz w:val="24"/>
                <w:szCs w:val="24"/>
              </w:rPr>
              <w:t>3.</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4A844AFB" w14:textId="23E57908" w:rsidR="00D834D8" w:rsidRPr="0034139D" w:rsidRDefault="00D834D8" w:rsidP="00A848A2">
            <w:pPr>
              <w:tabs>
                <w:tab w:val="left" w:pos="345"/>
              </w:tabs>
              <w:spacing w:line="240" w:lineRule="auto"/>
              <w:ind w:hanging="11"/>
              <w:jc w:val="both"/>
              <w:rPr>
                <w:rFonts w:ascii="Times New Roman" w:hAnsi="Times New Roman" w:cs="Times New Roman"/>
                <w:bCs/>
                <w:sz w:val="24"/>
                <w:szCs w:val="24"/>
              </w:rPr>
            </w:pPr>
            <w:r w:rsidRPr="0034139D">
              <w:rPr>
                <w:rFonts w:ascii="Times New Roman" w:hAnsi="Times New Roman" w:cs="Times New Roman"/>
                <w:bCs/>
                <w:sz w:val="24"/>
                <w:szCs w:val="24"/>
              </w:rPr>
              <w:t>5.</w:t>
            </w:r>
            <w:r w:rsidR="00FF3D86">
              <w:rPr>
                <w:rFonts w:ascii="Times New Roman" w:hAnsi="Times New Roman" w:cs="Times New Roman"/>
                <w:bCs/>
                <w:sz w:val="24"/>
                <w:szCs w:val="24"/>
              </w:rPr>
              <w:t> </w:t>
            </w:r>
            <w:r w:rsidRPr="0034139D">
              <w:rPr>
                <w:rFonts w:ascii="Times New Roman" w:hAnsi="Times New Roman" w:cs="Times New Roman"/>
                <w:bCs/>
                <w:sz w:val="24"/>
                <w:szCs w:val="24"/>
              </w:rPr>
              <w:t>Kredītiestāde regulāri, bet ne retāk kā reizi gadā veic kapitāla pietiekamības novērtēšanas procesu, kas ietver tās darbības nodrošināšanai nepieciešamā kapitāla apmēra pietiekamības novērtēšanu. Par kapitāla pietiekamības novērtēšanas procesa atskaites, tai skaitā visu novērtējumu un aprēķinu veikšanas, datumu nosaka pārskata gada beigu datumu.</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503D5460" w14:textId="6F76815F" w:rsidR="00D834D8" w:rsidRPr="00D834D8" w:rsidRDefault="00A848A2" w:rsidP="00A848A2">
            <w:pPr>
              <w:spacing w:line="240" w:lineRule="auto"/>
              <w:jc w:val="both"/>
              <w:rPr>
                <w:rFonts w:ascii="Times New Roman" w:hAnsi="Times New Roman" w:cs="Times New Roman"/>
                <w:bCs/>
                <w:sz w:val="24"/>
                <w:szCs w:val="24"/>
              </w:rPr>
            </w:pPr>
            <w:bookmarkStart w:id="3" w:name="_Hlk175733189"/>
            <w:r w:rsidRPr="00A848A2">
              <w:rPr>
                <w:rFonts w:ascii="Times New Roman" w:hAnsi="Times New Roman" w:cs="Times New Roman"/>
                <w:b/>
                <w:sz w:val="24"/>
                <w:szCs w:val="24"/>
              </w:rPr>
              <w:t>AS INDEXO Banka:</w:t>
            </w:r>
            <w:r>
              <w:rPr>
                <w:rFonts w:ascii="Times New Roman" w:hAnsi="Times New Roman" w:cs="Times New Roman"/>
                <w:bCs/>
                <w:sz w:val="24"/>
                <w:szCs w:val="24"/>
              </w:rPr>
              <w:t xml:space="preserve"> </w:t>
            </w:r>
            <w:r w:rsidR="00D834D8" w:rsidRPr="00D834D8">
              <w:rPr>
                <w:rFonts w:ascii="Times New Roman" w:hAnsi="Times New Roman" w:cs="Times New Roman"/>
                <w:bCs/>
                <w:sz w:val="24"/>
                <w:szCs w:val="24"/>
              </w:rPr>
              <w:t>Saskaņā ar 5.</w:t>
            </w:r>
            <w:r w:rsidR="00FF3D86">
              <w:rPr>
                <w:rFonts w:ascii="Times New Roman" w:hAnsi="Times New Roman" w:cs="Times New Roman"/>
                <w:bCs/>
                <w:sz w:val="24"/>
                <w:szCs w:val="24"/>
              </w:rPr>
              <w:t> </w:t>
            </w:r>
            <w:r w:rsidR="00D834D8" w:rsidRPr="00D834D8">
              <w:rPr>
                <w:rFonts w:ascii="Times New Roman" w:hAnsi="Times New Roman" w:cs="Times New Roman"/>
                <w:bCs/>
                <w:sz w:val="24"/>
                <w:szCs w:val="24"/>
              </w:rPr>
              <w:t>pantu par kapitāla pietiekamības novērtēšanas procesa atskaites, tai skaitā visu novērtējumu un aprēķinu veikšanas, datumu nosaka pārskata gada beigu datumu.</w:t>
            </w:r>
          </w:p>
          <w:p w14:paraId="5BDAD4DE" w14:textId="77777777" w:rsidR="00D834D8" w:rsidRPr="00D834D8" w:rsidRDefault="00D834D8" w:rsidP="00A848A2">
            <w:pPr>
              <w:spacing w:line="240" w:lineRule="auto"/>
              <w:jc w:val="both"/>
              <w:rPr>
                <w:rFonts w:ascii="Times New Roman" w:hAnsi="Times New Roman" w:cs="Times New Roman"/>
                <w:bCs/>
                <w:sz w:val="24"/>
                <w:szCs w:val="24"/>
              </w:rPr>
            </w:pPr>
            <w:r w:rsidRPr="00D834D8">
              <w:rPr>
                <w:rFonts w:ascii="Times New Roman" w:hAnsi="Times New Roman" w:cs="Times New Roman"/>
                <w:bCs/>
                <w:sz w:val="24"/>
                <w:szCs w:val="24"/>
              </w:rPr>
              <w:t>Nepieciešams LB skaidrojums, kā rīkoties kredītiestādei, kas strādā mazāk kā gadu. Piemēram, ja banka ir uzsākusi savu publisko darbību 2024.gada augustā, vai par kapitāla pietiekamības novērtēšanas procesa atskaites datumu jānosaka 31.12.2024.</w:t>
            </w:r>
            <w:bookmarkEnd w:id="3"/>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4602523A" w14:textId="77777777" w:rsidR="00D834D8" w:rsidRPr="0034139D" w:rsidRDefault="00F23FEF" w:rsidP="007F0D8C">
            <w:pPr>
              <w:spacing w:after="120" w:line="240" w:lineRule="auto"/>
              <w:jc w:val="both"/>
              <w:rPr>
                <w:rFonts w:ascii="Times New Roman" w:hAnsi="Times New Roman" w:cs="Times New Roman"/>
                <w:b/>
                <w:iCs/>
                <w:sz w:val="24"/>
                <w:szCs w:val="24"/>
              </w:rPr>
            </w:pPr>
            <w:r w:rsidRPr="0034139D">
              <w:rPr>
                <w:rFonts w:ascii="Times New Roman" w:hAnsi="Times New Roman" w:cs="Times New Roman"/>
                <w:b/>
                <w:iCs/>
                <w:sz w:val="24"/>
                <w:szCs w:val="24"/>
              </w:rPr>
              <w:t>Ņemts vērā.</w:t>
            </w:r>
          </w:p>
          <w:p w14:paraId="78603F9F" w14:textId="74D3650F" w:rsidR="00F23FEF" w:rsidRPr="0034139D" w:rsidRDefault="00F23FEF" w:rsidP="00345994">
            <w:pPr>
              <w:spacing w:after="0" w:line="240" w:lineRule="auto"/>
              <w:jc w:val="both"/>
              <w:rPr>
                <w:rFonts w:ascii="Times New Roman" w:hAnsi="Times New Roman" w:cs="Times New Roman"/>
                <w:bCs/>
                <w:iCs/>
                <w:sz w:val="24"/>
                <w:szCs w:val="24"/>
              </w:rPr>
            </w:pPr>
            <w:r w:rsidRPr="0034139D">
              <w:rPr>
                <w:rFonts w:ascii="Times New Roman" w:hAnsi="Times New Roman" w:cs="Times New Roman"/>
                <w:bCs/>
                <w:iCs/>
                <w:sz w:val="24"/>
                <w:szCs w:val="24"/>
              </w:rPr>
              <w:t xml:space="preserve">Noteikumu </w:t>
            </w:r>
            <w:r w:rsidR="00587164" w:rsidRPr="0034139D">
              <w:rPr>
                <w:rFonts w:ascii="Times New Roman" w:hAnsi="Times New Roman" w:cs="Times New Roman"/>
                <w:bCs/>
                <w:iCs/>
                <w:sz w:val="24"/>
                <w:szCs w:val="24"/>
              </w:rPr>
              <w:t xml:space="preserve">projekta 5. punkts </w:t>
            </w:r>
            <w:r w:rsidRPr="0034139D">
              <w:rPr>
                <w:rFonts w:ascii="Times New Roman" w:hAnsi="Times New Roman" w:cs="Times New Roman"/>
                <w:bCs/>
                <w:iCs/>
                <w:sz w:val="24"/>
                <w:szCs w:val="24"/>
              </w:rPr>
              <w:t xml:space="preserve">papildināts ar </w:t>
            </w:r>
            <w:r w:rsidR="00587164" w:rsidRPr="0034139D">
              <w:rPr>
                <w:rFonts w:ascii="Times New Roman" w:hAnsi="Times New Roman" w:cs="Times New Roman"/>
                <w:bCs/>
                <w:iCs/>
                <w:sz w:val="24"/>
                <w:szCs w:val="24"/>
              </w:rPr>
              <w:t xml:space="preserve">trešo teikumu </w:t>
            </w:r>
            <w:r w:rsidRPr="0034139D">
              <w:rPr>
                <w:rFonts w:ascii="Times New Roman" w:hAnsi="Times New Roman" w:cs="Times New Roman"/>
                <w:bCs/>
                <w:iCs/>
                <w:sz w:val="24"/>
                <w:szCs w:val="24"/>
              </w:rPr>
              <w:t>šādā redakcijā:</w:t>
            </w:r>
          </w:p>
          <w:p w14:paraId="30633C26" w14:textId="6BFD8640" w:rsidR="00F23FEF" w:rsidRPr="0034139D" w:rsidRDefault="00587164" w:rsidP="00A848A2">
            <w:pPr>
              <w:spacing w:after="0" w:line="240" w:lineRule="auto"/>
              <w:jc w:val="both"/>
              <w:rPr>
                <w:rFonts w:ascii="Times New Roman" w:hAnsi="Times New Roman" w:cs="Times New Roman"/>
                <w:bCs/>
                <w:iCs/>
                <w:sz w:val="24"/>
                <w:szCs w:val="24"/>
              </w:rPr>
            </w:pPr>
            <w:r w:rsidRPr="0034139D">
              <w:rPr>
                <w:rFonts w:ascii="Times New Roman" w:hAnsi="Times New Roman" w:cs="Times New Roman"/>
                <w:bCs/>
                <w:iCs/>
                <w:sz w:val="24"/>
                <w:szCs w:val="24"/>
              </w:rPr>
              <w:t>"</w:t>
            </w:r>
            <w:r w:rsidR="00F56693" w:rsidRPr="00F56693">
              <w:rPr>
                <w:rFonts w:ascii="Times New Roman" w:hAnsi="Times New Roman" w:cs="Times New Roman"/>
                <w:bCs/>
                <w:iCs/>
                <w:sz w:val="24"/>
                <w:szCs w:val="24"/>
              </w:rPr>
              <w:t xml:space="preserve">Ja kredītiestāde ir uzsākusi darbību pārskata gadā un ir veikusi darbību mazāk </w:t>
            </w:r>
            <w:r w:rsidR="00E62586">
              <w:rPr>
                <w:rFonts w:ascii="Times New Roman" w:hAnsi="Times New Roman" w:cs="Times New Roman"/>
                <w:bCs/>
                <w:iCs/>
                <w:sz w:val="24"/>
                <w:szCs w:val="24"/>
              </w:rPr>
              <w:t>ne</w:t>
            </w:r>
            <w:r w:rsidR="00F56693" w:rsidRPr="00F56693">
              <w:rPr>
                <w:rFonts w:ascii="Times New Roman" w:hAnsi="Times New Roman" w:cs="Times New Roman"/>
                <w:bCs/>
                <w:iCs/>
                <w:sz w:val="24"/>
                <w:szCs w:val="24"/>
              </w:rPr>
              <w:t>kā deviņus mēnešus, tā par pirmo kapitāla pietiekamības novērtēšanas procesa atskaites, tai skaitā visu novērtējumu un aprēķinu veikšanas, datumu var noteikt nākamā pārskata gada beigu datumu</w:t>
            </w:r>
            <w:r w:rsidR="00AA6530" w:rsidRPr="00AA6530">
              <w:rPr>
                <w:rFonts w:ascii="Times New Roman" w:hAnsi="Times New Roman" w:cs="Times New Roman"/>
                <w:bCs/>
                <w:iCs/>
                <w:sz w:val="24"/>
                <w:szCs w:val="24"/>
              </w:rPr>
              <w:t>.</w:t>
            </w:r>
            <w:r w:rsidR="00AA6530">
              <w:rPr>
                <w:rFonts w:ascii="Times New Roman" w:hAnsi="Times New Roman" w:cs="Times New Roman"/>
                <w:bCs/>
                <w:iCs/>
                <w:sz w:val="24"/>
                <w:szCs w:val="24"/>
              </w:rPr>
              <w:t>"</w:t>
            </w:r>
          </w:p>
        </w:tc>
      </w:tr>
      <w:tr w:rsidR="00D834D8" w:rsidRPr="00D834D8" w14:paraId="61B12485" w14:textId="77777777" w:rsidTr="008814FC">
        <w:tc>
          <w:tcPr>
            <w:tcW w:w="0" w:type="auto"/>
            <w:tcBorders>
              <w:top w:val="single" w:sz="4" w:space="0" w:color="auto"/>
              <w:left w:val="single" w:sz="4" w:space="0" w:color="auto"/>
              <w:bottom w:val="single" w:sz="4" w:space="0" w:color="auto"/>
              <w:right w:val="single" w:sz="4" w:space="0" w:color="auto"/>
            </w:tcBorders>
          </w:tcPr>
          <w:p w14:paraId="32DD531A" w14:textId="77777777" w:rsidR="00D834D8" w:rsidRPr="00D834D8" w:rsidRDefault="00D834D8" w:rsidP="00A848A2">
            <w:pPr>
              <w:spacing w:line="240" w:lineRule="auto"/>
              <w:jc w:val="center"/>
              <w:rPr>
                <w:rFonts w:ascii="Times New Roman" w:hAnsi="Times New Roman" w:cs="Times New Roman"/>
                <w:bCs/>
                <w:sz w:val="24"/>
                <w:szCs w:val="24"/>
              </w:rPr>
            </w:pPr>
            <w:r w:rsidRPr="00D834D8">
              <w:rPr>
                <w:rFonts w:ascii="Times New Roman" w:hAnsi="Times New Roman" w:cs="Times New Roman"/>
                <w:bCs/>
                <w:sz w:val="24"/>
                <w:szCs w:val="24"/>
              </w:rPr>
              <w:t>4.</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1BBE359A" w14:textId="3D55106E" w:rsidR="0015340D" w:rsidRDefault="0015340D" w:rsidP="00345994">
            <w:pPr>
              <w:tabs>
                <w:tab w:val="left" w:pos="357"/>
              </w:tabs>
              <w:spacing w:after="0" w:line="240" w:lineRule="auto"/>
              <w:jc w:val="both"/>
              <w:rPr>
                <w:rFonts w:ascii="Times New Roman" w:hAnsi="Times New Roman" w:cs="Times New Roman"/>
                <w:bCs/>
                <w:sz w:val="24"/>
                <w:szCs w:val="24"/>
              </w:rPr>
            </w:pPr>
            <w:r w:rsidRPr="0015340D">
              <w:rPr>
                <w:rFonts w:ascii="Times New Roman" w:hAnsi="Times New Roman" w:cs="Times New Roman"/>
                <w:bCs/>
                <w:sz w:val="24"/>
                <w:szCs w:val="24"/>
              </w:rPr>
              <w:t>21.</w:t>
            </w:r>
            <w:r w:rsidR="00FF3D86">
              <w:rPr>
                <w:rFonts w:ascii="Times New Roman" w:hAnsi="Times New Roman" w:cs="Times New Roman"/>
                <w:bCs/>
                <w:sz w:val="24"/>
                <w:szCs w:val="24"/>
              </w:rPr>
              <w:t> </w:t>
            </w:r>
            <w:r w:rsidRPr="0015340D">
              <w:rPr>
                <w:rFonts w:ascii="Times New Roman" w:hAnsi="Times New Roman" w:cs="Times New Roman"/>
                <w:bCs/>
                <w:sz w:val="24"/>
                <w:szCs w:val="24"/>
              </w:rPr>
              <w:t>Kredītiestāde, izvērtējot kredītriska pašu kapitāla prasības, kas aprēķināta saskaņā ar Regulā Nr.</w:t>
            </w:r>
            <w:r>
              <w:rPr>
                <w:rFonts w:ascii="Times New Roman" w:hAnsi="Times New Roman" w:cs="Times New Roman"/>
                <w:bCs/>
                <w:sz w:val="24"/>
                <w:szCs w:val="24"/>
              </w:rPr>
              <w:t> </w:t>
            </w:r>
            <w:r w:rsidRPr="0015340D">
              <w:rPr>
                <w:rFonts w:ascii="Times New Roman" w:hAnsi="Times New Roman" w:cs="Times New Roman"/>
                <w:bCs/>
                <w:sz w:val="24"/>
                <w:szCs w:val="24"/>
              </w:rPr>
              <w:t>575/2013 aprakstīto standartizēto pieeju, apmēra pietiekamību tās darbībai piemītošā kredītriska segšanai, veic vismaz šādus papildu kredītriska novērtējumus:</w:t>
            </w:r>
          </w:p>
          <w:p w14:paraId="6FC9E409" w14:textId="7A84F854" w:rsidR="00D834D8" w:rsidRPr="0015340D" w:rsidRDefault="00D834D8" w:rsidP="00345994">
            <w:pPr>
              <w:tabs>
                <w:tab w:val="left" w:pos="357"/>
              </w:tabs>
              <w:spacing w:after="0" w:line="240" w:lineRule="auto"/>
              <w:jc w:val="both"/>
              <w:rPr>
                <w:rFonts w:ascii="Times New Roman" w:hAnsi="Times New Roman" w:cs="Times New Roman"/>
                <w:bCs/>
                <w:sz w:val="24"/>
                <w:szCs w:val="24"/>
              </w:rPr>
            </w:pPr>
            <w:r w:rsidRPr="0015340D">
              <w:rPr>
                <w:rFonts w:ascii="Times New Roman" w:hAnsi="Times New Roman" w:cs="Times New Roman"/>
                <w:bCs/>
                <w:sz w:val="24"/>
                <w:szCs w:val="24"/>
              </w:rPr>
              <w:t>21.1.</w:t>
            </w:r>
            <w:r w:rsidR="00FF3D86">
              <w:rPr>
                <w:rFonts w:ascii="Times New Roman" w:hAnsi="Times New Roman" w:cs="Times New Roman"/>
                <w:bCs/>
                <w:sz w:val="24"/>
                <w:szCs w:val="24"/>
              </w:rPr>
              <w:t> </w:t>
            </w:r>
            <w:r w:rsidRPr="0015340D">
              <w:rPr>
                <w:rFonts w:ascii="Times New Roman" w:hAnsi="Times New Roman" w:cs="Times New Roman"/>
                <w:bCs/>
                <w:sz w:val="24"/>
                <w:szCs w:val="24"/>
              </w:rPr>
              <w:t xml:space="preserve">kredītiestāde izvērtē riska darījumiem, kas nodrošināti ar hipotēku uz nekustamo īpašumu, piemērotās riska pakāpes atbilstību </w:t>
            </w:r>
            <w:r w:rsidRPr="0015340D">
              <w:rPr>
                <w:rFonts w:ascii="Times New Roman" w:hAnsi="Times New Roman" w:cs="Times New Roman"/>
                <w:bCs/>
                <w:sz w:val="24"/>
                <w:szCs w:val="24"/>
              </w:rPr>
              <w:lastRenderedPageBreak/>
              <w:t>prognozētajai situācijai nekustamā īpašuma tirgū, analizējot, vai ir konstatēta klientu maksātspējas pasliktināšanās, nodrošinājuma vērtības samazinājums, tā realizēšanas grūtības vai citas negatīvas tendences nekustamā īpašuma tirgū vai ekonomikā;</w:t>
            </w:r>
          </w:p>
          <w:p w14:paraId="2F3E1413" w14:textId="31F324B4" w:rsidR="00D834D8" w:rsidRPr="0015340D" w:rsidRDefault="00D834D8" w:rsidP="00A848A2">
            <w:pPr>
              <w:tabs>
                <w:tab w:val="left" w:pos="357"/>
              </w:tabs>
              <w:spacing w:line="240" w:lineRule="auto"/>
              <w:jc w:val="both"/>
              <w:rPr>
                <w:rFonts w:ascii="Times New Roman" w:hAnsi="Times New Roman" w:cs="Times New Roman"/>
                <w:bCs/>
                <w:sz w:val="24"/>
                <w:szCs w:val="24"/>
              </w:rPr>
            </w:pPr>
            <w:r w:rsidRPr="0015340D">
              <w:rPr>
                <w:rFonts w:ascii="Times New Roman" w:hAnsi="Times New Roman" w:cs="Times New Roman"/>
                <w:bCs/>
                <w:sz w:val="24"/>
                <w:szCs w:val="24"/>
              </w:rPr>
              <w:t>21.2.</w:t>
            </w:r>
            <w:r w:rsidR="00FF3D86">
              <w:rPr>
                <w:rFonts w:ascii="Times New Roman" w:hAnsi="Times New Roman" w:cs="Times New Roman"/>
                <w:bCs/>
                <w:sz w:val="24"/>
                <w:szCs w:val="24"/>
              </w:rPr>
              <w:t> </w:t>
            </w:r>
            <w:r w:rsidRPr="0015340D">
              <w:rPr>
                <w:rFonts w:ascii="Times New Roman" w:hAnsi="Times New Roman" w:cs="Times New Roman"/>
                <w:bCs/>
                <w:sz w:val="24"/>
                <w:szCs w:val="24"/>
              </w:rPr>
              <w:t>kredītiestāde izvērtē portfelim, ko veido riska darījumi ar privātpersonām vai mazajiem un vidējiem uzņēmumiem, piemērotās riska pakāpes pamatotību, analizējot minētajā portfelī iekļauto riska darījumu kvalitātes izmaiņu statistiku un granularitāti;</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7B94D878" w14:textId="5BA10D63" w:rsidR="00D834D8" w:rsidRPr="00D834D8" w:rsidRDefault="00A848A2" w:rsidP="00A848A2">
            <w:pPr>
              <w:spacing w:line="240" w:lineRule="auto"/>
              <w:jc w:val="both"/>
              <w:rPr>
                <w:rFonts w:ascii="Times New Roman" w:hAnsi="Times New Roman" w:cs="Times New Roman"/>
                <w:bCs/>
                <w:sz w:val="24"/>
                <w:szCs w:val="24"/>
              </w:rPr>
            </w:pPr>
            <w:r w:rsidRPr="00A848A2">
              <w:rPr>
                <w:rFonts w:ascii="Times New Roman" w:hAnsi="Times New Roman" w:cs="Times New Roman"/>
                <w:b/>
                <w:sz w:val="24"/>
                <w:szCs w:val="24"/>
              </w:rPr>
              <w:lastRenderedPageBreak/>
              <w:t>AS INDEXO Banka:</w:t>
            </w:r>
            <w:r>
              <w:rPr>
                <w:rFonts w:ascii="Times New Roman" w:hAnsi="Times New Roman" w:cs="Times New Roman"/>
                <w:bCs/>
                <w:sz w:val="24"/>
                <w:szCs w:val="24"/>
              </w:rPr>
              <w:t xml:space="preserve"> </w:t>
            </w:r>
            <w:r w:rsidR="00D834D8" w:rsidRPr="00D834D8">
              <w:rPr>
                <w:rFonts w:ascii="Times New Roman" w:hAnsi="Times New Roman" w:cs="Times New Roman"/>
                <w:bCs/>
                <w:sz w:val="24"/>
                <w:szCs w:val="24"/>
              </w:rPr>
              <w:t>Lūdzam precizēt 21.1. un 21.2. pantus, nosakot, kādas riska darījumiem piemērotās riska pakāpes būtu papildus jāizvērtē.</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2836D151" w14:textId="10C8CAA1" w:rsidR="002A2D21" w:rsidRDefault="002A2D21" w:rsidP="002A2D21">
            <w:pPr>
              <w:spacing w:line="240" w:lineRule="auto"/>
              <w:jc w:val="both"/>
              <w:rPr>
                <w:rFonts w:ascii="Times New Roman" w:hAnsi="Times New Roman" w:cs="Times New Roman"/>
                <w:sz w:val="24"/>
                <w:szCs w:val="24"/>
              </w:rPr>
            </w:pPr>
            <w:r w:rsidRPr="0034139D">
              <w:rPr>
                <w:rFonts w:ascii="Times New Roman" w:hAnsi="Times New Roman" w:cs="Times New Roman"/>
                <w:sz w:val="24"/>
                <w:szCs w:val="24"/>
              </w:rPr>
              <w:t>Saskaņā ar noteikumu projekta 21. punktu kredītiestādei ir jāizvērtē</w:t>
            </w:r>
            <w:r>
              <w:rPr>
                <w:rFonts w:ascii="Times New Roman" w:hAnsi="Times New Roman" w:cs="Times New Roman"/>
                <w:sz w:val="24"/>
                <w:szCs w:val="24"/>
              </w:rPr>
              <w:t xml:space="preserve"> kredītriska pašu kapitāla apmēra, kas aprēķināts saskaņā ar Regulu Nr. 575/2013, pietiekamība. Aprēķinot kredītriska pašu kapitāla prasību, r</w:t>
            </w:r>
            <w:r w:rsidRPr="0034139D">
              <w:rPr>
                <w:rFonts w:ascii="Times New Roman" w:hAnsi="Times New Roman" w:cs="Times New Roman"/>
                <w:sz w:val="24"/>
                <w:szCs w:val="24"/>
              </w:rPr>
              <w:t>iska pakāp</w:t>
            </w:r>
            <w:r>
              <w:rPr>
                <w:rFonts w:ascii="Times New Roman" w:hAnsi="Times New Roman" w:cs="Times New Roman"/>
                <w:sz w:val="24"/>
                <w:szCs w:val="24"/>
              </w:rPr>
              <w:t xml:space="preserve">es riska darījumiem tiek piemērotas </w:t>
            </w:r>
            <w:r w:rsidRPr="0034139D">
              <w:rPr>
                <w:rFonts w:ascii="Times New Roman" w:hAnsi="Times New Roman" w:cs="Times New Roman"/>
                <w:sz w:val="24"/>
                <w:szCs w:val="24"/>
              </w:rPr>
              <w:t>saskaņā ar Regulas Nr. 575/2013 trešās daļas II sadaļas 2. nodaļu</w:t>
            </w:r>
            <w:r>
              <w:rPr>
                <w:rFonts w:ascii="Times New Roman" w:hAnsi="Times New Roman" w:cs="Times New Roman"/>
                <w:sz w:val="24"/>
                <w:szCs w:val="24"/>
              </w:rPr>
              <w:t>.</w:t>
            </w:r>
          </w:p>
          <w:p w14:paraId="5A08E492" w14:textId="5809D20F" w:rsidR="002A2D21" w:rsidRPr="0034139D" w:rsidRDefault="002A2D21" w:rsidP="002A2D21">
            <w:pPr>
              <w:spacing w:line="240" w:lineRule="auto"/>
              <w:jc w:val="both"/>
              <w:rPr>
                <w:rFonts w:ascii="Times New Roman" w:hAnsi="Times New Roman" w:cs="Times New Roman"/>
                <w:sz w:val="24"/>
                <w:szCs w:val="24"/>
              </w:rPr>
            </w:pPr>
            <w:r w:rsidRPr="0034139D">
              <w:rPr>
                <w:rFonts w:ascii="Times New Roman" w:hAnsi="Times New Roman" w:cs="Times New Roman"/>
                <w:sz w:val="24"/>
                <w:szCs w:val="24"/>
              </w:rPr>
              <w:lastRenderedPageBreak/>
              <w:t>Noteikumu projekta 21.1.</w:t>
            </w:r>
            <w:r>
              <w:rPr>
                <w:rFonts w:ascii="Times New Roman" w:hAnsi="Times New Roman" w:cs="Times New Roman"/>
                <w:sz w:val="24"/>
                <w:szCs w:val="24"/>
              </w:rPr>
              <w:t> </w:t>
            </w:r>
            <w:r w:rsidRPr="0034139D">
              <w:rPr>
                <w:rFonts w:ascii="Times New Roman" w:hAnsi="Times New Roman" w:cs="Times New Roman"/>
                <w:sz w:val="24"/>
                <w:szCs w:val="24"/>
              </w:rPr>
              <w:t>un 21.2. apakš</w:t>
            </w:r>
            <w:r w:rsidR="00E62586">
              <w:rPr>
                <w:rFonts w:ascii="Times New Roman" w:hAnsi="Times New Roman" w:cs="Times New Roman"/>
                <w:sz w:val="24"/>
                <w:szCs w:val="24"/>
              </w:rPr>
              <w:t>-</w:t>
            </w:r>
            <w:r w:rsidRPr="0034139D">
              <w:rPr>
                <w:rFonts w:ascii="Times New Roman" w:hAnsi="Times New Roman" w:cs="Times New Roman"/>
                <w:sz w:val="24"/>
                <w:szCs w:val="24"/>
              </w:rPr>
              <w:t>punkt</w:t>
            </w:r>
            <w:r>
              <w:rPr>
                <w:rFonts w:ascii="Times New Roman" w:hAnsi="Times New Roman" w:cs="Times New Roman"/>
                <w:sz w:val="24"/>
                <w:szCs w:val="24"/>
              </w:rPr>
              <w:t>ā</w:t>
            </w:r>
            <w:r w:rsidRPr="0034139D">
              <w:rPr>
                <w:rFonts w:ascii="Times New Roman" w:hAnsi="Times New Roman" w:cs="Times New Roman"/>
                <w:sz w:val="24"/>
                <w:szCs w:val="24"/>
              </w:rPr>
              <w:t xml:space="preserve"> minēt</w:t>
            </w:r>
            <w:r w:rsidR="00E62586">
              <w:rPr>
                <w:rFonts w:ascii="Times New Roman" w:hAnsi="Times New Roman" w:cs="Times New Roman"/>
                <w:sz w:val="24"/>
                <w:szCs w:val="24"/>
              </w:rPr>
              <w:t>aj</w:t>
            </w:r>
            <w:r w:rsidRPr="0034139D">
              <w:rPr>
                <w:rFonts w:ascii="Times New Roman" w:hAnsi="Times New Roman" w:cs="Times New Roman"/>
                <w:sz w:val="24"/>
                <w:szCs w:val="24"/>
              </w:rPr>
              <w:t>ām riska darījumu kategorijām riska pakāpes piemēro saskaņā ar Regulas Nr. 575/2013 123., 124., 125. un 126. pantu.</w:t>
            </w:r>
          </w:p>
          <w:p w14:paraId="330BAB23" w14:textId="33D57F80" w:rsidR="00D834D8" w:rsidRPr="0034139D" w:rsidRDefault="002A2D21" w:rsidP="002A2D21">
            <w:pPr>
              <w:spacing w:line="240" w:lineRule="auto"/>
              <w:jc w:val="both"/>
              <w:rPr>
                <w:rFonts w:ascii="Times New Roman" w:hAnsi="Times New Roman" w:cs="Times New Roman"/>
                <w:sz w:val="24"/>
                <w:szCs w:val="24"/>
              </w:rPr>
            </w:pPr>
            <w:r>
              <w:rPr>
                <w:rFonts w:ascii="Times New Roman" w:hAnsi="Times New Roman" w:cs="Times New Roman"/>
                <w:sz w:val="24"/>
                <w:szCs w:val="24"/>
              </w:rPr>
              <w:t>Riska pakāp</w:t>
            </w:r>
            <w:r w:rsidR="002B447E">
              <w:rPr>
                <w:rFonts w:ascii="Times New Roman" w:hAnsi="Times New Roman" w:cs="Times New Roman"/>
                <w:sz w:val="24"/>
                <w:szCs w:val="24"/>
              </w:rPr>
              <w:t>e</w:t>
            </w:r>
            <w:r>
              <w:rPr>
                <w:rFonts w:ascii="Times New Roman" w:hAnsi="Times New Roman" w:cs="Times New Roman"/>
                <w:sz w:val="24"/>
                <w:szCs w:val="24"/>
              </w:rPr>
              <w:t>s riska darījumiem saskaņā ar Regulu Nr. 575/2013 piemēro</w:t>
            </w:r>
            <w:r w:rsidR="00E62586">
              <w:rPr>
                <w:rFonts w:ascii="Times New Roman" w:hAnsi="Times New Roman" w:cs="Times New Roman"/>
                <w:sz w:val="24"/>
                <w:szCs w:val="24"/>
              </w:rPr>
              <w:t>,</w:t>
            </w:r>
            <w:r>
              <w:rPr>
                <w:rFonts w:ascii="Times New Roman" w:hAnsi="Times New Roman" w:cs="Times New Roman"/>
                <w:sz w:val="24"/>
                <w:szCs w:val="24"/>
              </w:rPr>
              <w:t xml:space="preserve"> ņemot vērā </w:t>
            </w:r>
            <w:r w:rsidRPr="0034139D">
              <w:rPr>
                <w:rFonts w:ascii="Times New Roman" w:hAnsi="Times New Roman" w:cs="Times New Roman"/>
                <w:sz w:val="24"/>
                <w:szCs w:val="24"/>
              </w:rPr>
              <w:t xml:space="preserve">gan </w:t>
            </w:r>
            <w:r>
              <w:rPr>
                <w:rFonts w:ascii="Times New Roman" w:hAnsi="Times New Roman" w:cs="Times New Roman"/>
                <w:sz w:val="24"/>
                <w:szCs w:val="24"/>
              </w:rPr>
              <w:t xml:space="preserve">riska darījumu </w:t>
            </w:r>
            <w:r w:rsidRPr="0034139D">
              <w:rPr>
                <w:rFonts w:ascii="Times New Roman" w:hAnsi="Times New Roman" w:cs="Times New Roman"/>
                <w:sz w:val="24"/>
                <w:szCs w:val="24"/>
              </w:rPr>
              <w:t>iedalījum</w:t>
            </w:r>
            <w:r>
              <w:rPr>
                <w:rFonts w:ascii="Times New Roman" w:hAnsi="Times New Roman" w:cs="Times New Roman"/>
                <w:sz w:val="24"/>
                <w:szCs w:val="24"/>
              </w:rPr>
              <w:t>u</w:t>
            </w:r>
            <w:r w:rsidRPr="0034139D">
              <w:rPr>
                <w:rFonts w:ascii="Times New Roman" w:hAnsi="Times New Roman" w:cs="Times New Roman"/>
                <w:sz w:val="24"/>
                <w:szCs w:val="24"/>
              </w:rPr>
              <w:t xml:space="preserve"> riska darījumu kategorijās, gan citu attiecīgo nosacīju</w:t>
            </w:r>
            <w:r>
              <w:rPr>
                <w:rFonts w:ascii="Times New Roman" w:hAnsi="Times New Roman" w:cs="Times New Roman"/>
                <w:sz w:val="24"/>
                <w:szCs w:val="24"/>
              </w:rPr>
              <w:t>mu</w:t>
            </w:r>
            <w:r w:rsidRPr="0034139D">
              <w:rPr>
                <w:rFonts w:ascii="Times New Roman" w:hAnsi="Times New Roman" w:cs="Times New Roman"/>
                <w:sz w:val="24"/>
                <w:szCs w:val="24"/>
              </w:rPr>
              <w:t xml:space="preserve"> izpild</w:t>
            </w:r>
            <w:r>
              <w:rPr>
                <w:rFonts w:ascii="Times New Roman" w:hAnsi="Times New Roman" w:cs="Times New Roman"/>
                <w:sz w:val="24"/>
                <w:szCs w:val="24"/>
              </w:rPr>
              <w:t>i, bet neņem</w:t>
            </w:r>
            <w:r w:rsidR="00E62586">
              <w:rPr>
                <w:rFonts w:ascii="Times New Roman" w:hAnsi="Times New Roman" w:cs="Times New Roman"/>
                <w:sz w:val="24"/>
                <w:szCs w:val="24"/>
              </w:rPr>
              <w:t>ot</w:t>
            </w:r>
            <w:r>
              <w:rPr>
                <w:rFonts w:ascii="Times New Roman" w:hAnsi="Times New Roman" w:cs="Times New Roman"/>
                <w:sz w:val="24"/>
                <w:szCs w:val="24"/>
              </w:rPr>
              <w:t xml:space="preserve"> vērā atsevišķas kredītiestādes kredītportfeļa specifiku</w:t>
            </w:r>
            <w:r w:rsidRPr="0034139D">
              <w:rPr>
                <w:rFonts w:ascii="Times New Roman" w:hAnsi="Times New Roman" w:cs="Times New Roman"/>
                <w:sz w:val="24"/>
                <w:szCs w:val="24"/>
              </w:rPr>
              <w:t>.</w:t>
            </w:r>
          </w:p>
        </w:tc>
      </w:tr>
    </w:tbl>
    <w:p w14:paraId="1B90EAB9" w14:textId="77777777" w:rsidR="00DD2A7B" w:rsidRPr="00F47661" w:rsidRDefault="00DD2A7B" w:rsidP="00DD2A7B">
      <w:pPr>
        <w:jc w:val="both"/>
      </w:pPr>
    </w:p>
    <w:sectPr w:rsidR="00DD2A7B" w:rsidRPr="00F47661" w:rsidSect="00DD2A7B">
      <w:pgSz w:w="16838" w:h="11906" w:orient="landscape"/>
      <w:pgMar w:top="1797" w:right="1440" w:bottom="1797"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806571" w14:textId="77777777" w:rsidR="00863A35" w:rsidRDefault="00863A35" w:rsidP="004D7D20">
      <w:pPr>
        <w:spacing w:after="0" w:line="240" w:lineRule="auto"/>
      </w:pPr>
      <w:r>
        <w:separator/>
      </w:r>
    </w:p>
  </w:endnote>
  <w:endnote w:type="continuationSeparator" w:id="0">
    <w:p w14:paraId="5FB167BA" w14:textId="77777777" w:rsidR="00863A35" w:rsidRDefault="00863A35" w:rsidP="004D7D20">
      <w:pPr>
        <w:spacing w:after="0" w:line="240" w:lineRule="auto"/>
      </w:pPr>
      <w:r>
        <w:continuationSeparator/>
      </w:r>
    </w:p>
  </w:endnote>
  <w:endnote w:type="continuationNotice" w:id="1">
    <w:p w14:paraId="7A61CE6A" w14:textId="77777777" w:rsidR="00863A35" w:rsidRDefault="00863A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BA4DD" w14:textId="77777777" w:rsidR="00863A35" w:rsidRDefault="00863A35" w:rsidP="004D7D20">
      <w:pPr>
        <w:spacing w:after="0" w:line="240" w:lineRule="auto"/>
      </w:pPr>
      <w:r>
        <w:separator/>
      </w:r>
    </w:p>
  </w:footnote>
  <w:footnote w:type="continuationSeparator" w:id="0">
    <w:p w14:paraId="45DDC2EC" w14:textId="77777777" w:rsidR="00863A35" w:rsidRDefault="00863A35" w:rsidP="004D7D20">
      <w:pPr>
        <w:spacing w:after="0" w:line="240" w:lineRule="auto"/>
      </w:pPr>
      <w:r>
        <w:continuationSeparator/>
      </w:r>
    </w:p>
  </w:footnote>
  <w:footnote w:type="continuationNotice" w:id="1">
    <w:p w14:paraId="777B2B4D" w14:textId="77777777" w:rsidR="00863A35" w:rsidRDefault="00863A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7247454"/>
      <w:docPartObj>
        <w:docPartGallery w:val="Page Numbers (Top of Page)"/>
        <w:docPartUnique/>
      </w:docPartObj>
    </w:sdtPr>
    <w:sdtEndPr>
      <w:rPr>
        <w:rFonts w:ascii="Times New Roman" w:hAnsi="Times New Roman" w:cs="Times New Roman"/>
        <w:sz w:val="24"/>
        <w:szCs w:val="24"/>
      </w:rPr>
    </w:sdtEndPr>
    <w:sdtContent>
      <w:p w14:paraId="4F33CB0E" w14:textId="77777777" w:rsidR="0021474E" w:rsidRPr="0021474E" w:rsidRDefault="0021474E">
        <w:pPr>
          <w:pStyle w:val="Header"/>
          <w:jc w:val="center"/>
          <w:rPr>
            <w:rFonts w:ascii="Times New Roman" w:hAnsi="Times New Roman" w:cs="Times New Roman"/>
            <w:sz w:val="24"/>
            <w:szCs w:val="24"/>
          </w:rPr>
        </w:pPr>
        <w:r w:rsidRPr="0021474E">
          <w:rPr>
            <w:rFonts w:ascii="Times New Roman" w:hAnsi="Times New Roman" w:cs="Times New Roman"/>
            <w:sz w:val="24"/>
            <w:szCs w:val="24"/>
          </w:rPr>
          <w:fldChar w:fldCharType="begin"/>
        </w:r>
        <w:r w:rsidRPr="0021474E">
          <w:rPr>
            <w:rFonts w:ascii="Times New Roman" w:hAnsi="Times New Roman" w:cs="Times New Roman"/>
            <w:sz w:val="24"/>
            <w:szCs w:val="24"/>
          </w:rPr>
          <w:instrText>PAGE   \* MERGEFORMAT</w:instrText>
        </w:r>
        <w:r w:rsidRPr="0021474E">
          <w:rPr>
            <w:rFonts w:ascii="Times New Roman" w:hAnsi="Times New Roman" w:cs="Times New Roman"/>
            <w:sz w:val="24"/>
            <w:szCs w:val="24"/>
          </w:rPr>
          <w:fldChar w:fldCharType="separate"/>
        </w:r>
        <w:r w:rsidRPr="0021474E">
          <w:rPr>
            <w:rFonts w:ascii="Times New Roman" w:hAnsi="Times New Roman" w:cs="Times New Roman"/>
            <w:sz w:val="24"/>
            <w:szCs w:val="24"/>
          </w:rPr>
          <w:t>2</w:t>
        </w:r>
        <w:r w:rsidRPr="0021474E">
          <w:rPr>
            <w:rFonts w:ascii="Times New Roman" w:hAnsi="Times New Roman" w:cs="Times New Roman"/>
            <w:sz w:val="24"/>
            <w:szCs w:val="24"/>
          </w:rPr>
          <w:fldChar w:fldCharType="end"/>
        </w:r>
      </w:p>
    </w:sdtContent>
  </w:sdt>
  <w:p w14:paraId="3E06CCA1" w14:textId="77777777" w:rsidR="0021474E" w:rsidRDefault="002147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727CD"/>
    <w:multiLevelType w:val="hybridMultilevel"/>
    <w:tmpl w:val="005E6D68"/>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41148E2"/>
    <w:multiLevelType w:val="hybridMultilevel"/>
    <w:tmpl w:val="982657B0"/>
    <w:lvl w:ilvl="0" w:tplc="4D88EFA6">
      <w:start w:val="1"/>
      <w:numFmt w:val="decimal"/>
      <w:lvlText w:val="%1."/>
      <w:lvlJc w:val="left"/>
      <w:pPr>
        <w:ind w:left="2760" w:hanging="360"/>
      </w:pPr>
    </w:lvl>
    <w:lvl w:ilvl="1" w:tplc="7102DDCC">
      <w:start w:val="1"/>
      <w:numFmt w:val="decimal"/>
      <w:lvlText w:val="%2."/>
      <w:lvlJc w:val="left"/>
      <w:pPr>
        <w:ind w:left="2760" w:hanging="360"/>
      </w:pPr>
    </w:lvl>
    <w:lvl w:ilvl="2" w:tplc="84EE13F6">
      <w:start w:val="1"/>
      <w:numFmt w:val="decimal"/>
      <w:lvlText w:val="%3."/>
      <w:lvlJc w:val="left"/>
      <w:pPr>
        <w:ind w:left="2760" w:hanging="360"/>
      </w:pPr>
    </w:lvl>
    <w:lvl w:ilvl="3" w:tplc="29F4FF8E">
      <w:start w:val="1"/>
      <w:numFmt w:val="decimal"/>
      <w:lvlText w:val="%4."/>
      <w:lvlJc w:val="left"/>
      <w:pPr>
        <w:ind w:left="2760" w:hanging="360"/>
      </w:pPr>
    </w:lvl>
    <w:lvl w:ilvl="4" w:tplc="A728219E">
      <w:start w:val="1"/>
      <w:numFmt w:val="decimal"/>
      <w:lvlText w:val="%5."/>
      <w:lvlJc w:val="left"/>
      <w:pPr>
        <w:ind w:left="2760" w:hanging="360"/>
      </w:pPr>
    </w:lvl>
    <w:lvl w:ilvl="5" w:tplc="1410EEFA">
      <w:start w:val="1"/>
      <w:numFmt w:val="decimal"/>
      <w:lvlText w:val="%6."/>
      <w:lvlJc w:val="left"/>
      <w:pPr>
        <w:ind w:left="2760" w:hanging="360"/>
      </w:pPr>
    </w:lvl>
    <w:lvl w:ilvl="6" w:tplc="AF4C785A">
      <w:start w:val="1"/>
      <w:numFmt w:val="decimal"/>
      <w:lvlText w:val="%7."/>
      <w:lvlJc w:val="left"/>
      <w:pPr>
        <w:ind w:left="2760" w:hanging="360"/>
      </w:pPr>
    </w:lvl>
    <w:lvl w:ilvl="7" w:tplc="9F5E3F1A">
      <w:start w:val="1"/>
      <w:numFmt w:val="decimal"/>
      <w:lvlText w:val="%8."/>
      <w:lvlJc w:val="left"/>
      <w:pPr>
        <w:ind w:left="2760" w:hanging="360"/>
      </w:pPr>
    </w:lvl>
    <w:lvl w:ilvl="8" w:tplc="12A8FBA2">
      <w:start w:val="1"/>
      <w:numFmt w:val="decimal"/>
      <w:lvlText w:val="%9."/>
      <w:lvlJc w:val="left"/>
      <w:pPr>
        <w:ind w:left="2760" w:hanging="360"/>
      </w:pPr>
    </w:lvl>
  </w:abstractNum>
  <w:abstractNum w:abstractNumId="2" w15:restartNumberingAfterBreak="0">
    <w:nsid w:val="27161E2C"/>
    <w:multiLevelType w:val="hybridMultilevel"/>
    <w:tmpl w:val="7B6C57D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6AE774F"/>
    <w:multiLevelType w:val="hybridMultilevel"/>
    <w:tmpl w:val="CD3E66E6"/>
    <w:lvl w:ilvl="0" w:tplc="0024A0FC">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A503F61"/>
    <w:multiLevelType w:val="hybridMultilevel"/>
    <w:tmpl w:val="5F0AA1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BD52190"/>
    <w:multiLevelType w:val="hybridMultilevel"/>
    <w:tmpl w:val="681EDDEC"/>
    <w:lvl w:ilvl="0" w:tplc="0426000D">
      <w:start w:val="1"/>
      <w:numFmt w:val="bullet"/>
      <w:lvlText w:val=""/>
      <w:lvlJc w:val="left"/>
      <w:pPr>
        <w:ind w:left="775" w:hanging="360"/>
      </w:pPr>
      <w:rPr>
        <w:rFonts w:ascii="Wingdings" w:hAnsi="Wingdings" w:hint="default"/>
      </w:rPr>
    </w:lvl>
    <w:lvl w:ilvl="1" w:tplc="04260003" w:tentative="1">
      <w:start w:val="1"/>
      <w:numFmt w:val="bullet"/>
      <w:lvlText w:val="o"/>
      <w:lvlJc w:val="left"/>
      <w:pPr>
        <w:ind w:left="1495" w:hanging="360"/>
      </w:pPr>
      <w:rPr>
        <w:rFonts w:ascii="Courier New" w:hAnsi="Courier New" w:cs="Courier New" w:hint="default"/>
      </w:rPr>
    </w:lvl>
    <w:lvl w:ilvl="2" w:tplc="04260005" w:tentative="1">
      <w:start w:val="1"/>
      <w:numFmt w:val="bullet"/>
      <w:lvlText w:val=""/>
      <w:lvlJc w:val="left"/>
      <w:pPr>
        <w:ind w:left="2215" w:hanging="360"/>
      </w:pPr>
      <w:rPr>
        <w:rFonts w:ascii="Wingdings" w:hAnsi="Wingdings" w:hint="default"/>
      </w:rPr>
    </w:lvl>
    <w:lvl w:ilvl="3" w:tplc="04260001" w:tentative="1">
      <w:start w:val="1"/>
      <w:numFmt w:val="bullet"/>
      <w:lvlText w:val=""/>
      <w:lvlJc w:val="left"/>
      <w:pPr>
        <w:ind w:left="2935" w:hanging="360"/>
      </w:pPr>
      <w:rPr>
        <w:rFonts w:ascii="Symbol" w:hAnsi="Symbol" w:hint="default"/>
      </w:rPr>
    </w:lvl>
    <w:lvl w:ilvl="4" w:tplc="04260003" w:tentative="1">
      <w:start w:val="1"/>
      <w:numFmt w:val="bullet"/>
      <w:lvlText w:val="o"/>
      <w:lvlJc w:val="left"/>
      <w:pPr>
        <w:ind w:left="3655" w:hanging="360"/>
      </w:pPr>
      <w:rPr>
        <w:rFonts w:ascii="Courier New" w:hAnsi="Courier New" w:cs="Courier New" w:hint="default"/>
      </w:rPr>
    </w:lvl>
    <w:lvl w:ilvl="5" w:tplc="04260005" w:tentative="1">
      <w:start w:val="1"/>
      <w:numFmt w:val="bullet"/>
      <w:lvlText w:val=""/>
      <w:lvlJc w:val="left"/>
      <w:pPr>
        <w:ind w:left="4375" w:hanging="360"/>
      </w:pPr>
      <w:rPr>
        <w:rFonts w:ascii="Wingdings" w:hAnsi="Wingdings" w:hint="default"/>
      </w:rPr>
    </w:lvl>
    <w:lvl w:ilvl="6" w:tplc="04260001" w:tentative="1">
      <w:start w:val="1"/>
      <w:numFmt w:val="bullet"/>
      <w:lvlText w:val=""/>
      <w:lvlJc w:val="left"/>
      <w:pPr>
        <w:ind w:left="5095" w:hanging="360"/>
      </w:pPr>
      <w:rPr>
        <w:rFonts w:ascii="Symbol" w:hAnsi="Symbol" w:hint="default"/>
      </w:rPr>
    </w:lvl>
    <w:lvl w:ilvl="7" w:tplc="04260003" w:tentative="1">
      <w:start w:val="1"/>
      <w:numFmt w:val="bullet"/>
      <w:lvlText w:val="o"/>
      <w:lvlJc w:val="left"/>
      <w:pPr>
        <w:ind w:left="5815" w:hanging="360"/>
      </w:pPr>
      <w:rPr>
        <w:rFonts w:ascii="Courier New" w:hAnsi="Courier New" w:cs="Courier New" w:hint="default"/>
      </w:rPr>
    </w:lvl>
    <w:lvl w:ilvl="8" w:tplc="04260005" w:tentative="1">
      <w:start w:val="1"/>
      <w:numFmt w:val="bullet"/>
      <w:lvlText w:val=""/>
      <w:lvlJc w:val="left"/>
      <w:pPr>
        <w:ind w:left="6535" w:hanging="360"/>
      </w:pPr>
      <w:rPr>
        <w:rFonts w:ascii="Wingdings" w:hAnsi="Wingdings" w:hint="default"/>
      </w:rPr>
    </w:lvl>
  </w:abstractNum>
  <w:abstractNum w:abstractNumId="6" w15:restartNumberingAfterBreak="0">
    <w:nsid w:val="42D47A8C"/>
    <w:multiLevelType w:val="hybridMultilevel"/>
    <w:tmpl w:val="39E0A8AA"/>
    <w:lvl w:ilvl="0" w:tplc="F9ACDD32">
      <w:start w:val="1"/>
      <w:numFmt w:val="decimal"/>
      <w:lvlText w:val="%1)"/>
      <w:lvlJc w:val="left"/>
      <w:pPr>
        <w:ind w:left="720" w:hanging="360"/>
      </w:pPr>
    </w:lvl>
    <w:lvl w:ilvl="1" w:tplc="72D4CD5E">
      <w:start w:val="1"/>
      <w:numFmt w:val="decimal"/>
      <w:lvlText w:val="%2)"/>
      <w:lvlJc w:val="left"/>
      <w:pPr>
        <w:ind w:left="720" w:hanging="360"/>
      </w:pPr>
    </w:lvl>
    <w:lvl w:ilvl="2" w:tplc="24682FB8">
      <w:start w:val="1"/>
      <w:numFmt w:val="decimal"/>
      <w:lvlText w:val="%3)"/>
      <w:lvlJc w:val="left"/>
      <w:pPr>
        <w:ind w:left="720" w:hanging="360"/>
      </w:pPr>
    </w:lvl>
    <w:lvl w:ilvl="3" w:tplc="2DF21214">
      <w:start w:val="1"/>
      <w:numFmt w:val="decimal"/>
      <w:lvlText w:val="%4)"/>
      <w:lvlJc w:val="left"/>
      <w:pPr>
        <w:ind w:left="720" w:hanging="360"/>
      </w:pPr>
    </w:lvl>
    <w:lvl w:ilvl="4" w:tplc="FA9CF28A">
      <w:start w:val="1"/>
      <w:numFmt w:val="decimal"/>
      <w:lvlText w:val="%5)"/>
      <w:lvlJc w:val="left"/>
      <w:pPr>
        <w:ind w:left="720" w:hanging="360"/>
      </w:pPr>
    </w:lvl>
    <w:lvl w:ilvl="5" w:tplc="4E0EF4AE">
      <w:start w:val="1"/>
      <w:numFmt w:val="decimal"/>
      <w:lvlText w:val="%6)"/>
      <w:lvlJc w:val="left"/>
      <w:pPr>
        <w:ind w:left="720" w:hanging="360"/>
      </w:pPr>
    </w:lvl>
    <w:lvl w:ilvl="6" w:tplc="78969394">
      <w:start w:val="1"/>
      <w:numFmt w:val="decimal"/>
      <w:lvlText w:val="%7)"/>
      <w:lvlJc w:val="left"/>
      <w:pPr>
        <w:ind w:left="720" w:hanging="360"/>
      </w:pPr>
    </w:lvl>
    <w:lvl w:ilvl="7" w:tplc="031C9208">
      <w:start w:val="1"/>
      <w:numFmt w:val="decimal"/>
      <w:lvlText w:val="%8)"/>
      <w:lvlJc w:val="left"/>
      <w:pPr>
        <w:ind w:left="720" w:hanging="360"/>
      </w:pPr>
    </w:lvl>
    <w:lvl w:ilvl="8" w:tplc="DC88C692">
      <w:start w:val="1"/>
      <w:numFmt w:val="decimal"/>
      <w:lvlText w:val="%9)"/>
      <w:lvlJc w:val="left"/>
      <w:pPr>
        <w:ind w:left="720" w:hanging="360"/>
      </w:pPr>
    </w:lvl>
  </w:abstractNum>
  <w:abstractNum w:abstractNumId="7" w15:restartNumberingAfterBreak="0">
    <w:nsid w:val="4BBA5E3B"/>
    <w:multiLevelType w:val="hybridMultilevel"/>
    <w:tmpl w:val="8FBC9E8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E462498"/>
    <w:multiLevelType w:val="hybridMultilevel"/>
    <w:tmpl w:val="427E457E"/>
    <w:lvl w:ilvl="0" w:tplc="ED0EDB0E">
      <w:start w:val="2023"/>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9D1651A"/>
    <w:multiLevelType w:val="hybridMultilevel"/>
    <w:tmpl w:val="BE7A03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B3F68ED"/>
    <w:multiLevelType w:val="hybridMultilevel"/>
    <w:tmpl w:val="24181F7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020741383">
    <w:abstractNumId w:val="8"/>
  </w:num>
  <w:num w:numId="2" w16cid:durableId="219558385">
    <w:abstractNumId w:val="4"/>
  </w:num>
  <w:num w:numId="3" w16cid:durableId="253784293">
    <w:abstractNumId w:val="10"/>
  </w:num>
  <w:num w:numId="4" w16cid:durableId="549683054">
    <w:abstractNumId w:val="1"/>
  </w:num>
  <w:num w:numId="5" w16cid:durableId="1430003516">
    <w:abstractNumId w:val="11"/>
  </w:num>
  <w:num w:numId="6" w16cid:durableId="292517897">
    <w:abstractNumId w:val="7"/>
  </w:num>
  <w:num w:numId="7" w16cid:durableId="1011764958">
    <w:abstractNumId w:val="6"/>
  </w:num>
  <w:num w:numId="8" w16cid:durableId="1148402114">
    <w:abstractNumId w:val="3"/>
  </w:num>
  <w:num w:numId="9" w16cid:durableId="773091100">
    <w:abstractNumId w:val="0"/>
  </w:num>
  <w:num w:numId="10" w16cid:durableId="1962999905">
    <w:abstractNumId w:val="2"/>
  </w:num>
  <w:num w:numId="11" w16cid:durableId="1472868229">
    <w:abstractNumId w:val="5"/>
  </w:num>
  <w:num w:numId="12" w16cid:durableId="12092049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20"/>
    <w:rsid w:val="0000241D"/>
    <w:rsid w:val="00004286"/>
    <w:rsid w:val="00004B00"/>
    <w:rsid w:val="00004C53"/>
    <w:rsid w:val="00005D3B"/>
    <w:rsid w:val="000073FB"/>
    <w:rsid w:val="000132FD"/>
    <w:rsid w:val="00013443"/>
    <w:rsid w:val="0001597E"/>
    <w:rsid w:val="000242EC"/>
    <w:rsid w:val="000250D2"/>
    <w:rsid w:val="00025B5A"/>
    <w:rsid w:val="000261A9"/>
    <w:rsid w:val="000266E8"/>
    <w:rsid w:val="000266FD"/>
    <w:rsid w:val="00026984"/>
    <w:rsid w:val="000274E5"/>
    <w:rsid w:val="00027F6C"/>
    <w:rsid w:val="00030A2F"/>
    <w:rsid w:val="00036527"/>
    <w:rsid w:val="000376F0"/>
    <w:rsid w:val="000407A4"/>
    <w:rsid w:val="00040992"/>
    <w:rsid w:val="00042E9C"/>
    <w:rsid w:val="000430D1"/>
    <w:rsid w:val="000434F8"/>
    <w:rsid w:val="00043D2F"/>
    <w:rsid w:val="000475E4"/>
    <w:rsid w:val="00050C83"/>
    <w:rsid w:val="0005215D"/>
    <w:rsid w:val="00052B8F"/>
    <w:rsid w:val="00056337"/>
    <w:rsid w:val="00056CD8"/>
    <w:rsid w:val="000602FB"/>
    <w:rsid w:val="00061452"/>
    <w:rsid w:val="0006378E"/>
    <w:rsid w:val="0006408A"/>
    <w:rsid w:val="000643AC"/>
    <w:rsid w:val="00064FD5"/>
    <w:rsid w:val="00066C85"/>
    <w:rsid w:val="00066F5A"/>
    <w:rsid w:val="000704BC"/>
    <w:rsid w:val="00070518"/>
    <w:rsid w:val="000713C9"/>
    <w:rsid w:val="0007239B"/>
    <w:rsid w:val="000755C1"/>
    <w:rsid w:val="0007783C"/>
    <w:rsid w:val="00080042"/>
    <w:rsid w:val="00082F0C"/>
    <w:rsid w:val="00083AF9"/>
    <w:rsid w:val="00083B07"/>
    <w:rsid w:val="00084E26"/>
    <w:rsid w:val="000949D2"/>
    <w:rsid w:val="00094A20"/>
    <w:rsid w:val="00094AD7"/>
    <w:rsid w:val="00094C0B"/>
    <w:rsid w:val="00095C3C"/>
    <w:rsid w:val="000975D1"/>
    <w:rsid w:val="00097BDE"/>
    <w:rsid w:val="000A30A3"/>
    <w:rsid w:val="000A360D"/>
    <w:rsid w:val="000A3D17"/>
    <w:rsid w:val="000A49BC"/>
    <w:rsid w:val="000A4DA7"/>
    <w:rsid w:val="000A7515"/>
    <w:rsid w:val="000B0E14"/>
    <w:rsid w:val="000B18AB"/>
    <w:rsid w:val="000B3458"/>
    <w:rsid w:val="000B491E"/>
    <w:rsid w:val="000B4A2E"/>
    <w:rsid w:val="000B5A74"/>
    <w:rsid w:val="000C0DC9"/>
    <w:rsid w:val="000C1703"/>
    <w:rsid w:val="000C2186"/>
    <w:rsid w:val="000C35B9"/>
    <w:rsid w:val="000C3FB1"/>
    <w:rsid w:val="000C4902"/>
    <w:rsid w:val="000C4FC6"/>
    <w:rsid w:val="000C76AC"/>
    <w:rsid w:val="000C7AB3"/>
    <w:rsid w:val="000C7D06"/>
    <w:rsid w:val="000C7FA6"/>
    <w:rsid w:val="000D0547"/>
    <w:rsid w:val="000D2119"/>
    <w:rsid w:val="000D23B0"/>
    <w:rsid w:val="000D29AD"/>
    <w:rsid w:val="000D30BF"/>
    <w:rsid w:val="000D3205"/>
    <w:rsid w:val="000D3D71"/>
    <w:rsid w:val="000D453C"/>
    <w:rsid w:val="000D6B73"/>
    <w:rsid w:val="000D7A68"/>
    <w:rsid w:val="000D7B1E"/>
    <w:rsid w:val="000E00F6"/>
    <w:rsid w:val="000E26DE"/>
    <w:rsid w:val="000E36AD"/>
    <w:rsid w:val="000E5859"/>
    <w:rsid w:val="000E6BAA"/>
    <w:rsid w:val="000E7CFF"/>
    <w:rsid w:val="000F20F9"/>
    <w:rsid w:val="000F3755"/>
    <w:rsid w:val="000F531C"/>
    <w:rsid w:val="00100A93"/>
    <w:rsid w:val="00101FB8"/>
    <w:rsid w:val="00103179"/>
    <w:rsid w:val="0010496E"/>
    <w:rsid w:val="0010498B"/>
    <w:rsid w:val="0010598D"/>
    <w:rsid w:val="00106553"/>
    <w:rsid w:val="001119D9"/>
    <w:rsid w:val="001128E2"/>
    <w:rsid w:val="0011303F"/>
    <w:rsid w:val="001133A1"/>
    <w:rsid w:val="00113754"/>
    <w:rsid w:val="0011392D"/>
    <w:rsid w:val="00113937"/>
    <w:rsid w:val="0011779A"/>
    <w:rsid w:val="0012055B"/>
    <w:rsid w:val="00120718"/>
    <w:rsid w:val="00120BA5"/>
    <w:rsid w:val="001230E8"/>
    <w:rsid w:val="00123692"/>
    <w:rsid w:val="00124BCC"/>
    <w:rsid w:val="00132940"/>
    <w:rsid w:val="00133375"/>
    <w:rsid w:val="00134478"/>
    <w:rsid w:val="001356E5"/>
    <w:rsid w:val="0013591C"/>
    <w:rsid w:val="00137DD6"/>
    <w:rsid w:val="00141393"/>
    <w:rsid w:val="00142320"/>
    <w:rsid w:val="0014506A"/>
    <w:rsid w:val="00147132"/>
    <w:rsid w:val="00147EEA"/>
    <w:rsid w:val="0015078E"/>
    <w:rsid w:val="00151911"/>
    <w:rsid w:val="00153318"/>
    <w:rsid w:val="0015340D"/>
    <w:rsid w:val="0015367A"/>
    <w:rsid w:val="00153B6A"/>
    <w:rsid w:val="001540A0"/>
    <w:rsid w:val="001547E8"/>
    <w:rsid w:val="00157B3D"/>
    <w:rsid w:val="00160E7D"/>
    <w:rsid w:val="00170221"/>
    <w:rsid w:val="00170E28"/>
    <w:rsid w:val="00171CC1"/>
    <w:rsid w:val="00171DD1"/>
    <w:rsid w:val="001729A7"/>
    <w:rsid w:val="00173B8F"/>
    <w:rsid w:val="001741F1"/>
    <w:rsid w:val="0017453B"/>
    <w:rsid w:val="001751C0"/>
    <w:rsid w:val="00176FC8"/>
    <w:rsid w:val="00180765"/>
    <w:rsid w:val="001816FB"/>
    <w:rsid w:val="001827C1"/>
    <w:rsid w:val="00187764"/>
    <w:rsid w:val="00191F1F"/>
    <w:rsid w:val="001925A6"/>
    <w:rsid w:val="00193CCF"/>
    <w:rsid w:val="001947DB"/>
    <w:rsid w:val="001A1C30"/>
    <w:rsid w:val="001A2225"/>
    <w:rsid w:val="001A6114"/>
    <w:rsid w:val="001A75AD"/>
    <w:rsid w:val="001B1EAD"/>
    <w:rsid w:val="001B21D3"/>
    <w:rsid w:val="001B245B"/>
    <w:rsid w:val="001B2DCB"/>
    <w:rsid w:val="001B49CA"/>
    <w:rsid w:val="001B55CA"/>
    <w:rsid w:val="001C02E9"/>
    <w:rsid w:val="001C2E3A"/>
    <w:rsid w:val="001C6DD7"/>
    <w:rsid w:val="001D08BB"/>
    <w:rsid w:val="001D19A4"/>
    <w:rsid w:val="001D3C3F"/>
    <w:rsid w:val="001D515C"/>
    <w:rsid w:val="001D77D5"/>
    <w:rsid w:val="001D7BC0"/>
    <w:rsid w:val="001E0BB0"/>
    <w:rsid w:val="001E34F2"/>
    <w:rsid w:val="001E3F81"/>
    <w:rsid w:val="001E409F"/>
    <w:rsid w:val="001E5687"/>
    <w:rsid w:val="001E701B"/>
    <w:rsid w:val="001E740F"/>
    <w:rsid w:val="001F1F1F"/>
    <w:rsid w:val="001F2819"/>
    <w:rsid w:val="001F43D2"/>
    <w:rsid w:val="001F60BD"/>
    <w:rsid w:val="001F6CE3"/>
    <w:rsid w:val="001F7303"/>
    <w:rsid w:val="00202A97"/>
    <w:rsid w:val="002035A2"/>
    <w:rsid w:val="0020468E"/>
    <w:rsid w:val="002051F6"/>
    <w:rsid w:val="00206C2D"/>
    <w:rsid w:val="00206E62"/>
    <w:rsid w:val="00207E57"/>
    <w:rsid w:val="00210B1F"/>
    <w:rsid w:val="002119A2"/>
    <w:rsid w:val="00211D26"/>
    <w:rsid w:val="00211D34"/>
    <w:rsid w:val="002121DA"/>
    <w:rsid w:val="00212420"/>
    <w:rsid w:val="00212A26"/>
    <w:rsid w:val="00214712"/>
    <w:rsid w:val="0021474E"/>
    <w:rsid w:val="00214C45"/>
    <w:rsid w:val="00217346"/>
    <w:rsid w:val="0021788F"/>
    <w:rsid w:val="00220210"/>
    <w:rsid w:val="0022022D"/>
    <w:rsid w:val="002207A3"/>
    <w:rsid w:val="00221C75"/>
    <w:rsid w:val="0022614E"/>
    <w:rsid w:val="002272B9"/>
    <w:rsid w:val="00234CD3"/>
    <w:rsid w:val="0023515A"/>
    <w:rsid w:val="00236942"/>
    <w:rsid w:val="00240D53"/>
    <w:rsid w:val="00242E4C"/>
    <w:rsid w:val="0024591D"/>
    <w:rsid w:val="002474BB"/>
    <w:rsid w:val="00251046"/>
    <w:rsid w:val="00251B16"/>
    <w:rsid w:val="002529A3"/>
    <w:rsid w:val="0025355B"/>
    <w:rsid w:val="00253C49"/>
    <w:rsid w:val="0025486F"/>
    <w:rsid w:val="00254AFF"/>
    <w:rsid w:val="00255F29"/>
    <w:rsid w:val="00257660"/>
    <w:rsid w:val="00257DFB"/>
    <w:rsid w:val="00261246"/>
    <w:rsid w:val="002621A4"/>
    <w:rsid w:val="0026381A"/>
    <w:rsid w:val="00266209"/>
    <w:rsid w:val="0026752B"/>
    <w:rsid w:val="002675D2"/>
    <w:rsid w:val="002679F3"/>
    <w:rsid w:val="0027034C"/>
    <w:rsid w:val="00270FB4"/>
    <w:rsid w:val="0027268C"/>
    <w:rsid w:val="0027276E"/>
    <w:rsid w:val="00272CC7"/>
    <w:rsid w:val="00274FD5"/>
    <w:rsid w:val="00276EEF"/>
    <w:rsid w:val="002834C5"/>
    <w:rsid w:val="00286F2B"/>
    <w:rsid w:val="00287579"/>
    <w:rsid w:val="00291D3C"/>
    <w:rsid w:val="00291F18"/>
    <w:rsid w:val="00294021"/>
    <w:rsid w:val="002969DA"/>
    <w:rsid w:val="002A0CE0"/>
    <w:rsid w:val="002A24EA"/>
    <w:rsid w:val="002A2CFC"/>
    <w:rsid w:val="002A2D21"/>
    <w:rsid w:val="002A5FA6"/>
    <w:rsid w:val="002A7153"/>
    <w:rsid w:val="002A77A4"/>
    <w:rsid w:val="002A7FB5"/>
    <w:rsid w:val="002B447E"/>
    <w:rsid w:val="002B4C64"/>
    <w:rsid w:val="002B519F"/>
    <w:rsid w:val="002B6725"/>
    <w:rsid w:val="002B7A7F"/>
    <w:rsid w:val="002C12BF"/>
    <w:rsid w:val="002C329B"/>
    <w:rsid w:val="002C3D66"/>
    <w:rsid w:val="002C6295"/>
    <w:rsid w:val="002D0074"/>
    <w:rsid w:val="002D1484"/>
    <w:rsid w:val="002D22D4"/>
    <w:rsid w:val="002D24A8"/>
    <w:rsid w:val="002D3FFE"/>
    <w:rsid w:val="002D654F"/>
    <w:rsid w:val="002D6B8C"/>
    <w:rsid w:val="002E2CD4"/>
    <w:rsid w:val="002E3271"/>
    <w:rsid w:val="002E35C4"/>
    <w:rsid w:val="002E5FC9"/>
    <w:rsid w:val="002E635F"/>
    <w:rsid w:val="002E7488"/>
    <w:rsid w:val="002E7AB6"/>
    <w:rsid w:val="002F0D78"/>
    <w:rsid w:val="002F1A2F"/>
    <w:rsid w:val="002F1C0C"/>
    <w:rsid w:val="002F2FD6"/>
    <w:rsid w:val="002F4494"/>
    <w:rsid w:val="002F6DAB"/>
    <w:rsid w:val="002F7A39"/>
    <w:rsid w:val="003005EC"/>
    <w:rsid w:val="00304AD5"/>
    <w:rsid w:val="003054DE"/>
    <w:rsid w:val="00306671"/>
    <w:rsid w:val="00312CED"/>
    <w:rsid w:val="00313193"/>
    <w:rsid w:val="00313573"/>
    <w:rsid w:val="00313DCA"/>
    <w:rsid w:val="00315563"/>
    <w:rsid w:val="00315989"/>
    <w:rsid w:val="00321062"/>
    <w:rsid w:val="00321298"/>
    <w:rsid w:val="00321D71"/>
    <w:rsid w:val="003233E5"/>
    <w:rsid w:val="00324765"/>
    <w:rsid w:val="003260EC"/>
    <w:rsid w:val="00327C2D"/>
    <w:rsid w:val="00331694"/>
    <w:rsid w:val="0033227D"/>
    <w:rsid w:val="00336039"/>
    <w:rsid w:val="0033630D"/>
    <w:rsid w:val="0034139D"/>
    <w:rsid w:val="00341873"/>
    <w:rsid w:val="00341ACC"/>
    <w:rsid w:val="003422ED"/>
    <w:rsid w:val="003432B2"/>
    <w:rsid w:val="00343634"/>
    <w:rsid w:val="00345994"/>
    <w:rsid w:val="00345CCA"/>
    <w:rsid w:val="00346D0E"/>
    <w:rsid w:val="003504CE"/>
    <w:rsid w:val="00350B45"/>
    <w:rsid w:val="003514E7"/>
    <w:rsid w:val="003531EF"/>
    <w:rsid w:val="0035623D"/>
    <w:rsid w:val="00356532"/>
    <w:rsid w:val="003565CF"/>
    <w:rsid w:val="00360A8F"/>
    <w:rsid w:val="00364E81"/>
    <w:rsid w:val="003656A3"/>
    <w:rsid w:val="003656AA"/>
    <w:rsid w:val="003665E2"/>
    <w:rsid w:val="003667ED"/>
    <w:rsid w:val="00366CC3"/>
    <w:rsid w:val="00367B98"/>
    <w:rsid w:val="003728A3"/>
    <w:rsid w:val="00373237"/>
    <w:rsid w:val="00373D40"/>
    <w:rsid w:val="00376268"/>
    <w:rsid w:val="00376B29"/>
    <w:rsid w:val="003770C2"/>
    <w:rsid w:val="003770FF"/>
    <w:rsid w:val="00377C2F"/>
    <w:rsid w:val="00380848"/>
    <w:rsid w:val="003811B6"/>
    <w:rsid w:val="00383541"/>
    <w:rsid w:val="003848C0"/>
    <w:rsid w:val="0038642D"/>
    <w:rsid w:val="003902DE"/>
    <w:rsid w:val="00390A37"/>
    <w:rsid w:val="003912A6"/>
    <w:rsid w:val="00393619"/>
    <w:rsid w:val="00396DD5"/>
    <w:rsid w:val="00397201"/>
    <w:rsid w:val="003A1547"/>
    <w:rsid w:val="003A2DF0"/>
    <w:rsid w:val="003A7C34"/>
    <w:rsid w:val="003B01FF"/>
    <w:rsid w:val="003B0F31"/>
    <w:rsid w:val="003B11A0"/>
    <w:rsid w:val="003B1811"/>
    <w:rsid w:val="003B18B8"/>
    <w:rsid w:val="003B20E7"/>
    <w:rsid w:val="003B45DA"/>
    <w:rsid w:val="003B4955"/>
    <w:rsid w:val="003B5C31"/>
    <w:rsid w:val="003B7548"/>
    <w:rsid w:val="003B7C70"/>
    <w:rsid w:val="003B7D42"/>
    <w:rsid w:val="003C3164"/>
    <w:rsid w:val="003C557F"/>
    <w:rsid w:val="003C5662"/>
    <w:rsid w:val="003C754C"/>
    <w:rsid w:val="003D0920"/>
    <w:rsid w:val="003D15EB"/>
    <w:rsid w:val="003D215C"/>
    <w:rsid w:val="003D2AD6"/>
    <w:rsid w:val="003D785A"/>
    <w:rsid w:val="003E0020"/>
    <w:rsid w:val="003E057F"/>
    <w:rsid w:val="003E19DF"/>
    <w:rsid w:val="003E1F83"/>
    <w:rsid w:val="003E3671"/>
    <w:rsid w:val="003E3D8A"/>
    <w:rsid w:val="003E4459"/>
    <w:rsid w:val="003E4F11"/>
    <w:rsid w:val="003E559F"/>
    <w:rsid w:val="003E5C21"/>
    <w:rsid w:val="003E79B8"/>
    <w:rsid w:val="003F1D49"/>
    <w:rsid w:val="003F20B8"/>
    <w:rsid w:val="003F6C00"/>
    <w:rsid w:val="003F74CB"/>
    <w:rsid w:val="00400485"/>
    <w:rsid w:val="00401A81"/>
    <w:rsid w:val="0040268C"/>
    <w:rsid w:val="00403D54"/>
    <w:rsid w:val="0040438C"/>
    <w:rsid w:val="004047DF"/>
    <w:rsid w:val="00404CD6"/>
    <w:rsid w:val="00410D17"/>
    <w:rsid w:val="00411796"/>
    <w:rsid w:val="0041191D"/>
    <w:rsid w:val="0041299F"/>
    <w:rsid w:val="004131A9"/>
    <w:rsid w:val="00413DA7"/>
    <w:rsid w:val="00422A7C"/>
    <w:rsid w:val="004248D0"/>
    <w:rsid w:val="004264FD"/>
    <w:rsid w:val="00426699"/>
    <w:rsid w:val="00426B2C"/>
    <w:rsid w:val="00426F00"/>
    <w:rsid w:val="00430191"/>
    <w:rsid w:val="00430443"/>
    <w:rsid w:val="00430A44"/>
    <w:rsid w:val="00431166"/>
    <w:rsid w:val="00431549"/>
    <w:rsid w:val="00432360"/>
    <w:rsid w:val="00432BC5"/>
    <w:rsid w:val="00433169"/>
    <w:rsid w:val="00433399"/>
    <w:rsid w:val="0043391B"/>
    <w:rsid w:val="004344C3"/>
    <w:rsid w:val="00436827"/>
    <w:rsid w:val="0043727F"/>
    <w:rsid w:val="00437978"/>
    <w:rsid w:val="00441B3E"/>
    <w:rsid w:val="00442D8A"/>
    <w:rsid w:val="004453FB"/>
    <w:rsid w:val="0045084D"/>
    <w:rsid w:val="0045495E"/>
    <w:rsid w:val="004565EA"/>
    <w:rsid w:val="00456E6C"/>
    <w:rsid w:val="00456FAA"/>
    <w:rsid w:val="004574DD"/>
    <w:rsid w:val="00457736"/>
    <w:rsid w:val="00457F46"/>
    <w:rsid w:val="004608EC"/>
    <w:rsid w:val="00461670"/>
    <w:rsid w:val="004621D4"/>
    <w:rsid w:val="00463FB3"/>
    <w:rsid w:val="0046451C"/>
    <w:rsid w:val="00465418"/>
    <w:rsid w:val="00466F34"/>
    <w:rsid w:val="00471743"/>
    <w:rsid w:val="00471DA4"/>
    <w:rsid w:val="00473C36"/>
    <w:rsid w:val="00474800"/>
    <w:rsid w:val="0047698A"/>
    <w:rsid w:val="00476DA7"/>
    <w:rsid w:val="004772FB"/>
    <w:rsid w:val="004805B8"/>
    <w:rsid w:val="004816A5"/>
    <w:rsid w:val="00483FEF"/>
    <w:rsid w:val="00484D72"/>
    <w:rsid w:val="00492BC9"/>
    <w:rsid w:val="00493960"/>
    <w:rsid w:val="004941BC"/>
    <w:rsid w:val="004946FF"/>
    <w:rsid w:val="004970D1"/>
    <w:rsid w:val="00497F91"/>
    <w:rsid w:val="004A0E49"/>
    <w:rsid w:val="004A13C1"/>
    <w:rsid w:val="004A3188"/>
    <w:rsid w:val="004A3786"/>
    <w:rsid w:val="004A44F2"/>
    <w:rsid w:val="004A4814"/>
    <w:rsid w:val="004A49F3"/>
    <w:rsid w:val="004A5625"/>
    <w:rsid w:val="004A6534"/>
    <w:rsid w:val="004B225B"/>
    <w:rsid w:val="004B3BBE"/>
    <w:rsid w:val="004B4CC1"/>
    <w:rsid w:val="004B689E"/>
    <w:rsid w:val="004B7FBD"/>
    <w:rsid w:val="004C1C0E"/>
    <w:rsid w:val="004C3A01"/>
    <w:rsid w:val="004C49A3"/>
    <w:rsid w:val="004C4F35"/>
    <w:rsid w:val="004C55D1"/>
    <w:rsid w:val="004C62E5"/>
    <w:rsid w:val="004C74B9"/>
    <w:rsid w:val="004D18BB"/>
    <w:rsid w:val="004D3740"/>
    <w:rsid w:val="004D3B21"/>
    <w:rsid w:val="004D5596"/>
    <w:rsid w:val="004D7347"/>
    <w:rsid w:val="004D7D20"/>
    <w:rsid w:val="004E00F8"/>
    <w:rsid w:val="004E3046"/>
    <w:rsid w:val="004E3225"/>
    <w:rsid w:val="004E4029"/>
    <w:rsid w:val="004E5181"/>
    <w:rsid w:val="004E638F"/>
    <w:rsid w:val="004E6A40"/>
    <w:rsid w:val="004E6EBB"/>
    <w:rsid w:val="004E729A"/>
    <w:rsid w:val="004E74FE"/>
    <w:rsid w:val="004F068C"/>
    <w:rsid w:val="004F0A3D"/>
    <w:rsid w:val="004F1453"/>
    <w:rsid w:val="004F1D64"/>
    <w:rsid w:val="004F226D"/>
    <w:rsid w:val="004F254E"/>
    <w:rsid w:val="004F4693"/>
    <w:rsid w:val="004F5C09"/>
    <w:rsid w:val="004F7291"/>
    <w:rsid w:val="00500862"/>
    <w:rsid w:val="00500C22"/>
    <w:rsid w:val="00501356"/>
    <w:rsid w:val="005025A4"/>
    <w:rsid w:val="005028D8"/>
    <w:rsid w:val="00503A1C"/>
    <w:rsid w:val="0050509B"/>
    <w:rsid w:val="005069E7"/>
    <w:rsid w:val="005077D7"/>
    <w:rsid w:val="0051270E"/>
    <w:rsid w:val="005154AD"/>
    <w:rsid w:val="00516DA7"/>
    <w:rsid w:val="0051769C"/>
    <w:rsid w:val="005207E4"/>
    <w:rsid w:val="00522E82"/>
    <w:rsid w:val="005230A8"/>
    <w:rsid w:val="005319C0"/>
    <w:rsid w:val="005322CF"/>
    <w:rsid w:val="00532916"/>
    <w:rsid w:val="00533702"/>
    <w:rsid w:val="0053707D"/>
    <w:rsid w:val="00541207"/>
    <w:rsid w:val="00541FBB"/>
    <w:rsid w:val="00546F6D"/>
    <w:rsid w:val="00547981"/>
    <w:rsid w:val="005502D9"/>
    <w:rsid w:val="00551842"/>
    <w:rsid w:val="0055187E"/>
    <w:rsid w:val="00552F18"/>
    <w:rsid w:val="005534E1"/>
    <w:rsid w:val="00554134"/>
    <w:rsid w:val="0055650F"/>
    <w:rsid w:val="005574FE"/>
    <w:rsid w:val="00561628"/>
    <w:rsid w:val="00570D51"/>
    <w:rsid w:val="0057133C"/>
    <w:rsid w:val="005721A2"/>
    <w:rsid w:val="00576D2D"/>
    <w:rsid w:val="0057750C"/>
    <w:rsid w:val="00580571"/>
    <w:rsid w:val="00581132"/>
    <w:rsid w:val="00581B25"/>
    <w:rsid w:val="00585BF8"/>
    <w:rsid w:val="00586107"/>
    <w:rsid w:val="00586F0B"/>
    <w:rsid w:val="00587164"/>
    <w:rsid w:val="00587281"/>
    <w:rsid w:val="0058764E"/>
    <w:rsid w:val="005901AE"/>
    <w:rsid w:val="0059070B"/>
    <w:rsid w:val="00591702"/>
    <w:rsid w:val="00592E64"/>
    <w:rsid w:val="005945BA"/>
    <w:rsid w:val="00597D5C"/>
    <w:rsid w:val="005A371C"/>
    <w:rsid w:val="005A6148"/>
    <w:rsid w:val="005A6E97"/>
    <w:rsid w:val="005A7603"/>
    <w:rsid w:val="005B1528"/>
    <w:rsid w:val="005B2AB2"/>
    <w:rsid w:val="005B38B3"/>
    <w:rsid w:val="005B4D11"/>
    <w:rsid w:val="005B62C4"/>
    <w:rsid w:val="005B73FE"/>
    <w:rsid w:val="005B7F17"/>
    <w:rsid w:val="005C1197"/>
    <w:rsid w:val="005C396A"/>
    <w:rsid w:val="005C45AD"/>
    <w:rsid w:val="005C6F27"/>
    <w:rsid w:val="005C7A4E"/>
    <w:rsid w:val="005D0433"/>
    <w:rsid w:val="005D1433"/>
    <w:rsid w:val="005D38E6"/>
    <w:rsid w:val="005D5303"/>
    <w:rsid w:val="005D70BA"/>
    <w:rsid w:val="005E02D7"/>
    <w:rsid w:val="005E0715"/>
    <w:rsid w:val="005E1EC8"/>
    <w:rsid w:val="005E2284"/>
    <w:rsid w:val="005E3226"/>
    <w:rsid w:val="005E34C8"/>
    <w:rsid w:val="005E3A1A"/>
    <w:rsid w:val="005E4257"/>
    <w:rsid w:val="005E64B3"/>
    <w:rsid w:val="005F23C8"/>
    <w:rsid w:val="005F36CC"/>
    <w:rsid w:val="005F3916"/>
    <w:rsid w:val="005F5C35"/>
    <w:rsid w:val="005F7018"/>
    <w:rsid w:val="0060153E"/>
    <w:rsid w:val="0060193F"/>
    <w:rsid w:val="00601CE0"/>
    <w:rsid w:val="00601D56"/>
    <w:rsid w:val="00610ECB"/>
    <w:rsid w:val="0061206C"/>
    <w:rsid w:val="00613DA5"/>
    <w:rsid w:val="00616168"/>
    <w:rsid w:val="00617A85"/>
    <w:rsid w:val="00622F6B"/>
    <w:rsid w:val="006230E6"/>
    <w:rsid w:val="0062448C"/>
    <w:rsid w:val="006252BF"/>
    <w:rsid w:val="00625EC4"/>
    <w:rsid w:val="00625F24"/>
    <w:rsid w:val="00626E65"/>
    <w:rsid w:val="00627719"/>
    <w:rsid w:val="006307A1"/>
    <w:rsid w:val="00630FA7"/>
    <w:rsid w:val="0063401E"/>
    <w:rsid w:val="00634177"/>
    <w:rsid w:val="0063425A"/>
    <w:rsid w:val="00636780"/>
    <w:rsid w:val="00636E46"/>
    <w:rsid w:val="0064414B"/>
    <w:rsid w:val="00644F16"/>
    <w:rsid w:val="0064636F"/>
    <w:rsid w:val="00647CFA"/>
    <w:rsid w:val="00650410"/>
    <w:rsid w:val="00650C18"/>
    <w:rsid w:val="0065129F"/>
    <w:rsid w:val="00655815"/>
    <w:rsid w:val="00655C4B"/>
    <w:rsid w:val="00656FF8"/>
    <w:rsid w:val="006602C9"/>
    <w:rsid w:val="006613AF"/>
    <w:rsid w:val="00662DCD"/>
    <w:rsid w:val="00665CAD"/>
    <w:rsid w:val="0066606D"/>
    <w:rsid w:val="006666D1"/>
    <w:rsid w:val="00667DC9"/>
    <w:rsid w:val="00670A0F"/>
    <w:rsid w:val="00673281"/>
    <w:rsid w:val="0067556B"/>
    <w:rsid w:val="006775F6"/>
    <w:rsid w:val="0067778E"/>
    <w:rsid w:val="00682436"/>
    <w:rsid w:val="0068263E"/>
    <w:rsid w:val="00684DAF"/>
    <w:rsid w:val="0068575F"/>
    <w:rsid w:val="006874B0"/>
    <w:rsid w:val="0069031E"/>
    <w:rsid w:val="0069337D"/>
    <w:rsid w:val="006944EB"/>
    <w:rsid w:val="00695650"/>
    <w:rsid w:val="00697EFF"/>
    <w:rsid w:val="006A00A5"/>
    <w:rsid w:val="006A36CA"/>
    <w:rsid w:val="006A484F"/>
    <w:rsid w:val="006A5865"/>
    <w:rsid w:val="006A645F"/>
    <w:rsid w:val="006B0F6A"/>
    <w:rsid w:val="006B1CF6"/>
    <w:rsid w:val="006B364A"/>
    <w:rsid w:val="006B452C"/>
    <w:rsid w:val="006B7DB3"/>
    <w:rsid w:val="006C2BE8"/>
    <w:rsid w:val="006C47F3"/>
    <w:rsid w:val="006C4C15"/>
    <w:rsid w:val="006D0C5C"/>
    <w:rsid w:val="006D0D35"/>
    <w:rsid w:val="006D2C18"/>
    <w:rsid w:val="006D509A"/>
    <w:rsid w:val="006D551C"/>
    <w:rsid w:val="006D5F36"/>
    <w:rsid w:val="006D6052"/>
    <w:rsid w:val="006D6D82"/>
    <w:rsid w:val="006E26DF"/>
    <w:rsid w:val="006E4254"/>
    <w:rsid w:val="006F1883"/>
    <w:rsid w:val="006F288D"/>
    <w:rsid w:val="006F28DF"/>
    <w:rsid w:val="006F29C9"/>
    <w:rsid w:val="006F2B3D"/>
    <w:rsid w:val="006F5239"/>
    <w:rsid w:val="006F7344"/>
    <w:rsid w:val="00701F0D"/>
    <w:rsid w:val="0070279E"/>
    <w:rsid w:val="00703FBF"/>
    <w:rsid w:val="007048E4"/>
    <w:rsid w:val="00705EC3"/>
    <w:rsid w:val="00705FA9"/>
    <w:rsid w:val="00706E22"/>
    <w:rsid w:val="00710562"/>
    <w:rsid w:val="00712970"/>
    <w:rsid w:val="00712CEC"/>
    <w:rsid w:val="00714C42"/>
    <w:rsid w:val="007156FD"/>
    <w:rsid w:val="00716A44"/>
    <w:rsid w:val="0071733C"/>
    <w:rsid w:val="007200D7"/>
    <w:rsid w:val="0072388B"/>
    <w:rsid w:val="00724598"/>
    <w:rsid w:val="00731A18"/>
    <w:rsid w:val="0073254C"/>
    <w:rsid w:val="00734E64"/>
    <w:rsid w:val="00735330"/>
    <w:rsid w:val="0073624B"/>
    <w:rsid w:val="00736400"/>
    <w:rsid w:val="00736C30"/>
    <w:rsid w:val="00737059"/>
    <w:rsid w:val="00744E49"/>
    <w:rsid w:val="007458AA"/>
    <w:rsid w:val="00745C0D"/>
    <w:rsid w:val="0074615E"/>
    <w:rsid w:val="0074690C"/>
    <w:rsid w:val="00747968"/>
    <w:rsid w:val="007512CD"/>
    <w:rsid w:val="00751485"/>
    <w:rsid w:val="007530CF"/>
    <w:rsid w:val="007539DC"/>
    <w:rsid w:val="00754033"/>
    <w:rsid w:val="00755EFD"/>
    <w:rsid w:val="007567F5"/>
    <w:rsid w:val="00756F77"/>
    <w:rsid w:val="007576A4"/>
    <w:rsid w:val="00760EAA"/>
    <w:rsid w:val="0076100E"/>
    <w:rsid w:val="00764AE9"/>
    <w:rsid w:val="007657EB"/>
    <w:rsid w:val="00766F0B"/>
    <w:rsid w:val="007675BD"/>
    <w:rsid w:val="007677F6"/>
    <w:rsid w:val="00767F78"/>
    <w:rsid w:val="00770C07"/>
    <w:rsid w:val="007719B2"/>
    <w:rsid w:val="00772377"/>
    <w:rsid w:val="007747FE"/>
    <w:rsid w:val="007753C1"/>
    <w:rsid w:val="007765C8"/>
    <w:rsid w:val="0077672E"/>
    <w:rsid w:val="00776ADF"/>
    <w:rsid w:val="0078166E"/>
    <w:rsid w:val="007824EB"/>
    <w:rsid w:val="00783D0A"/>
    <w:rsid w:val="00785329"/>
    <w:rsid w:val="00785794"/>
    <w:rsid w:val="00785AFB"/>
    <w:rsid w:val="00785C97"/>
    <w:rsid w:val="00786A90"/>
    <w:rsid w:val="00786B14"/>
    <w:rsid w:val="00787487"/>
    <w:rsid w:val="00791179"/>
    <w:rsid w:val="00792573"/>
    <w:rsid w:val="0079415B"/>
    <w:rsid w:val="00797204"/>
    <w:rsid w:val="00797C87"/>
    <w:rsid w:val="007A070F"/>
    <w:rsid w:val="007A15AD"/>
    <w:rsid w:val="007A4EB3"/>
    <w:rsid w:val="007A52B9"/>
    <w:rsid w:val="007A6C4D"/>
    <w:rsid w:val="007A6FE0"/>
    <w:rsid w:val="007A709D"/>
    <w:rsid w:val="007B06D0"/>
    <w:rsid w:val="007B2E2F"/>
    <w:rsid w:val="007B5D6C"/>
    <w:rsid w:val="007B6435"/>
    <w:rsid w:val="007B784C"/>
    <w:rsid w:val="007C1512"/>
    <w:rsid w:val="007C2E87"/>
    <w:rsid w:val="007C333C"/>
    <w:rsid w:val="007C394B"/>
    <w:rsid w:val="007C3DA8"/>
    <w:rsid w:val="007C61C9"/>
    <w:rsid w:val="007D0406"/>
    <w:rsid w:val="007D1262"/>
    <w:rsid w:val="007D3A55"/>
    <w:rsid w:val="007D3FB7"/>
    <w:rsid w:val="007D465A"/>
    <w:rsid w:val="007D521F"/>
    <w:rsid w:val="007E0181"/>
    <w:rsid w:val="007E3BC1"/>
    <w:rsid w:val="007E4E5C"/>
    <w:rsid w:val="007E5D11"/>
    <w:rsid w:val="007F0003"/>
    <w:rsid w:val="007F0D8C"/>
    <w:rsid w:val="007F118E"/>
    <w:rsid w:val="007F1877"/>
    <w:rsid w:val="007F450A"/>
    <w:rsid w:val="007F4FD3"/>
    <w:rsid w:val="007F5406"/>
    <w:rsid w:val="007F66B5"/>
    <w:rsid w:val="007F6FC0"/>
    <w:rsid w:val="007F7553"/>
    <w:rsid w:val="00800B4C"/>
    <w:rsid w:val="00803609"/>
    <w:rsid w:val="00806BFC"/>
    <w:rsid w:val="00811236"/>
    <w:rsid w:val="00811B68"/>
    <w:rsid w:val="00812357"/>
    <w:rsid w:val="00817418"/>
    <w:rsid w:val="00820D87"/>
    <w:rsid w:val="00822148"/>
    <w:rsid w:val="008231D9"/>
    <w:rsid w:val="00824EE7"/>
    <w:rsid w:val="008252F7"/>
    <w:rsid w:val="00825D1F"/>
    <w:rsid w:val="00826219"/>
    <w:rsid w:val="00826283"/>
    <w:rsid w:val="00830037"/>
    <w:rsid w:val="00830D61"/>
    <w:rsid w:val="0083376C"/>
    <w:rsid w:val="008338D7"/>
    <w:rsid w:val="00833AAD"/>
    <w:rsid w:val="00834471"/>
    <w:rsid w:val="008366A3"/>
    <w:rsid w:val="00841E72"/>
    <w:rsid w:val="00844507"/>
    <w:rsid w:val="00844EA7"/>
    <w:rsid w:val="008455AC"/>
    <w:rsid w:val="00845B1B"/>
    <w:rsid w:val="008507D3"/>
    <w:rsid w:val="008519A8"/>
    <w:rsid w:val="00851D4C"/>
    <w:rsid w:val="00853A38"/>
    <w:rsid w:val="0085419F"/>
    <w:rsid w:val="0085466F"/>
    <w:rsid w:val="00854E07"/>
    <w:rsid w:val="00854E8F"/>
    <w:rsid w:val="00856A5D"/>
    <w:rsid w:val="00856F8D"/>
    <w:rsid w:val="00861A27"/>
    <w:rsid w:val="00861E61"/>
    <w:rsid w:val="008625C8"/>
    <w:rsid w:val="0086330C"/>
    <w:rsid w:val="0086386D"/>
    <w:rsid w:val="00863A35"/>
    <w:rsid w:val="00864205"/>
    <w:rsid w:val="0086597F"/>
    <w:rsid w:val="00867955"/>
    <w:rsid w:val="00867E11"/>
    <w:rsid w:val="0087022F"/>
    <w:rsid w:val="00871F76"/>
    <w:rsid w:val="0087359D"/>
    <w:rsid w:val="008756C2"/>
    <w:rsid w:val="00876131"/>
    <w:rsid w:val="0087649E"/>
    <w:rsid w:val="00876FB1"/>
    <w:rsid w:val="008770CE"/>
    <w:rsid w:val="00877C44"/>
    <w:rsid w:val="00883371"/>
    <w:rsid w:val="00883734"/>
    <w:rsid w:val="00883A53"/>
    <w:rsid w:val="00886C10"/>
    <w:rsid w:val="00886FA7"/>
    <w:rsid w:val="00887F51"/>
    <w:rsid w:val="00887F6D"/>
    <w:rsid w:val="008906AC"/>
    <w:rsid w:val="00891A1C"/>
    <w:rsid w:val="00894E02"/>
    <w:rsid w:val="008967B1"/>
    <w:rsid w:val="008A15EF"/>
    <w:rsid w:val="008A6742"/>
    <w:rsid w:val="008B06F8"/>
    <w:rsid w:val="008B5D29"/>
    <w:rsid w:val="008B75D0"/>
    <w:rsid w:val="008C05FE"/>
    <w:rsid w:val="008C2BC3"/>
    <w:rsid w:val="008C500E"/>
    <w:rsid w:val="008C599C"/>
    <w:rsid w:val="008D02D4"/>
    <w:rsid w:val="008D045F"/>
    <w:rsid w:val="008D0992"/>
    <w:rsid w:val="008D0BBB"/>
    <w:rsid w:val="008D1398"/>
    <w:rsid w:val="008D1809"/>
    <w:rsid w:val="008D2A05"/>
    <w:rsid w:val="008D780A"/>
    <w:rsid w:val="008D7938"/>
    <w:rsid w:val="008E0E2A"/>
    <w:rsid w:val="008E1CB3"/>
    <w:rsid w:val="008E292D"/>
    <w:rsid w:val="008E2CEA"/>
    <w:rsid w:val="008E2FBC"/>
    <w:rsid w:val="008E442F"/>
    <w:rsid w:val="008E595B"/>
    <w:rsid w:val="008E611A"/>
    <w:rsid w:val="008F0C19"/>
    <w:rsid w:val="008F15D4"/>
    <w:rsid w:val="008F224A"/>
    <w:rsid w:val="008F2441"/>
    <w:rsid w:val="008F3174"/>
    <w:rsid w:val="008F3EF1"/>
    <w:rsid w:val="008F75C5"/>
    <w:rsid w:val="009023C8"/>
    <w:rsid w:val="00904C5C"/>
    <w:rsid w:val="009050E5"/>
    <w:rsid w:val="009051B9"/>
    <w:rsid w:val="00905C0A"/>
    <w:rsid w:val="00906154"/>
    <w:rsid w:val="009105C7"/>
    <w:rsid w:val="0091096F"/>
    <w:rsid w:val="00912774"/>
    <w:rsid w:val="00913387"/>
    <w:rsid w:val="00914420"/>
    <w:rsid w:val="00916209"/>
    <w:rsid w:val="009204B9"/>
    <w:rsid w:val="009216DB"/>
    <w:rsid w:val="00923CB5"/>
    <w:rsid w:val="0092498B"/>
    <w:rsid w:val="009260BF"/>
    <w:rsid w:val="00926C85"/>
    <w:rsid w:val="00927070"/>
    <w:rsid w:val="009270BA"/>
    <w:rsid w:val="009272BF"/>
    <w:rsid w:val="00931484"/>
    <w:rsid w:val="0093220A"/>
    <w:rsid w:val="009333CB"/>
    <w:rsid w:val="009335D5"/>
    <w:rsid w:val="00934D76"/>
    <w:rsid w:val="00935CF0"/>
    <w:rsid w:val="00943366"/>
    <w:rsid w:val="0094724D"/>
    <w:rsid w:val="0095203D"/>
    <w:rsid w:val="00952874"/>
    <w:rsid w:val="00952E79"/>
    <w:rsid w:val="009530D9"/>
    <w:rsid w:val="009539CC"/>
    <w:rsid w:val="00954061"/>
    <w:rsid w:val="009543C5"/>
    <w:rsid w:val="00955BF0"/>
    <w:rsid w:val="00957CFE"/>
    <w:rsid w:val="00960AE2"/>
    <w:rsid w:val="00960CF6"/>
    <w:rsid w:val="00962FA0"/>
    <w:rsid w:val="0096351E"/>
    <w:rsid w:val="009642BF"/>
    <w:rsid w:val="009645BA"/>
    <w:rsid w:val="00964FB9"/>
    <w:rsid w:val="0097179E"/>
    <w:rsid w:val="009717EC"/>
    <w:rsid w:val="00973089"/>
    <w:rsid w:val="00974307"/>
    <w:rsid w:val="009759C8"/>
    <w:rsid w:val="00977615"/>
    <w:rsid w:val="0097798D"/>
    <w:rsid w:val="00977D7D"/>
    <w:rsid w:val="009802D3"/>
    <w:rsid w:val="00981D0F"/>
    <w:rsid w:val="009822D4"/>
    <w:rsid w:val="0098262B"/>
    <w:rsid w:val="00984859"/>
    <w:rsid w:val="00986CDF"/>
    <w:rsid w:val="00987987"/>
    <w:rsid w:val="00990966"/>
    <w:rsid w:val="0099313E"/>
    <w:rsid w:val="0099316C"/>
    <w:rsid w:val="009936BC"/>
    <w:rsid w:val="0099611F"/>
    <w:rsid w:val="009961B7"/>
    <w:rsid w:val="00997069"/>
    <w:rsid w:val="00997819"/>
    <w:rsid w:val="009A08BC"/>
    <w:rsid w:val="009A5CC3"/>
    <w:rsid w:val="009A6E24"/>
    <w:rsid w:val="009B0544"/>
    <w:rsid w:val="009B1075"/>
    <w:rsid w:val="009B13E0"/>
    <w:rsid w:val="009B4E91"/>
    <w:rsid w:val="009B52B2"/>
    <w:rsid w:val="009B687B"/>
    <w:rsid w:val="009C0D8F"/>
    <w:rsid w:val="009C268D"/>
    <w:rsid w:val="009C2F18"/>
    <w:rsid w:val="009C3525"/>
    <w:rsid w:val="009C366A"/>
    <w:rsid w:val="009C38F1"/>
    <w:rsid w:val="009C3909"/>
    <w:rsid w:val="009D2077"/>
    <w:rsid w:val="009D2A03"/>
    <w:rsid w:val="009D409E"/>
    <w:rsid w:val="009D464D"/>
    <w:rsid w:val="009D53DE"/>
    <w:rsid w:val="009D6F6E"/>
    <w:rsid w:val="009E1AB9"/>
    <w:rsid w:val="009E34A3"/>
    <w:rsid w:val="009E47E2"/>
    <w:rsid w:val="009E69C2"/>
    <w:rsid w:val="009E6A95"/>
    <w:rsid w:val="009F1C7B"/>
    <w:rsid w:val="009F2D2F"/>
    <w:rsid w:val="009F3DCF"/>
    <w:rsid w:val="009F3DE3"/>
    <w:rsid w:val="009F5A05"/>
    <w:rsid w:val="009F5D5E"/>
    <w:rsid w:val="009F676A"/>
    <w:rsid w:val="00A02408"/>
    <w:rsid w:val="00A04F37"/>
    <w:rsid w:val="00A0540F"/>
    <w:rsid w:val="00A075C7"/>
    <w:rsid w:val="00A140E6"/>
    <w:rsid w:val="00A14375"/>
    <w:rsid w:val="00A16503"/>
    <w:rsid w:val="00A16630"/>
    <w:rsid w:val="00A16E6E"/>
    <w:rsid w:val="00A17F34"/>
    <w:rsid w:val="00A20C44"/>
    <w:rsid w:val="00A21472"/>
    <w:rsid w:val="00A21ABA"/>
    <w:rsid w:val="00A26B3B"/>
    <w:rsid w:val="00A30DF2"/>
    <w:rsid w:val="00A315F0"/>
    <w:rsid w:val="00A32D6D"/>
    <w:rsid w:val="00A35D77"/>
    <w:rsid w:val="00A40946"/>
    <w:rsid w:val="00A414BA"/>
    <w:rsid w:val="00A41567"/>
    <w:rsid w:val="00A4254A"/>
    <w:rsid w:val="00A42D87"/>
    <w:rsid w:val="00A43606"/>
    <w:rsid w:val="00A46015"/>
    <w:rsid w:val="00A51708"/>
    <w:rsid w:val="00A52A6B"/>
    <w:rsid w:val="00A538C3"/>
    <w:rsid w:val="00A551E7"/>
    <w:rsid w:val="00A55271"/>
    <w:rsid w:val="00A569F1"/>
    <w:rsid w:val="00A576BD"/>
    <w:rsid w:val="00A61414"/>
    <w:rsid w:val="00A61684"/>
    <w:rsid w:val="00A621C9"/>
    <w:rsid w:val="00A623B6"/>
    <w:rsid w:val="00A62F8E"/>
    <w:rsid w:val="00A6362C"/>
    <w:rsid w:val="00A64506"/>
    <w:rsid w:val="00A6474C"/>
    <w:rsid w:val="00A67ABC"/>
    <w:rsid w:val="00A70E73"/>
    <w:rsid w:val="00A7344A"/>
    <w:rsid w:val="00A73C3C"/>
    <w:rsid w:val="00A73FFF"/>
    <w:rsid w:val="00A742B2"/>
    <w:rsid w:val="00A7657E"/>
    <w:rsid w:val="00A77246"/>
    <w:rsid w:val="00A848A2"/>
    <w:rsid w:val="00A8768B"/>
    <w:rsid w:val="00A90F13"/>
    <w:rsid w:val="00A91690"/>
    <w:rsid w:val="00A92446"/>
    <w:rsid w:val="00A938BF"/>
    <w:rsid w:val="00A953C7"/>
    <w:rsid w:val="00A95E71"/>
    <w:rsid w:val="00A969C9"/>
    <w:rsid w:val="00A9721F"/>
    <w:rsid w:val="00AA303C"/>
    <w:rsid w:val="00AA3E89"/>
    <w:rsid w:val="00AA6530"/>
    <w:rsid w:val="00AA7D93"/>
    <w:rsid w:val="00AA7E79"/>
    <w:rsid w:val="00AB1E5F"/>
    <w:rsid w:val="00AB3B6E"/>
    <w:rsid w:val="00AB456B"/>
    <w:rsid w:val="00AB4AF8"/>
    <w:rsid w:val="00AB770C"/>
    <w:rsid w:val="00AC4155"/>
    <w:rsid w:val="00AC49E4"/>
    <w:rsid w:val="00AC5E58"/>
    <w:rsid w:val="00AC6503"/>
    <w:rsid w:val="00AC77DE"/>
    <w:rsid w:val="00AD005D"/>
    <w:rsid w:val="00AD12E4"/>
    <w:rsid w:val="00AD131D"/>
    <w:rsid w:val="00AD2183"/>
    <w:rsid w:val="00AD3786"/>
    <w:rsid w:val="00AD392C"/>
    <w:rsid w:val="00AD4635"/>
    <w:rsid w:val="00AD57CD"/>
    <w:rsid w:val="00AD679B"/>
    <w:rsid w:val="00AE062E"/>
    <w:rsid w:val="00AE072B"/>
    <w:rsid w:val="00AE1231"/>
    <w:rsid w:val="00AE219E"/>
    <w:rsid w:val="00AE26C5"/>
    <w:rsid w:val="00AE3216"/>
    <w:rsid w:val="00AE604E"/>
    <w:rsid w:val="00AF0FA8"/>
    <w:rsid w:val="00AF35DB"/>
    <w:rsid w:val="00AF3B0F"/>
    <w:rsid w:val="00AF5FAB"/>
    <w:rsid w:val="00AF64E3"/>
    <w:rsid w:val="00AF7927"/>
    <w:rsid w:val="00AF7C4C"/>
    <w:rsid w:val="00AF7D11"/>
    <w:rsid w:val="00B00BBA"/>
    <w:rsid w:val="00B01963"/>
    <w:rsid w:val="00B01E24"/>
    <w:rsid w:val="00B02A6D"/>
    <w:rsid w:val="00B06BB1"/>
    <w:rsid w:val="00B071F2"/>
    <w:rsid w:val="00B075C7"/>
    <w:rsid w:val="00B076E0"/>
    <w:rsid w:val="00B14F98"/>
    <w:rsid w:val="00B16C1F"/>
    <w:rsid w:val="00B178DE"/>
    <w:rsid w:val="00B20F58"/>
    <w:rsid w:val="00B2134D"/>
    <w:rsid w:val="00B2187F"/>
    <w:rsid w:val="00B2334A"/>
    <w:rsid w:val="00B25615"/>
    <w:rsid w:val="00B25703"/>
    <w:rsid w:val="00B25A88"/>
    <w:rsid w:val="00B25B15"/>
    <w:rsid w:val="00B26661"/>
    <w:rsid w:val="00B26689"/>
    <w:rsid w:val="00B26AF7"/>
    <w:rsid w:val="00B305D2"/>
    <w:rsid w:val="00B33016"/>
    <w:rsid w:val="00B337CA"/>
    <w:rsid w:val="00B33A39"/>
    <w:rsid w:val="00B33DE6"/>
    <w:rsid w:val="00B34984"/>
    <w:rsid w:val="00B351E2"/>
    <w:rsid w:val="00B353B7"/>
    <w:rsid w:val="00B357C2"/>
    <w:rsid w:val="00B3777E"/>
    <w:rsid w:val="00B4220B"/>
    <w:rsid w:val="00B43885"/>
    <w:rsid w:val="00B43E9B"/>
    <w:rsid w:val="00B44671"/>
    <w:rsid w:val="00B44D55"/>
    <w:rsid w:val="00B45F9D"/>
    <w:rsid w:val="00B46CD0"/>
    <w:rsid w:val="00B46D34"/>
    <w:rsid w:val="00B47538"/>
    <w:rsid w:val="00B47632"/>
    <w:rsid w:val="00B507BE"/>
    <w:rsid w:val="00B50B94"/>
    <w:rsid w:val="00B53731"/>
    <w:rsid w:val="00B53BDD"/>
    <w:rsid w:val="00B5433D"/>
    <w:rsid w:val="00B55355"/>
    <w:rsid w:val="00B55D98"/>
    <w:rsid w:val="00B5776B"/>
    <w:rsid w:val="00B6245A"/>
    <w:rsid w:val="00B62E82"/>
    <w:rsid w:val="00B64766"/>
    <w:rsid w:val="00B64D23"/>
    <w:rsid w:val="00B66FC8"/>
    <w:rsid w:val="00B703E6"/>
    <w:rsid w:val="00B71902"/>
    <w:rsid w:val="00B74703"/>
    <w:rsid w:val="00B75FB3"/>
    <w:rsid w:val="00B768EB"/>
    <w:rsid w:val="00B7693A"/>
    <w:rsid w:val="00B801C3"/>
    <w:rsid w:val="00B81DA7"/>
    <w:rsid w:val="00B8411F"/>
    <w:rsid w:val="00B84167"/>
    <w:rsid w:val="00B842B5"/>
    <w:rsid w:val="00B84BFD"/>
    <w:rsid w:val="00B86088"/>
    <w:rsid w:val="00B8775C"/>
    <w:rsid w:val="00B91D57"/>
    <w:rsid w:val="00B91DB2"/>
    <w:rsid w:val="00B922C6"/>
    <w:rsid w:val="00B926B9"/>
    <w:rsid w:val="00B94F4E"/>
    <w:rsid w:val="00BA2FF5"/>
    <w:rsid w:val="00BA3686"/>
    <w:rsid w:val="00BA3C5C"/>
    <w:rsid w:val="00BA3D80"/>
    <w:rsid w:val="00BA4A74"/>
    <w:rsid w:val="00BA4DEB"/>
    <w:rsid w:val="00BA7CFB"/>
    <w:rsid w:val="00BB0D13"/>
    <w:rsid w:val="00BB15F6"/>
    <w:rsid w:val="00BB2393"/>
    <w:rsid w:val="00BB257E"/>
    <w:rsid w:val="00BB3CC2"/>
    <w:rsid w:val="00BB3E0D"/>
    <w:rsid w:val="00BB5304"/>
    <w:rsid w:val="00BB5489"/>
    <w:rsid w:val="00BB553C"/>
    <w:rsid w:val="00BB6E66"/>
    <w:rsid w:val="00BB7643"/>
    <w:rsid w:val="00BC1E81"/>
    <w:rsid w:val="00BC2205"/>
    <w:rsid w:val="00BC2B77"/>
    <w:rsid w:val="00BC3468"/>
    <w:rsid w:val="00BC411D"/>
    <w:rsid w:val="00BC4FB2"/>
    <w:rsid w:val="00BC665D"/>
    <w:rsid w:val="00BD2829"/>
    <w:rsid w:val="00BD6C61"/>
    <w:rsid w:val="00BE0361"/>
    <w:rsid w:val="00BE1C57"/>
    <w:rsid w:val="00BE343E"/>
    <w:rsid w:val="00BE73E2"/>
    <w:rsid w:val="00BE7A81"/>
    <w:rsid w:val="00BF0AFB"/>
    <w:rsid w:val="00BF0E98"/>
    <w:rsid w:val="00BF2932"/>
    <w:rsid w:val="00BF3956"/>
    <w:rsid w:val="00BF396C"/>
    <w:rsid w:val="00BF3E01"/>
    <w:rsid w:val="00BF5BB6"/>
    <w:rsid w:val="00BF7A14"/>
    <w:rsid w:val="00BF7B29"/>
    <w:rsid w:val="00C00483"/>
    <w:rsid w:val="00C05CC4"/>
    <w:rsid w:val="00C06016"/>
    <w:rsid w:val="00C06145"/>
    <w:rsid w:val="00C0649C"/>
    <w:rsid w:val="00C06E9F"/>
    <w:rsid w:val="00C079C4"/>
    <w:rsid w:val="00C10D99"/>
    <w:rsid w:val="00C112E6"/>
    <w:rsid w:val="00C1218F"/>
    <w:rsid w:val="00C14361"/>
    <w:rsid w:val="00C17162"/>
    <w:rsid w:val="00C2001E"/>
    <w:rsid w:val="00C20AEA"/>
    <w:rsid w:val="00C21D36"/>
    <w:rsid w:val="00C232A6"/>
    <w:rsid w:val="00C23BF9"/>
    <w:rsid w:val="00C246CB"/>
    <w:rsid w:val="00C25F98"/>
    <w:rsid w:val="00C30A6F"/>
    <w:rsid w:val="00C3120B"/>
    <w:rsid w:val="00C31423"/>
    <w:rsid w:val="00C31A97"/>
    <w:rsid w:val="00C3469D"/>
    <w:rsid w:val="00C346F9"/>
    <w:rsid w:val="00C36164"/>
    <w:rsid w:val="00C36F5E"/>
    <w:rsid w:val="00C40E87"/>
    <w:rsid w:val="00C4160F"/>
    <w:rsid w:val="00C4181C"/>
    <w:rsid w:val="00C42D53"/>
    <w:rsid w:val="00C44889"/>
    <w:rsid w:val="00C4642C"/>
    <w:rsid w:val="00C46A30"/>
    <w:rsid w:val="00C47AD1"/>
    <w:rsid w:val="00C519B1"/>
    <w:rsid w:val="00C52C97"/>
    <w:rsid w:val="00C544DD"/>
    <w:rsid w:val="00C54E7F"/>
    <w:rsid w:val="00C56AB3"/>
    <w:rsid w:val="00C62E90"/>
    <w:rsid w:val="00C64EE6"/>
    <w:rsid w:val="00C66485"/>
    <w:rsid w:val="00C66F61"/>
    <w:rsid w:val="00C66F76"/>
    <w:rsid w:val="00C702B8"/>
    <w:rsid w:val="00C70710"/>
    <w:rsid w:val="00C74426"/>
    <w:rsid w:val="00C758F3"/>
    <w:rsid w:val="00C76458"/>
    <w:rsid w:val="00C77D1C"/>
    <w:rsid w:val="00C80499"/>
    <w:rsid w:val="00C824FA"/>
    <w:rsid w:val="00C82B2D"/>
    <w:rsid w:val="00C833B0"/>
    <w:rsid w:val="00C83535"/>
    <w:rsid w:val="00C845B4"/>
    <w:rsid w:val="00C8578B"/>
    <w:rsid w:val="00C8656A"/>
    <w:rsid w:val="00C8677F"/>
    <w:rsid w:val="00C9220A"/>
    <w:rsid w:val="00C92303"/>
    <w:rsid w:val="00C92804"/>
    <w:rsid w:val="00C94673"/>
    <w:rsid w:val="00C95193"/>
    <w:rsid w:val="00C951BB"/>
    <w:rsid w:val="00C952EC"/>
    <w:rsid w:val="00C95347"/>
    <w:rsid w:val="00C95CE4"/>
    <w:rsid w:val="00C966CA"/>
    <w:rsid w:val="00CA0E4F"/>
    <w:rsid w:val="00CA160A"/>
    <w:rsid w:val="00CA3C0C"/>
    <w:rsid w:val="00CA4713"/>
    <w:rsid w:val="00CA5AD7"/>
    <w:rsid w:val="00CA67B3"/>
    <w:rsid w:val="00CA7D59"/>
    <w:rsid w:val="00CA7D80"/>
    <w:rsid w:val="00CB18D8"/>
    <w:rsid w:val="00CB2ED4"/>
    <w:rsid w:val="00CB2F15"/>
    <w:rsid w:val="00CB36F6"/>
    <w:rsid w:val="00CB5D37"/>
    <w:rsid w:val="00CB67BA"/>
    <w:rsid w:val="00CC1207"/>
    <w:rsid w:val="00CC1ADD"/>
    <w:rsid w:val="00CC279A"/>
    <w:rsid w:val="00CC399F"/>
    <w:rsid w:val="00CC4E8E"/>
    <w:rsid w:val="00CC52E3"/>
    <w:rsid w:val="00CC7C6F"/>
    <w:rsid w:val="00CD14DA"/>
    <w:rsid w:val="00CD2955"/>
    <w:rsid w:val="00CD37E5"/>
    <w:rsid w:val="00CD4544"/>
    <w:rsid w:val="00CD4915"/>
    <w:rsid w:val="00CD5792"/>
    <w:rsid w:val="00CD6D56"/>
    <w:rsid w:val="00CE17FE"/>
    <w:rsid w:val="00CE18CE"/>
    <w:rsid w:val="00CE1BCD"/>
    <w:rsid w:val="00CE2B75"/>
    <w:rsid w:val="00CE2D53"/>
    <w:rsid w:val="00CE3904"/>
    <w:rsid w:val="00CE3F1D"/>
    <w:rsid w:val="00CE5218"/>
    <w:rsid w:val="00CE55E3"/>
    <w:rsid w:val="00CE5BD0"/>
    <w:rsid w:val="00CE5D5A"/>
    <w:rsid w:val="00CE6A76"/>
    <w:rsid w:val="00CE6DBA"/>
    <w:rsid w:val="00CE728D"/>
    <w:rsid w:val="00CE7863"/>
    <w:rsid w:val="00CF0BDA"/>
    <w:rsid w:val="00CF1B8F"/>
    <w:rsid w:val="00CF2D53"/>
    <w:rsid w:val="00CF3045"/>
    <w:rsid w:val="00D040FF"/>
    <w:rsid w:val="00D066B2"/>
    <w:rsid w:val="00D06984"/>
    <w:rsid w:val="00D10CD9"/>
    <w:rsid w:val="00D154EC"/>
    <w:rsid w:val="00D17D0B"/>
    <w:rsid w:val="00D20628"/>
    <w:rsid w:val="00D21C73"/>
    <w:rsid w:val="00D236C1"/>
    <w:rsid w:val="00D236D5"/>
    <w:rsid w:val="00D25643"/>
    <w:rsid w:val="00D25A42"/>
    <w:rsid w:val="00D30B7E"/>
    <w:rsid w:val="00D331A0"/>
    <w:rsid w:val="00D335BB"/>
    <w:rsid w:val="00D33A6A"/>
    <w:rsid w:val="00D33BB7"/>
    <w:rsid w:val="00D34E4F"/>
    <w:rsid w:val="00D35C8F"/>
    <w:rsid w:val="00D40121"/>
    <w:rsid w:val="00D47CCF"/>
    <w:rsid w:val="00D51E7B"/>
    <w:rsid w:val="00D53004"/>
    <w:rsid w:val="00D554E3"/>
    <w:rsid w:val="00D55DE9"/>
    <w:rsid w:val="00D564F0"/>
    <w:rsid w:val="00D568B4"/>
    <w:rsid w:val="00D57B18"/>
    <w:rsid w:val="00D6150A"/>
    <w:rsid w:val="00D619BC"/>
    <w:rsid w:val="00D62FFA"/>
    <w:rsid w:val="00D644DC"/>
    <w:rsid w:val="00D654B6"/>
    <w:rsid w:val="00D662BC"/>
    <w:rsid w:val="00D675BB"/>
    <w:rsid w:val="00D67D2E"/>
    <w:rsid w:val="00D70FDF"/>
    <w:rsid w:val="00D71FB4"/>
    <w:rsid w:val="00D720FB"/>
    <w:rsid w:val="00D7240B"/>
    <w:rsid w:val="00D735B3"/>
    <w:rsid w:val="00D74F1C"/>
    <w:rsid w:val="00D75ABA"/>
    <w:rsid w:val="00D77B71"/>
    <w:rsid w:val="00D77F22"/>
    <w:rsid w:val="00D8121E"/>
    <w:rsid w:val="00D82E57"/>
    <w:rsid w:val="00D834D8"/>
    <w:rsid w:val="00D848AF"/>
    <w:rsid w:val="00D8650E"/>
    <w:rsid w:val="00D870D0"/>
    <w:rsid w:val="00D87F65"/>
    <w:rsid w:val="00D90B21"/>
    <w:rsid w:val="00D91C56"/>
    <w:rsid w:val="00D935EB"/>
    <w:rsid w:val="00D94D0E"/>
    <w:rsid w:val="00D955DE"/>
    <w:rsid w:val="00D96AA6"/>
    <w:rsid w:val="00D97F58"/>
    <w:rsid w:val="00DA03F3"/>
    <w:rsid w:val="00DA04D1"/>
    <w:rsid w:val="00DA1877"/>
    <w:rsid w:val="00DA269A"/>
    <w:rsid w:val="00DA2F62"/>
    <w:rsid w:val="00DA5C27"/>
    <w:rsid w:val="00DA5F55"/>
    <w:rsid w:val="00DA5F6A"/>
    <w:rsid w:val="00DA623C"/>
    <w:rsid w:val="00DB096B"/>
    <w:rsid w:val="00DB3F4D"/>
    <w:rsid w:val="00DB4AF7"/>
    <w:rsid w:val="00DB5C9E"/>
    <w:rsid w:val="00DB6416"/>
    <w:rsid w:val="00DC0200"/>
    <w:rsid w:val="00DC1D56"/>
    <w:rsid w:val="00DC329B"/>
    <w:rsid w:val="00DC58C2"/>
    <w:rsid w:val="00DD09C3"/>
    <w:rsid w:val="00DD0F95"/>
    <w:rsid w:val="00DD21A2"/>
    <w:rsid w:val="00DD2A7B"/>
    <w:rsid w:val="00DD47C4"/>
    <w:rsid w:val="00DD53D8"/>
    <w:rsid w:val="00DD5567"/>
    <w:rsid w:val="00DD59EA"/>
    <w:rsid w:val="00DD6957"/>
    <w:rsid w:val="00DD6E23"/>
    <w:rsid w:val="00DE027F"/>
    <w:rsid w:val="00DE1803"/>
    <w:rsid w:val="00DE5FAC"/>
    <w:rsid w:val="00DF1AFD"/>
    <w:rsid w:val="00DF1E5D"/>
    <w:rsid w:val="00DF23AE"/>
    <w:rsid w:val="00DF3207"/>
    <w:rsid w:val="00DF425D"/>
    <w:rsid w:val="00DF4341"/>
    <w:rsid w:val="00DF4AB0"/>
    <w:rsid w:val="00DF59C6"/>
    <w:rsid w:val="00E02391"/>
    <w:rsid w:val="00E0256E"/>
    <w:rsid w:val="00E02C21"/>
    <w:rsid w:val="00E02CEB"/>
    <w:rsid w:val="00E0471F"/>
    <w:rsid w:val="00E05DCE"/>
    <w:rsid w:val="00E1025F"/>
    <w:rsid w:val="00E1250A"/>
    <w:rsid w:val="00E13114"/>
    <w:rsid w:val="00E131DD"/>
    <w:rsid w:val="00E15EAE"/>
    <w:rsid w:val="00E20DE8"/>
    <w:rsid w:val="00E215A2"/>
    <w:rsid w:val="00E22880"/>
    <w:rsid w:val="00E24FC2"/>
    <w:rsid w:val="00E252E8"/>
    <w:rsid w:val="00E337E7"/>
    <w:rsid w:val="00E3388B"/>
    <w:rsid w:val="00E3411C"/>
    <w:rsid w:val="00E349E3"/>
    <w:rsid w:val="00E34E19"/>
    <w:rsid w:val="00E366A8"/>
    <w:rsid w:val="00E36976"/>
    <w:rsid w:val="00E400A1"/>
    <w:rsid w:val="00E4192E"/>
    <w:rsid w:val="00E41F0B"/>
    <w:rsid w:val="00E4740D"/>
    <w:rsid w:val="00E47C44"/>
    <w:rsid w:val="00E50F28"/>
    <w:rsid w:val="00E57110"/>
    <w:rsid w:val="00E5743D"/>
    <w:rsid w:val="00E60D0C"/>
    <w:rsid w:val="00E62586"/>
    <w:rsid w:val="00E635C2"/>
    <w:rsid w:val="00E64C96"/>
    <w:rsid w:val="00E65482"/>
    <w:rsid w:val="00E657DE"/>
    <w:rsid w:val="00E668BC"/>
    <w:rsid w:val="00E66974"/>
    <w:rsid w:val="00E67036"/>
    <w:rsid w:val="00E70510"/>
    <w:rsid w:val="00E7195D"/>
    <w:rsid w:val="00E729AF"/>
    <w:rsid w:val="00E73D62"/>
    <w:rsid w:val="00E7435F"/>
    <w:rsid w:val="00E74560"/>
    <w:rsid w:val="00E74C7B"/>
    <w:rsid w:val="00E77739"/>
    <w:rsid w:val="00E829A1"/>
    <w:rsid w:val="00E84866"/>
    <w:rsid w:val="00E85CA7"/>
    <w:rsid w:val="00E8698E"/>
    <w:rsid w:val="00E921EE"/>
    <w:rsid w:val="00E947CF"/>
    <w:rsid w:val="00E96345"/>
    <w:rsid w:val="00E97C9F"/>
    <w:rsid w:val="00EA061E"/>
    <w:rsid w:val="00EA063B"/>
    <w:rsid w:val="00EA0CC6"/>
    <w:rsid w:val="00EA3C17"/>
    <w:rsid w:val="00EA4E92"/>
    <w:rsid w:val="00EA523F"/>
    <w:rsid w:val="00EA53CE"/>
    <w:rsid w:val="00EA5500"/>
    <w:rsid w:val="00EA5697"/>
    <w:rsid w:val="00EA5F27"/>
    <w:rsid w:val="00EB150F"/>
    <w:rsid w:val="00EB2079"/>
    <w:rsid w:val="00EB261B"/>
    <w:rsid w:val="00EB2824"/>
    <w:rsid w:val="00EB6818"/>
    <w:rsid w:val="00EC34DC"/>
    <w:rsid w:val="00EC44FD"/>
    <w:rsid w:val="00EC4C69"/>
    <w:rsid w:val="00EC502F"/>
    <w:rsid w:val="00EC58D3"/>
    <w:rsid w:val="00EC7BB0"/>
    <w:rsid w:val="00EC7E47"/>
    <w:rsid w:val="00ED5A34"/>
    <w:rsid w:val="00ED614B"/>
    <w:rsid w:val="00EE014A"/>
    <w:rsid w:val="00EE1100"/>
    <w:rsid w:val="00EE114D"/>
    <w:rsid w:val="00EE214B"/>
    <w:rsid w:val="00EE2C6B"/>
    <w:rsid w:val="00EE426C"/>
    <w:rsid w:val="00EE7C9E"/>
    <w:rsid w:val="00EE7FBE"/>
    <w:rsid w:val="00EF0A6D"/>
    <w:rsid w:val="00EF0A8C"/>
    <w:rsid w:val="00EF0AFE"/>
    <w:rsid w:val="00EF64CC"/>
    <w:rsid w:val="00EF78EF"/>
    <w:rsid w:val="00EF7D09"/>
    <w:rsid w:val="00F00555"/>
    <w:rsid w:val="00F01131"/>
    <w:rsid w:val="00F021BF"/>
    <w:rsid w:val="00F0440B"/>
    <w:rsid w:val="00F11EC5"/>
    <w:rsid w:val="00F132CC"/>
    <w:rsid w:val="00F15B8E"/>
    <w:rsid w:val="00F16078"/>
    <w:rsid w:val="00F16236"/>
    <w:rsid w:val="00F16488"/>
    <w:rsid w:val="00F17906"/>
    <w:rsid w:val="00F221F1"/>
    <w:rsid w:val="00F22FCA"/>
    <w:rsid w:val="00F235E3"/>
    <w:rsid w:val="00F23FEF"/>
    <w:rsid w:val="00F24B7B"/>
    <w:rsid w:val="00F24CF6"/>
    <w:rsid w:val="00F25A62"/>
    <w:rsid w:val="00F31808"/>
    <w:rsid w:val="00F31EDC"/>
    <w:rsid w:val="00F3229F"/>
    <w:rsid w:val="00F32B90"/>
    <w:rsid w:val="00F32D7D"/>
    <w:rsid w:val="00F33075"/>
    <w:rsid w:val="00F33AA2"/>
    <w:rsid w:val="00F36222"/>
    <w:rsid w:val="00F401C0"/>
    <w:rsid w:val="00F40D1D"/>
    <w:rsid w:val="00F41CBE"/>
    <w:rsid w:val="00F47661"/>
    <w:rsid w:val="00F47B9A"/>
    <w:rsid w:val="00F47BD9"/>
    <w:rsid w:val="00F527C4"/>
    <w:rsid w:val="00F530A7"/>
    <w:rsid w:val="00F531FE"/>
    <w:rsid w:val="00F5604D"/>
    <w:rsid w:val="00F56693"/>
    <w:rsid w:val="00F60D95"/>
    <w:rsid w:val="00F61B74"/>
    <w:rsid w:val="00F61DEB"/>
    <w:rsid w:val="00F6416A"/>
    <w:rsid w:val="00F65B6A"/>
    <w:rsid w:val="00F6715F"/>
    <w:rsid w:val="00F671D9"/>
    <w:rsid w:val="00F701EA"/>
    <w:rsid w:val="00F71EA8"/>
    <w:rsid w:val="00F748DF"/>
    <w:rsid w:val="00F75197"/>
    <w:rsid w:val="00F75ACA"/>
    <w:rsid w:val="00F77022"/>
    <w:rsid w:val="00F8076A"/>
    <w:rsid w:val="00F814F7"/>
    <w:rsid w:val="00F85D18"/>
    <w:rsid w:val="00F865FA"/>
    <w:rsid w:val="00F87581"/>
    <w:rsid w:val="00F87A98"/>
    <w:rsid w:val="00F909E7"/>
    <w:rsid w:val="00F9101E"/>
    <w:rsid w:val="00F910CC"/>
    <w:rsid w:val="00F91738"/>
    <w:rsid w:val="00F91E7B"/>
    <w:rsid w:val="00F920E8"/>
    <w:rsid w:val="00F92BB5"/>
    <w:rsid w:val="00F93094"/>
    <w:rsid w:val="00F94699"/>
    <w:rsid w:val="00FA212A"/>
    <w:rsid w:val="00FA3EF1"/>
    <w:rsid w:val="00FA4F8D"/>
    <w:rsid w:val="00FA51E9"/>
    <w:rsid w:val="00FB08FB"/>
    <w:rsid w:val="00FB0A09"/>
    <w:rsid w:val="00FB112C"/>
    <w:rsid w:val="00FB1BDA"/>
    <w:rsid w:val="00FB465B"/>
    <w:rsid w:val="00FB466F"/>
    <w:rsid w:val="00FB4C48"/>
    <w:rsid w:val="00FB5371"/>
    <w:rsid w:val="00FC0613"/>
    <w:rsid w:val="00FC072C"/>
    <w:rsid w:val="00FC0BBE"/>
    <w:rsid w:val="00FC0EB4"/>
    <w:rsid w:val="00FC0EE0"/>
    <w:rsid w:val="00FC1BCE"/>
    <w:rsid w:val="00FC20E2"/>
    <w:rsid w:val="00FC354F"/>
    <w:rsid w:val="00FC38CB"/>
    <w:rsid w:val="00FC43F7"/>
    <w:rsid w:val="00FC4C67"/>
    <w:rsid w:val="00FC68B9"/>
    <w:rsid w:val="00FC6B3E"/>
    <w:rsid w:val="00FD0F73"/>
    <w:rsid w:val="00FD3D93"/>
    <w:rsid w:val="00FD4C92"/>
    <w:rsid w:val="00FD50EF"/>
    <w:rsid w:val="00FD531E"/>
    <w:rsid w:val="00FD56A1"/>
    <w:rsid w:val="00FD71EF"/>
    <w:rsid w:val="00FE073C"/>
    <w:rsid w:val="00FE6725"/>
    <w:rsid w:val="00FF0224"/>
    <w:rsid w:val="00FF05EA"/>
    <w:rsid w:val="00FF0E37"/>
    <w:rsid w:val="00FF0FA9"/>
    <w:rsid w:val="00FF1CBC"/>
    <w:rsid w:val="00FF3D86"/>
    <w:rsid w:val="00FF46BD"/>
    <w:rsid w:val="00FF4778"/>
    <w:rsid w:val="225972B5"/>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FB681"/>
  <w15:docId w15:val="{3BB33EE8-DA72-4D7D-9188-EA5FDA80D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E6A95"/>
    <w:rPr>
      <w:sz w:val="16"/>
      <w:szCs w:val="16"/>
    </w:rPr>
  </w:style>
  <w:style w:type="paragraph" w:styleId="CommentText">
    <w:name w:val="annotation text"/>
    <w:basedOn w:val="Normal"/>
    <w:link w:val="CommentTextChar"/>
    <w:uiPriority w:val="99"/>
    <w:unhideWhenUsed/>
    <w:rsid w:val="009E6A95"/>
    <w:pPr>
      <w:spacing w:line="240" w:lineRule="auto"/>
    </w:pPr>
    <w:rPr>
      <w:sz w:val="20"/>
      <w:szCs w:val="20"/>
    </w:rPr>
  </w:style>
  <w:style w:type="character" w:customStyle="1" w:styleId="CommentTextChar">
    <w:name w:val="Comment Text Char"/>
    <w:basedOn w:val="DefaultParagraphFont"/>
    <w:link w:val="CommentText"/>
    <w:uiPriority w:val="99"/>
    <w:rsid w:val="009E6A95"/>
    <w:rPr>
      <w:sz w:val="20"/>
      <w:szCs w:val="20"/>
    </w:rPr>
  </w:style>
  <w:style w:type="paragraph" w:styleId="CommentSubject">
    <w:name w:val="annotation subject"/>
    <w:basedOn w:val="CommentText"/>
    <w:next w:val="CommentText"/>
    <w:link w:val="CommentSubjectChar"/>
    <w:uiPriority w:val="99"/>
    <w:semiHidden/>
    <w:unhideWhenUsed/>
    <w:rsid w:val="009E6A95"/>
    <w:rPr>
      <w:b/>
      <w:bCs/>
    </w:rPr>
  </w:style>
  <w:style w:type="character" w:customStyle="1" w:styleId="CommentSubjectChar">
    <w:name w:val="Comment Subject Char"/>
    <w:basedOn w:val="CommentTextChar"/>
    <w:link w:val="CommentSubject"/>
    <w:uiPriority w:val="99"/>
    <w:semiHidden/>
    <w:rsid w:val="009E6A95"/>
    <w:rPr>
      <w:b/>
      <w:bCs/>
      <w:sz w:val="20"/>
      <w:szCs w:val="20"/>
    </w:rPr>
  </w:style>
  <w:style w:type="paragraph" w:styleId="ListParagraph">
    <w:name w:val="List Paragraph"/>
    <w:basedOn w:val="Normal"/>
    <w:uiPriority w:val="34"/>
    <w:qFormat/>
    <w:rsid w:val="00210B1F"/>
    <w:pPr>
      <w:ind w:left="720"/>
      <w:contextualSpacing/>
    </w:pPr>
  </w:style>
  <w:style w:type="character" w:styleId="Hyperlink">
    <w:name w:val="Hyperlink"/>
    <w:basedOn w:val="DefaultParagraphFont"/>
    <w:uiPriority w:val="99"/>
    <w:unhideWhenUsed/>
    <w:rsid w:val="000C4902"/>
    <w:rPr>
      <w:color w:val="0563C1"/>
      <w:u w:val="single"/>
    </w:rPr>
  </w:style>
  <w:style w:type="character" w:styleId="UnresolvedMention">
    <w:name w:val="Unresolved Mention"/>
    <w:basedOn w:val="DefaultParagraphFont"/>
    <w:uiPriority w:val="99"/>
    <w:semiHidden/>
    <w:unhideWhenUsed/>
    <w:rsid w:val="009B0544"/>
    <w:rPr>
      <w:color w:val="605E5C"/>
      <w:shd w:val="clear" w:color="auto" w:fill="E1DFDD"/>
    </w:rPr>
  </w:style>
  <w:style w:type="paragraph" w:styleId="Revision">
    <w:name w:val="Revision"/>
    <w:hidden/>
    <w:uiPriority w:val="99"/>
    <w:semiHidden/>
    <w:rsid w:val="00324765"/>
    <w:pPr>
      <w:spacing w:after="0" w:line="240" w:lineRule="auto"/>
    </w:pPr>
  </w:style>
  <w:style w:type="paragraph" w:styleId="FootnoteText">
    <w:name w:val="footnote text"/>
    <w:basedOn w:val="Normal"/>
    <w:link w:val="FootnoteTextChar"/>
    <w:uiPriority w:val="99"/>
    <w:unhideWhenUsed/>
    <w:rsid w:val="00665CAD"/>
    <w:pPr>
      <w:spacing w:after="0" w:line="240" w:lineRule="auto"/>
    </w:pPr>
    <w:rPr>
      <w:sz w:val="20"/>
      <w:szCs w:val="20"/>
      <w:lang w:val="ru-RU"/>
    </w:rPr>
  </w:style>
  <w:style w:type="character" w:customStyle="1" w:styleId="FootnoteTextChar">
    <w:name w:val="Footnote Text Char"/>
    <w:basedOn w:val="DefaultParagraphFont"/>
    <w:link w:val="FootnoteText"/>
    <w:uiPriority w:val="99"/>
    <w:rsid w:val="00665CAD"/>
    <w:rPr>
      <w:sz w:val="20"/>
      <w:szCs w:val="20"/>
      <w:lang w:val="ru-RU"/>
    </w:rPr>
  </w:style>
  <w:style w:type="character" w:styleId="FootnoteReference">
    <w:name w:val="footnote reference"/>
    <w:basedOn w:val="DefaultParagraphFont"/>
    <w:uiPriority w:val="99"/>
    <w:unhideWhenUsed/>
    <w:rsid w:val="00665CAD"/>
    <w:rPr>
      <w:vertAlign w:val="superscript"/>
    </w:rPr>
  </w:style>
  <w:style w:type="paragraph" w:styleId="Header">
    <w:name w:val="header"/>
    <w:basedOn w:val="Normal"/>
    <w:link w:val="HeaderChar"/>
    <w:uiPriority w:val="99"/>
    <w:unhideWhenUsed/>
    <w:rsid w:val="0021474E"/>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474E"/>
  </w:style>
  <w:style w:type="paragraph" w:styleId="Footer">
    <w:name w:val="footer"/>
    <w:basedOn w:val="Normal"/>
    <w:link w:val="FooterChar"/>
    <w:uiPriority w:val="99"/>
    <w:unhideWhenUsed/>
    <w:rsid w:val="0021474E"/>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474E"/>
  </w:style>
  <w:style w:type="paragraph" w:customStyle="1" w:styleId="pf0">
    <w:name w:val="pf0"/>
    <w:basedOn w:val="Normal"/>
    <w:rsid w:val="000C7D06"/>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cf01">
    <w:name w:val="cf01"/>
    <w:basedOn w:val="DefaultParagraphFont"/>
    <w:rsid w:val="000C7D06"/>
    <w:rPr>
      <w:rFonts w:ascii="Segoe UI" w:hAnsi="Segoe UI" w:cs="Segoe UI" w:hint="default"/>
      <w:color w:val="414142"/>
      <w:sz w:val="18"/>
      <w:szCs w:val="18"/>
      <w:shd w:val="clear" w:color="auto" w:fill="FFFFFF"/>
    </w:rPr>
  </w:style>
  <w:style w:type="character" w:customStyle="1" w:styleId="cf11">
    <w:name w:val="cf11"/>
    <w:basedOn w:val="DefaultParagraphFont"/>
    <w:rsid w:val="000C7D06"/>
    <w:rPr>
      <w:rFonts w:ascii="Segoe UI" w:hAnsi="Segoe UI" w:cs="Segoe UI" w:hint="default"/>
      <w:sz w:val="18"/>
      <w:szCs w:val="18"/>
    </w:rPr>
  </w:style>
  <w:style w:type="character" w:customStyle="1" w:styleId="cf31">
    <w:name w:val="cf31"/>
    <w:basedOn w:val="DefaultParagraphFont"/>
    <w:rsid w:val="000C7D06"/>
    <w:rPr>
      <w:rFonts w:ascii="Segoe UI" w:hAnsi="Segoe UI" w:cs="Segoe UI" w:hint="default"/>
      <w:i/>
      <w:iCs/>
      <w:color w:val="414142"/>
      <w:sz w:val="18"/>
      <w:szCs w:val="18"/>
      <w:shd w:val="clear" w:color="auto" w:fill="FFFFFF"/>
    </w:rPr>
  </w:style>
  <w:style w:type="character" w:styleId="FollowedHyperlink">
    <w:name w:val="FollowedHyperlink"/>
    <w:basedOn w:val="DefaultParagraphFont"/>
    <w:uiPriority w:val="99"/>
    <w:semiHidden/>
    <w:unhideWhenUsed/>
    <w:rsid w:val="001D77D5"/>
    <w:rPr>
      <w:color w:val="954F72" w:themeColor="followedHyperlink"/>
      <w:u w:val="single"/>
    </w:rPr>
  </w:style>
  <w:style w:type="character" w:styleId="Mention">
    <w:name w:val="Mention"/>
    <w:basedOn w:val="DefaultParagraphFont"/>
    <w:uiPriority w:val="99"/>
    <w:unhideWhenUsed/>
    <w:rsid w:val="0023515A"/>
    <w:rPr>
      <w:color w:val="2B579A"/>
      <w:shd w:val="clear" w:color="auto" w:fill="E1DFDD"/>
    </w:rPr>
  </w:style>
  <w:style w:type="paragraph" w:customStyle="1" w:styleId="NApunkts1">
    <w:name w:val="NA punkts 1"/>
    <w:basedOn w:val="Normal"/>
    <w:link w:val="NApunkts1Rakstz"/>
    <w:qFormat/>
    <w:rsid w:val="00D834D8"/>
    <w:pPr>
      <w:numPr>
        <w:numId w:val="12"/>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D834D8"/>
    <w:rPr>
      <w:rFonts w:ascii="Times New Roman" w:eastAsia="Times New Roman" w:hAnsi="Times New Roman" w:cs="Times New Roman"/>
      <w:sz w:val="24"/>
      <w:szCs w:val="24"/>
      <w:lang w:eastAsia="lv-LV"/>
    </w:rPr>
  </w:style>
  <w:style w:type="paragraph" w:customStyle="1" w:styleId="NApunkts2">
    <w:name w:val="NA punkts 2"/>
    <w:basedOn w:val="Normal"/>
    <w:qFormat/>
    <w:rsid w:val="00D834D8"/>
    <w:pPr>
      <w:keepLines/>
      <w:numPr>
        <w:ilvl w:val="1"/>
        <w:numId w:val="12"/>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D834D8"/>
    <w:pPr>
      <w:keepLines/>
      <w:numPr>
        <w:ilvl w:val="2"/>
        <w:numId w:val="12"/>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D834D8"/>
    <w:pPr>
      <w:keepLines/>
      <w:numPr>
        <w:ilvl w:val="3"/>
        <w:numId w:val="12"/>
      </w:numPr>
      <w:spacing w:after="0" w:line="240" w:lineRule="auto"/>
      <w:jc w:val="both"/>
      <w:outlineLvl w:val="3"/>
    </w:pPr>
    <w:rPr>
      <w:rFonts w:ascii="Times New Roman" w:eastAsia="Times New Roman" w:hAnsi="Times New Roman" w:cs="Times New Roman"/>
      <w:sz w:val="24"/>
      <w:szCs w:val="24"/>
      <w:lang w:eastAsia="lv-LV"/>
    </w:rPr>
  </w:style>
  <w:style w:type="paragraph" w:customStyle="1" w:styleId="Default">
    <w:name w:val="Default"/>
    <w:rsid w:val="00D834D8"/>
    <w:pPr>
      <w:autoSpaceDE w:val="0"/>
      <w:autoSpaceDN w:val="0"/>
      <w:adjustRightInd w:val="0"/>
      <w:spacing w:after="0" w:line="240" w:lineRule="auto"/>
    </w:pPr>
    <w:rPr>
      <w:rFonts w:ascii="Arial" w:hAnsi="Arial" w:cs="Arial"/>
      <w:color w:val="000000"/>
      <w:sz w:val="24"/>
      <w:szCs w:val="24"/>
    </w:rPr>
  </w:style>
  <w:style w:type="character" w:customStyle="1" w:styleId="fui-buttonicon">
    <w:name w:val="fui-button__icon"/>
    <w:basedOn w:val="DefaultParagraphFont"/>
    <w:rsid w:val="006D551C"/>
  </w:style>
  <w:style w:type="character" w:customStyle="1" w:styleId="fui-styledtext">
    <w:name w:val="fui-styledtext"/>
    <w:basedOn w:val="DefaultParagraphFont"/>
    <w:rsid w:val="006D5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447218">
      <w:bodyDiv w:val="1"/>
      <w:marLeft w:val="0"/>
      <w:marRight w:val="0"/>
      <w:marTop w:val="0"/>
      <w:marBottom w:val="0"/>
      <w:divBdr>
        <w:top w:val="none" w:sz="0" w:space="0" w:color="auto"/>
        <w:left w:val="none" w:sz="0" w:space="0" w:color="auto"/>
        <w:bottom w:val="none" w:sz="0" w:space="0" w:color="auto"/>
        <w:right w:val="none" w:sz="0" w:space="0" w:color="auto"/>
      </w:divBdr>
    </w:div>
    <w:div w:id="845561924">
      <w:bodyDiv w:val="1"/>
      <w:marLeft w:val="0"/>
      <w:marRight w:val="0"/>
      <w:marTop w:val="0"/>
      <w:marBottom w:val="0"/>
      <w:divBdr>
        <w:top w:val="none" w:sz="0" w:space="0" w:color="auto"/>
        <w:left w:val="none" w:sz="0" w:space="0" w:color="auto"/>
        <w:bottom w:val="none" w:sz="0" w:space="0" w:color="auto"/>
        <w:right w:val="none" w:sz="0" w:space="0" w:color="auto"/>
      </w:divBdr>
    </w:div>
    <w:div w:id="981930715">
      <w:bodyDiv w:val="1"/>
      <w:marLeft w:val="0"/>
      <w:marRight w:val="0"/>
      <w:marTop w:val="0"/>
      <w:marBottom w:val="0"/>
      <w:divBdr>
        <w:top w:val="none" w:sz="0" w:space="0" w:color="auto"/>
        <w:left w:val="none" w:sz="0" w:space="0" w:color="auto"/>
        <w:bottom w:val="none" w:sz="0" w:space="0" w:color="auto"/>
        <w:right w:val="none" w:sz="0" w:space="0" w:color="auto"/>
      </w:divBdr>
    </w:div>
    <w:div w:id="1403719383">
      <w:bodyDiv w:val="1"/>
      <w:marLeft w:val="0"/>
      <w:marRight w:val="0"/>
      <w:marTop w:val="0"/>
      <w:marBottom w:val="0"/>
      <w:divBdr>
        <w:top w:val="none" w:sz="0" w:space="0" w:color="auto"/>
        <w:left w:val="none" w:sz="0" w:space="0" w:color="auto"/>
        <w:bottom w:val="none" w:sz="0" w:space="0" w:color="auto"/>
        <w:right w:val="none" w:sz="0" w:space="0" w:color="auto"/>
      </w:divBdr>
    </w:div>
    <w:div w:id="1414624696">
      <w:bodyDiv w:val="1"/>
      <w:marLeft w:val="0"/>
      <w:marRight w:val="0"/>
      <w:marTop w:val="0"/>
      <w:marBottom w:val="0"/>
      <w:divBdr>
        <w:top w:val="none" w:sz="0" w:space="0" w:color="auto"/>
        <w:left w:val="none" w:sz="0" w:space="0" w:color="auto"/>
        <w:bottom w:val="none" w:sz="0" w:space="0" w:color="auto"/>
        <w:right w:val="none" w:sz="0" w:space="0" w:color="auto"/>
      </w:divBdr>
      <w:divsChild>
        <w:div w:id="1764108763">
          <w:marLeft w:val="0"/>
          <w:marRight w:val="0"/>
          <w:marTop w:val="0"/>
          <w:marBottom w:val="0"/>
          <w:divBdr>
            <w:top w:val="none" w:sz="0" w:space="0" w:color="auto"/>
            <w:left w:val="none" w:sz="0" w:space="0" w:color="auto"/>
            <w:bottom w:val="none" w:sz="0" w:space="0" w:color="auto"/>
            <w:right w:val="none" w:sz="0" w:space="0" w:color="auto"/>
          </w:divBdr>
          <w:divsChild>
            <w:div w:id="1790472236">
              <w:marLeft w:val="0"/>
              <w:marRight w:val="0"/>
              <w:marTop w:val="0"/>
              <w:marBottom w:val="0"/>
              <w:divBdr>
                <w:top w:val="none" w:sz="0" w:space="0" w:color="auto"/>
                <w:left w:val="none" w:sz="0" w:space="0" w:color="auto"/>
                <w:bottom w:val="none" w:sz="0" w:space="0" w:color="auto"/>
                <w:right w:val="none" w:sz="0" w:space="0" w:color="auto"/>
              </w:divBdr>
              <w:divsChild>
                <w:div w:id="200095574">
                  <w:marLeft w:val="0"/>
                  <w:marRight w:val="0"/>
                  <w:marTop w:val="0"/>
                  <w:marBottom w:val="0"/>
                  <w:divBdr>
                    <w:top w:val="none" w:sz="0" w:space="0" w:color="auto"/>
                    <w:left w:val="none" w:sz="0" w:space="0" w:color="auto"/>
                    <w:bottom w:val="none" w:sz="0" w:space="0" w:color="auto"/>
                    <w:right w:val="none" w:sz="0" w:space="0" w:color="auto"/>
                  </w:divBdr>
                  <w:divsChild>
                    <w:div w:id="1515654315">
                      <w:marLeft w:val="0"/>
                      <w:marRight w:val="0"/>
                      <w:marTop w:val="0"/>
                      <w:marBottom w:val="0"/>
                      <w:divBdr>
                        <w:top w:val="none" w:sz="0" w:space="0" w:color="auto"/>
                        <w:left w:val="none" w:sz="0" w:space="0" w:color="auto"/>
                        <w:bottom w:val="none" w:sz="0" w:space="0" w:color="auto"/>
                        <w:right w:val="none" w:sz="0" w:space="0" w:color="auto"/>
                      </w:divBdr>
                      <w:divsChild>
                        <w:div w:id="1533109190">
                          <w:marLeft w:val="0"/>
                          <w:marRight w:val="0"/>
                          <w:marTop w:val="0"/>
                          <w:marBottom w:val="0"/>
                          <w:divBdr>
                            <w:top w:val="none" w:sz="0" w:space="0" w:color="auto"/>
                            <w:left w:val="none" w:sz="0" w:space="0" w:color="auto"/>
                            <w:bottom w:val="none" w:sz="0" w:space="0" w:color="auto"/>
                            <w:right w:val="none" w:sz="0" w:space="0" w:color="auto"/>
                          </w:divBdr>
                          <w:divsChild>
                            <w:div w:id="1541670715">
                              <w:marLeft w:val="0"/>
                              <w:marRight w:val="0"/>
                              <w:marTop w:val="0"/>
                              <w:marBottom w:val="0"/>
                              <w:divBdr>
                                <w:top w:val="none" w:sz="0" w:space="0" w:color="auto"/>
                                <w:left w:val="none" w:sz="0" w:space="0" w:color="auto"/>
                                <w:bottom w:val="none" w:sz="0" w:space="0" w:color="auto"/>
                                <w:right w:val="none" w:sz="0" w:space="0" w:color="auto"/>
                              </w:divBdr>
                            </w:div>
                            <w:div w:id="170644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nk.lv/darbibas-jomas/uzraudziba/kreditiestazu-uzraudziba/parbauzu-rezultati-un-laba-prakse/ieteikumi-par-strategijas-dokumenta-tverumu-un-kvalitati" TargetMode="External"/><Relationship Id="rId18" Type="http://schemas.openxmlformats.org/officeDocument/2006/relationships/hyperlink" Target="https://eur-lex.europa.eu/legal-content/LV/TXT/PDF/?uri=CELEX:32023R1803" TargetMode="External"/><Relationship Id="rId26" Type="http://schemas.openxmlformats.org/officeDocument/2006/relationships/hyperlink" Target="https://extranet.eba.europa.eu/sites/default/documents/files/documents/10180/2537426/dec40fdc-8f54-4713-8d4b-bf34b4758ba2/Guidelines%20on%20institutions%20stress%20testing%20%28EBA-GL-2018-04%29_COR_LV.pdf?retry=1" TargetMode="External"/><Relationship Id="rId3" Type="http://schemas.openxmlformats.org/officeDocument/2006/relationships/customXml" Target="../customXml/item3.xml"/><Relationship Id="rId21" Type="http://schemas.openxmlformats.org/officeDocument/2006/relationships/hyperlink" Target="https://eur-lex.europa.eu/legal-content/LV/TXT/PDF/?uri=OJ:L_202401623"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ankingsupervision.europa.eu/ecb/pub/pdf/ssm.ilaap_guide_201811.en.pdf" TargetMode="External"/><Relationship Id="rId17" Type="http://schemas.openxmlformats.org/officeDocument/2006/relationships/hyperlink" Target="https://eur-lex.europa.eu/legal-content/LV/TXT/PDF/?uri=CELEX:02013R0575-20230628" TargetMode="External"/><Relationship Id="rId25" Type="http://schemas.openxmlformats.org/officeDocument/2006/relationships/hyperlink" Target="https://likumi.lv/ta/id/348613-kreditriska-parvaldisanas-noteikumi"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likumi.lv/ta/id/332418-ieguldijumu-brokeru-sabiedribu-likums" TargetMode="External"/><Relationship Id="rId20" Type="http://schemas.openxmlformats.org/officeDocument/2006/relationships/hyperlink" Target="https://eur-lex.europa.eu/legal-content/LV/TXT/PDF/?uri=CELEX:32023R0137" TargetMode="External"/><Relationship Id="rId29" Type="http://schemas.openxmlformats.org/officeDocument/2006/relationships/hyperlink" Target="https://www.eba.europa.eu/sites/default/documents/files/documents/10180/1051392/2b3419ef-d517-4500-a504-500b5a13fdac/EBA-GL-2014-13%20GL%20on%20Pillar%202%20%28SREP%29%20-%20LV.pdf?retry=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nkingsupervision.europa.eu/ecb/pub/pdf/ssm.icaap_guide_201811.en.pdf" TargetMode="External"/><Relationship Id="rId24" Type="http://schemas.openxmlformats.org/officeDocument/2006/relationships/hyperlink" Target="https://likumi.lv/ta/id/296597-kreditu-registra-noteikumi"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likumi.lv/ta/id/326575-latvijas-bankas-likums" TargetMode="External"/><Relationship Id="rId23" Type="http://schemas.openxmlformats.org/officeDocument/2006/relationships/hyperlink" Target="https://likumi.lv/ta/id/336703-noteikumi-par-elektronisko-informacijas-apmainu-ar-latvijas-banku" TargetMode="External"/><Relationship Id="rId28" Type="http://schemas.openxmlformats.org/officeDocument/2006/relationships/hyperlink" Target="https://www.eba.europa.eu/sites/default/documents/files/document_library/Publications/Guidelines/2022/EBA-GL-2022-03%20Revised%20SREP%20Guidelines/Translations/1042373/Revised%20GL%20on%20SREP%20%28EBA-GL-2022-03%29%20-%20tracked%20-%20updated_LV_COR.pdf%20" TargetMode="External"/><Relationship Id="rId10" Type="http://schemas.openxmlformats.org/officeDocument/2006/relationships/endnotes" Target="endnotes.xml"/><Relationship Id="rId19" Type="http://schemas.openxmlformats.org/officeDocument/2006/relationships/hyperlink" Target="https://eur-lex.europa.eu/legal-content/LV/TXT/PDF/?uri=CELEX:02006R1893-20190726" TargetMode="External"/><Relationship Id="rId31" Type="http://schemas.openxmlformats.org/officeDocument/2006/relationships/hyperlink" Target="http://www.bank.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kumi.lv/ta/id/37426-kreditiestazu-likums" TargetMode="External"/><Relationship Id="rId22" Type="http://schemas.openxmlformats.org/officeDocument/2006/relationships/hyperlink" Target="https://likumi.lv/ta/id/318511-kapitala-un-likviditates-pietiekamibas-novertesanas-procesa-izveides-normativie-noteikumi%20" TargetMode="External"/><Relationship Id="rId27" Type="http://schemas.openxmlformats.org/officeDocument/2006/relationships/hyperlink" Target="https://www.eba.europa.eu/sites/default/files/document_library/Publications/Guidelines/2022/EBA-GL-2022-14%20GL%20on%20IRRBB%20and%20CSRBB/Translations/1052190/GL%20on%20IRRBB%20and%20CSRBB%20%28EBA%20GL%202022%2014%29_LV_REV_COR.pdf" TargetMode="External"/><Relationship Id="rId30" Type="http://schemas.openxmlformats.org/officeDocument/2006/relationships/hyperlink" Target="https://www.eba.europa.eu/sites/default/documents/files/documents/10180/1748842/aa2944ce-ee3d-4c5c-a73b-259bd0dbc1fb/Guidelines%20on%20ICAAP%20ILAAP%20%28EBA-GL-2016-10%29_LV.pdf?retry=1" TargetMode="External"/><Relationship Id="rId8"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779B4A9C293F604F96934BF459679A57" ma:contentTypeVersion="4" ma:contentTypeDescription="Izveidot jaunu dokumentu." ma:contentTypeScope="" ma:versionID="1a5e57cd8e6b124b294f2a359de95d24">
  <xsd:schema xmlns:xsd="http://www.w3.org/2001/XMLSchema" xmlns:xs="http://www.w3.org/2001/XMLSchema" xmlns:p="http://schemas.microsoft.com/office/2006/metadata/properties" xmlns:ns2="a939ed7a-5429-4fc1-bf32-2a5746456406" targetNamespace="http://schemas.microsoft.com/office/2006/metadata/properties" ma:root="true" ma:fieldsID="4671c680e1346b028bd0e4c3fc42b2c9" ns2:_="">
    <xsd:import namespace="a939ed7a-5429-4fc1-bf32-2a574645640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9ed7a-5429-4fc1-bf32-2a57464564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CE6A7A-868C-4ACF-B4A5-561D6042EDC5}">
  <ds:schemaRefs>
    <ds:schemaRef ds:uri="http://schemas.openxmlformats.org/officeDocument/2006/bibliography"/>
  </ds:schemaRefs>
</ds:datastoreItem>
</file>

<file path=customXml/itemProps2.xml><?xml version="1.0" encoding="utf-8"?>
<ds:datastoreItem xmlns:ds="http://schemas.openxmlformats.org/officeDocument/2006/customXml" ds:itemID="{5F54527E-64F0-4A2C-AFAA-C1F79D74EF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9ed7a-5429-4fc1-bf32-2a57464564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E1010F-DB22-44E1-A48B-7B8376DB2A32}">
  <ds:schemaRefs>
    <ds:schemaRef ds:uri="http://schemas.microsoft.com/sharepoint/v3/contenttype/forms"/>
  </ds:schemaRefs>
</ds:datastoreItem>
</file>

<file path=customXml/itemProps4.xml><?xml version="1.0" encoding="utf-8"?>
<ds:datastoreItem xmlns:ds="http://schemas.openxmlformats.org/officeDocument/2006/customXml" ds:itemID="{9D88E76C-957A-4E3B-97D0-C4F62E546F1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22070</Words>
  <Characters>12581</Characters>
  <Application>Microsoft Office Word</Application>
  <DocSecurity>0</DocSecurity>
  <Lines>104</Lines>
  <Paragraphs>69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34582</CharactersWithSpaces>
  <SharedDoc>false</SharedDoc>
  <HLinks>
    <vt:vector size="126" baseType="variant">
      <vt:variant>
        <vt:i4>8323126</vt:i4>
      </vt:variant>
      <vt:variant>
        <vt:i4>60</vt:i4>
      </vt:variant>
      <vt:variant>
        <vt:i4>0</vt:i4>
      </vt:variant>
      <vt:variant>
        <vt:i4>5</vt:i4>
      </vt:variant>
      <vt:variant>
        <vt:lpwstr>http://www.bank.lv/</vt:lpwstr>
      </vt:variant>
      <vt:variant>
        <vt:lpwstr/>
      </vt:variant>
      <vt:variant>
        <vt:i4>1507399</vt:i4>
      </vt:variant>
      <vt:variant>
        <vt:i4>57</vt:i4>
      </vt:variant>
      <vt:variant>
        <vt:i4>0</vt:i4>
      </vt:variant>
      <vt:variant>
        <vt:i4>5</vt:i4>
      </vt:variant>
      <vt:variant>
        <vt:lpwstr>https://likumi.lv/ta/id/319274-ieksejas-kontroles-sistemas-izveides-normativie-noteikumi</vt:lpwstr>
      </vt:variant>
      <vt:variant>
        <vt:lpwstr/>
      </vt:variant>
      <vt:variant>
        <vt:i4>5243005</vt:i4>
      </vt:variant>
      <vt:variant>
        <vt:i4>54</vt:i4>
      </vt:variant>
      <vt:variant>
        <vt:i4>0</vt:i4>
      </vt:variant>
      <vt:variant>
        <vt:i4>5</vt:i4>
      </vt:variant>
      <vt:variant>
        <vt:lpwstr>https://www.eba.europa.eu/sites/default/documents/files/documents/10180/1748842/aa2944ce-ee3d-4c5c-a73b-259bd0dbc1fb/Guidelines on ICAAP ILAAP %28EBA-GL-2016-10%29_LV.pdf?retry=1</vt:lpwstr>
      </vt:variant>
      <vt:variant>
        <vt:lpwstr/>
      </vt:variant>
      <vt:variant>
        <vt:i4>7536756</vt:i4>
      </vt:variant>
      <vt:variant>
        <vt:i4>51</vt:i4>
      </vt:variant>
      <vt:variant>
        <vt:i4>0</vt:i4>
      </vt:variant>
      <vt:variant>
        <vt:i4>5</vt:i4>
      </vt:variant>
      <vt:variant>
        <vt:lpwstr>https://www.eba.europa.eu/sites/default/documents/files/documents/10180/1051392/2b3419ef-d517-4500-a504-500b5a13fdac/EBA-GL-2014-13 GL on Pillar 2 %28SREP%29 - LV.pdf?retry=1</vt:lpwstr>
      </vt:variant>
      <vt:variant>
        <vt:lpwstr/>
      </vt:variant>
      <vt:variant>
        <vt:i4>3080277</vt:i4>
      </vt:variant>
      <vt:variant>
        <vt:i4>48</vt:i4>
      </vt:variant>
      <vt:variant>
        <vt:i4>0</vt:i4>
      </vt:variant>
      <vt:variant>
        <vt:i4>5</vt:i4>
      </vt:variant>
      <vt:variant>
        <vt:lpwstr>https://www.eba.europa.eu/sites/default/documents/files/document_library/Publications/Guidelines/2022/EBA-GL-2022-03 Revised SREP Guidelines/Translations/1042373/Revised GL on SREP %28EBA-GL-2022-03%29 - tracked - updated_LV_COR.pdf</vt:lpwstr>
      </vt:variant>
      <vt:variant>
        <vt:lpwstr/>
      </vt:variant>
      <vt:variant>
        <vt:i4>2818159</vt:i4>
      </vt:variant>
      <vt:variant>
        <vt:i4>45</vt:i4>
      </vt:variant>
      <vt:variant>
        <vt:i4>0</vt:i4>
      </vt:variant>
      <vt:variant>
        <vt:i4>5</vt:i4>
      </vt:variant>
      <vt:variant>
        <vt:lpwstr>https://www.eba.europa.eu/sites/default/files/document_library/Publications/Guidelines/2022/EBA-GL-2022-14 GL on IRRBB and CSRBB/Translations/1052190/GL on IRRBB and CSRBB %28EBA GL 2022 14%29_LV_REV_COR.pdf</vt:lpwstr>
      </vt:variant>
      <vt:variant>
        <vt:lpwstr/>
      </vt:variant>
      <vt:variant>
        <vt:i4>2752558</vt:i4>
      </vt:variant>
      <vt:variant>
        <vt:i4>42</vt:i4>
      </vt:variant>
      <vt:variant>
        <vt:i4>0</vt:i4>
      </vt:variant>
      <vt:variant>
        <vt:i4>5</vt:i4>
      </vt:variant>
      <vt:variant>
        <vt:lpwstr>https://extranet.eba.europa.eu/sites/default/documents/files/documents/10180/2537426/dec40fdc-8f54-4713-8d4b-bf34b4758ba2/Guidelines on institutions stress testing %28EBA-GL-2018-04%29_COR_LV.pdf?retry=1</vt:lpwstr>
      </vt:variant>
      <vt:variant>
        <vt:lpwstr/>
      </vt:variant>
      <vt:variant>
        <vt:i4>3145764</vt:i4>
      </vt:variant>
      <vt:variant>
        <vt:i4>39</vt:i4>
      </vt:variant>
      <vt:variant>
        <vt:i4>0</vt:i4>
      </vt:variant>
      <vt:variant>
        <vt:i4>5</vt:i4>
      </vt:variant>
      <vt:variant>
        <vt:lpwstr>https://likumi.lv/ta/id/348613-kreditriska-parvaldisanas-noteikumi</vt:lpwstr>
      </vt:variant>
      <vt:variant>
        <vt:lpwstr/>
      </vt:variant>
      <vt:variant>
        <vt:i4>1835021</vt:i4>
      </vt:variant>
      <vt:variant>
        <vt:i4>36</vt:i4>
      </vt:variant>
      <vt:variant>
        <vt:i4>0</vt:i4>
      </vt:variant>
      <vt:variant>
        <vt:i4>5</vt:i4>
      </vt:variant>
      <vt:variant>
        <vt:lpwstr>https://likumi.lv/ta/id/296597-kreditu-registra-noteikumi</vt:lpwstr>
      </vt:variant>
      <vt:variant>
        <vt:lpwstr/>
      </vt:variant>
      <vt:variant>
        <vt:i4>327688</vt:i4>
      </vt:variant>
      <vt:variant>
        <vt:i4>33</vt:i4>
      </vt:variant>
      <vt:variant>
        <vt:i4>0</vt:i4>
      </vt:variant>
      <vt:variant>
        <vt:i4>5</vt:i4>
      </vt:variant>
      <vt:variant>
        <vt:lpwstr>https://likumi.lv/ta/id/318641-likviditates-prasibu-to-izpildes-kartibas-un-likviditates-riska-parvaldisanas-normativie-noteikumi</vt:lpwstr>
      </vt:variant>
      <vt:variant>
        <vt:lpwstr/>
      </vt:variant>
      <vt:variant>
        <vt:i4>5439505</vt:i4>
      </vt:variant>
      <vt:variant>
        <vt:i4>30</vt:i4>
      </vt:variant>
      <vt:variant>
        <vt:i4>0</vt:i4>
      </vt:variant>
      <vt:variant>
        <vt:i4>5</vt:i4>
      </vt:variant>
      <vt:variant>
        <vt:lpwstr>https://likumi.lv/ta/id/336703-noteikumi-par-elektronisko-informacijas-apmainu-ar-latvijas-banku</vt:lpwstr>
      </vt:variant>
      <vt:variant>
        <vt:lpwstr/>
      </vt:variant>
      <vt:variant>
        <vt:i4>5767248</vt:i4>
      </vt:variant>
      <vt:variant>
        <vt:i4>27</vt:i4>
      </vt:variant>
      <vt:variant>
        <vt:i4>0</vt:i4>
      </vt:variant>
      <vt:variant>
        <vt:i4>5</vt:i4>
      </vt:variant>
      <vt:variant>
        <vt:lpwstr>https://likumi.lv/ta/id/318511-kapitala-un-likviditates-pietiekamibas-novertesanas-procesa-izveides-normativie-noteikumi</vt:lpwstr>
      </vt:variant>
      <vt:variant>
        <vt:lpwstr/>
      </vt:variant>
      <vt:variant>
        <vt:i4>1048605</vt:i4>
      </vt:variant>
      <vt:variant>
        <vt:i4>24</vt:i4>
      </vt:variant>
      <vt:variant>
        <vt:i4>0</vt:i4>
      </vt:variant>
      <vt:variant>
        <vt:i4>5</vt:i4>
      </vt:variant>
      <vt:variant>
        <vt:lpwstr>https://eur-lex.europa.eu/legal-content/LV/TXT/PDF/?uri=CELEX:02006R1893-20190726</vt:lpwstr>
      </vt:variant>
      <vt:variant>
        <vt:lpwstr/>
      </vt:variant>
      <vt:variant>
        <vt:i4>1245185</vt:i4>
      </vt:variant>
      <vt:variant>
        <vt:i4>21</vt:i4>
      </vt:variant>
      <vt:variant>
        <vt:i4>0</vt:i4>
      </vt:variant>
      <vt:variant>
        <vt:i4>5</vt:i4>
      </vt:variant>
      <vt:variant>
        <vt:lpwstr>https://eur-lex.europa.eu/legal-content/LV/TXT/PDF/?uri=CELEX:32023R1803</vt:lpwstr>
      </vt:variant>
      <vt:variant>
        <vt:lpwstr/>
      </vt:variant>
      <vt:variant>
        <vt:i4>1638428</vt:i4>
      </vt:variant>
      <vt:variant>
        <vt:i4>18</vt:i4>
      </vt:variant>
      <vt:variant>
        <vt:i4>0</vt:i4>
      </vt:variant>
      <vt:variant>
        <vt:i4>5</vt:i4>
      </vt:variant>
      <vt:variant>
        <vt:lpwstr>https://eur-lex.europa.eu/legal-content/LV/TXT/PDF/?uri=CELEX:02013R0575-20230628</vt:lpwstr>
      </vt:variant>
      <vt:variant>
        <vt:lpwstr/>
      </vt:variant>
      <vt:variant>
        <vt:i4>983122</vt:i4>
      </vt:variant>
      <vt:variant>
        <vt:i4>15</vt:i4>
      </vt:variant>
      <vt:variant>
        <vt:i4>0</vt:i4>
      </vt:variant>
      <vt:variant>
        <vt:i4>5</vt:i4>
      </vt:variant>
      <vt:variant>
        <vt:lpwstr>https://likumi.lv/ta/id/332418-ieguldijumu-brokeru-sabiedribu-likums</vt:lpwstr>
      </vt:variant>
      <vt:variant>
        <vt:lpwstr/>
      </vt:variant>
      <vt:variant>
        <vt:i4>1835008</vt:i4>
      </vt:variant>
      <vt:variant>
        <vt:i4>12</vt:i4>
      </vt:variant>
      <vt:variant>
        <vt:i4>0</vt:i4>
      </vt:variant>
      <vt:variant>
        <vt:i4>5</vt:i4>
      </vt:variant>
      <vt:variant>
        <vt:lpwstr>https://likumi.lv/ta/id/326575-latvijas-bankas-likums</vt:lpwstr>
      </vt:variant>
      <vt:variant>
        <vt:lpwstr/>
      </vt:variant>
      <vt:variant>
        <vt:i4>6488191</vt:i4>
      </vt:variant>
      <vt:variant>
        <vt:i4>9</vt:i4>
      </vt:variant>
      <vt:variant>
        <vt:i4>0</vt:i4>
      </vt:variant>
      <vt:variant>
        <vt:i4>5</vt:i4>
      </vt:variant>
      <vt:variant>
        <vt:lpwstr>https://likumi.lv/ta/id/37426-kreditiestazu-likums</vt:lpwstr>
      </vt:variant>
      <vt:variant>
        <vt:lpwstr/>
      </vt:variant>
      <vt:variant>
        <vt:i4>1441819</vt:i4>
      </vt:variant>
      <vt:variant>
        <vt:i4>6</vt:i4>
      </vt:variant>
      <vt:variant>
        <vt:i4>0</vt:i4>
      </vt:variant>
      <vt:variant>
        <vt:i4>5</vt:i4>
      </vt:variant>
      <vt:variant>
        <vt:lpwstr>https://www.bank.lv/darbibas-jomas/uzraudziba/kreditiestazu-uzraudziba/parbauzu-rezultati-un-laba-prakse/ieteikumi-par-strategijas-dokumenta-tverumu-un-kvalitati</vt:lpwstr>
      </vt:variant>
      <vt:variant>
        <vt:lpwstr/>
      </vt:variant>
      <vt:variant>
        <vt:i4>6619181</vt:i4>
      </vt:variant>
      <vt:variant>
        <vt:i4>3</vt:i4>
      </vt:variant>
      <vt:variant>
        <vt:i4>0</vt:i4>
      </vt:variant>
      <vt:variant>
        <vt:i4>5</vt:i4>
      </vt:variant>
      <vt:variant>
        <vt:lpwstr>https://www.bankingsupervision.europa.eu/ecb/pub/pdf/ssm.ilaap_guide_201811.en.pdf</vt:lpwstr>
      </vt:variant>
      <vt:variant>
        <vt:lpwstr/>
      </vt:variant>
      <vt:variant>
        <vt:i4>6619170</vt:i4>
      </vt:variant>
      <vt:variant>
        <vt:i4>0</vt:i4>
      </vt:variant>
      <vt:variant>
        <vt:i4>0</vt:i4>
      </vt:variant>
      <vt:variant>
        <vt:i4>5</vt:i4>
      </vt:variant>
      <vt:variant>
        <vt:lpwstr>https://www.bankingsupervision.europa.eu/ecb/pub/pdf/ssm.icaap_guide_201811.en.pdf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Avotiņš</dc:creator>
  <cp:keywords/>
  <dc:description/>
  <cp:lastModifiedBy>Inga Jermoloviča</cp:lastModifiedBy>
  <cp:revision>3</cp:revision>
  <cp:lastPrinted>2022-05-24T05:55:00Z</cp:lastPrinted>
  <dcterms:created xsi:type="dcterms:W3CDTF">2024-09-06T11:22:00Z</dcterms:created>
  <dcterms:modified xsi:type="dcterms:W3CDTF">2024-09-06T11:35:00Z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0x010100779B4A9C293F604F96934BF459679A57</vt:lpwstr>
  </property>
</Properties>
</file>