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629D7F" w14:textId="3392901F" w:rsidR="004D7D20" w:rsidRPr="002C2B98" w:rsidRDefault="004D7D20" w:rsidP="00A202C9">
      <w:pPr>
        <w:jc w:val="center"/>
        <w:rPr>
          <w:rFonts w:ascii="Times New Roman" w:hAnsi="Times New Roman" w:cs="Times New Roman"/>
          <w:b/>
          <w:bCs/>
          <w:sz w:val="24"/>
          <w:szCs w:val="24"/>
        </w:rPr>
      </w:pPr>
      <w:r w:rsidRPr="002C2B98">
        <w:rPr>
          <w:rFonts w:ascii="Times New Roman" w:hAnsi="Times New Roman" w:cs="Times New Roman"/>
          <w:b/>
          <w:bCs/>
          <w:sz w:val="24"/>
          <w:szCs w:val="24"/>
        </w:rPr>
        <w:t>Latvijas Bankas noteikumu projekt</w:t>
      </w:r>
      <w:r w:rsidR="00595003" w:rsidRPr="002C2B98">
        <w:rPr>
          <w:rFonts w:ascii="Times New Roman" w:hAnsi="Times New Roman" w:cs="Times New Roman"/>
          <w:b/>
          <w:bCs/>
          <w:sz w:val="24"/>
          <w:szCs w:val="24"/>
        </w:rPr>
        <w:t>a</w:t>
      </w:r>
      <w:r w:rsidRPr="002C2B98">
        <w:rPr>
          <w:rFonts w:ascii="Times New Roman" w:hAnsi="Times New Roman" w:cs="Times New Roman"/>
          <w:b/>
          <w:bCs/>
          <w:sz w:val="24"/>
          <w:szCs w:val="24"/>
        </w:rPr>
        <w:t xml:space="preserve"> "</w:t>
      </w:r>
      <w:r w:rsidR="002273BD" w:rsidRPr="002273BD">
        <w:rPr>
          <w:rFonts w:ascii="Times New Roman" w:hAnsi="Times New Roman" w:cs="Times New Roman"/>
          <w:b/>
          <w:bCs/>
          <w:sz w:val="24"/>
          <w:szCs w:val="24"/>
        </w:rPr>
        <w:t xml:space="preserve">Prasības grupas iekšējā finansiālā atbalsta sniegšanas nosacījumu izpildes </w:t>
      </w:r>
      <w:r w:rsidR="001E4BB0">
        <w:rPr>
          <w:rFonts w:ascii="Times New Roman" w:hAnsi="Times New Roman" w:cs="Times New Roman"/>
          <w:b/>
          <w:bCs/>
          <w:sz w:val="24"/>
          <w:szCs w:val="24"/>
        </w:rPr>
        <w:t>izvērtēšanai</w:t>
      </w:r>
      <w:r w:rsidRPr="002C2B98">
        <w:rPr>
          <w:rFonts w:ascii="Times New Roman" w:hAnsi="Times New Roman" w:cs="Times New Roman"/>
          <w:b/>
          <w:bCs/>
          <w:sz w:val="24"/>
          <w:szCs w:val="24"/>
        </w:rPr>
        <w:t>"</w:t>
      </w:r>
      <w:r w:rsidR="00595003" w:rsidRPr="002C2B98">
        <w:rPr>
          <w:rFonts w:ascii="Times New Roman" w:hAnsi="Times New Roman" w:cs="Times New Roman"/>
          <w:b/>
          <w:bCs/>
          <w:sz w:val="24"/>
          <w:szCs w:val="24"/>
        </w:rPr>
        <w:t xml:space="preserve"> anotācija</w:t>
      </w:r>
    </w:p>
    <w:tbl>
      <w:tblPr>
        <w:tblStyle w:val="TableGrid"/>
        <w:tblW w:w="8359" w:type="dxa"/>
        <w:tblLook w:val="04A0" w:firstRow="1" w:lastRow="0" w:firstColumn="1" w:lastColumn="0" w:noHBand="0" w:noVBand="1"/>
      </w:tblPr>
      <w:tblGrid>
        <w:gridCol w:w="1980"/>
        <w:gridCol w:w="6379"/>
      </w:tblGrid>
      <w:tr w:rsidR="00E02C21" w:rsidRPr="00E02C21" w14:paraId="2AC98F6A" w14:textId="77777777" w:rsidTr="009B620B">
        <w:tc>
          <w:tcPr>
            <w:tcW w:w="1980" w:type="dxa"/>
          </w:tcPr>
          <w:p w14:paraId="68548ECA" w14:textId="5D13C2FE" w:rsidR="004D7D20" w:rsidRPr="000B329F" w:rsidRDefault="004D7D20" w:rsidP="00CB2ED4">
            <w:pPr>
              <w:jc w:val="both"/>
              <w:rPr>
                <w:rFonts w:ascii="Times New Roman" w:hAnsi="Times New Roman" w:cs="Times New Roman"/>
                <w:b/>
                <w:bCs/>
                <w:sz w:val="24"/>
                <w:szCs w:val="24"/>
              </w:rPr>
            </w:pPr>
            <w:r w:rsidRPr="000B329F">
              <w:rPr>
                <w:rFonts w:ascii="Times New Roman" w:hAnsi="Times New Roman" w:cs="Times New Roman"/>
                <w:b/>
                <w:bCs/>
                <w:sz w:val="24"/>
                <w:szCs w:val="24"/>
              </w:rPr>
              <w:t>Nosaukums</w:t>
            </w:r>
          </w:p>
        </w:tc>
        <w:tc>
          <w:tcPr>
            <w:tcW w:w="6379" w:type="dxa"/>
          </w:tcPr>
          <w:p w14:paraId="0EF6BD51" w14:textId="469E7E3D" w:rsidR="004D7D20" w:rsidRPr="002C2B98" w:rsidRDefault="002273BD" w:rsidP="00CB2ED4">
            <w:pPr>
              <w:jc w:val="both"/>
              <w:rPr>
                <w:rFonts w:ascii="Times New Roman" w:hAnsi="Times New Roman" w:cs="Times New Roman"/>
                <w:sz w:val="24"/>
                <w:szCs w:val="24"/>
              </w:rPr>
            </w:pPr>
            <w:r w:rsidRPr="002273BD">
              <w:rPr>
                <w:rFonts w:ascii="Times New Roman" w:hAnsi="Times New Roman" w:cs="Times New Roman"/>
                <w:sz w:val="24"/>
                <w:szCs w:val="24"/>
              </w:rPr>
              <w:t xml:space="preserve">Prasības grupas iekšējā finansiālā atbalsta sniegšanas nosacījumu izpildes </w:t>
            </w:r>
            <w:r w:rsidR="001E4BB0">
              <w:rPr>
                <w:rFonts w:ascii="Times New Roman" w:hAnsi="Times New Roman" w:cs="Times New Roman"/>
                <w:sz w:val="24"/>
                <w:szCs w:val="24"/>
              </w:rPr>
              <w:t>izvērtēšanai</w:t>
            </w:r>
          </w:p>
        </w:tc>
      </w:tr>
      <w:tr w:rsidR="00A61684" w:rsidRPr="00A61684" w14:paraId="02230D17" w14:textId="77777777" w:rsidTr="009B620B">
        <w:tc>
          <w:tcPr>
            <w:tcW w:w="1980" w:type="dxa"/>
          </w:tcPr>
          <w:p w14:paraId="118F97D3" w14:textId="47F841DE" w:rsidR="004D7D20" w:rsidRPr="00A202C9" w:rsidRDefault="004D7D20" w:rsidP="00CB2ED4">
            <w:pPr>
              <w:jc w:val="both"/>
              <w:rPr>
                <w:rFonts w:ascii="Times New Roman" w:hAnsi="Times New Roman" w:cs="Times New Roman"/>
                <w:b/>
                <w:bCs/>
                <w:sz w:val="24"/>
                <w:szCs w:val="24"/>
              </w:rPr>
            </w:pPr>
            <w:r w:rsidRPr="00A202C9">
              <w:rPr>
                <w:rFonts w:ascii="Times New Roman" w:hAnsi="Times New Roman" w:cs="Times New Roman"/>
                <w:b/>
                <w:bCs/>
                <w:sz w:val="24"/>
                <w:szCs w:val="24"/>
              </w:rPr>
              <w:t>Dokumenta veids</w:t>
            </w:r>
          </w:p>
        </w:tc>
        <w:tc>
          <w:tcPr>
            <w:tcW w:w="6379" w:type="dxa"/>
          </w:tcPr>
          <w:p w14:paraId="4CC0239D" w14:textId="710EA1F9" w:rsidR="004D7D20" w:rsidRPr="00E02C21" w:rsidRDefault="00952874" w:rsidP="00CB2ED4">
            <w:pPr>
              <w:jc w:val="both"/>
              <w:rPr>
                <w:rFonts w:ascii="Times New Roman" w:hAnsi="Times New Roman" w:cs="Times New Roman"/>
                <w:sz w:val="24"/>
                <w:szCs w:val="24"/>
              </w:rPr>
            </w:pPr>
            <w:r w:rsidRPr="00952874">
              <w:rPr>
                <w:rFonts w:ascii="Times New Roman" w:hAnsi="Times New Roman" w:cs="Times New Roman"/>
                <w:sz w:val="24"/>
                <w:szCs w:val="24"/>
              </w:rPr>
              <w:t>Latvijas Bankas noteikumi</w:t>
            </w:r>
          </w:p>
        </w:tc>
      </w:tr>
      <w:tr w:rsidR="00A61684" w:rsidRPr="00A61684" w14:paraId="1E36ACC8" w14:textId="77777777" w:rsidTr="009B620B">
        <w:tc>
          <w:tcPr>
            <w:tcW w:w="1980" w:type="dxa"/>
          </w:tcPr>
          <w:p w14:paraId="15B9D0AC" w14:textId="168434E5" w:rsidR="004D7D20" w:rsidRPr="00A202C9" w:rsidRDefault="004D7D20" w:rsidP="00CB2ED4">
            <w:pPr>
              <w:jc w:val="both"/>
              <w:rPr>
                <w:rFonts w:ascii="Times New Roman" w:hAnsi="Times New Roman" w:cs="Times New Roman"/>
                <w:b/>
                <w:bCs/>
                <w:sz w:val="24"/>
                <w:szCs w:val="24"/>
              </w:rPr>
            </w:pPr>
            <w:r w:rsidRPr="00A202C9">
              <w:rPr>
                <w:rFonts w:ascii="Times New Roman" w:hAnsi="Times New Roman" w:cs="Times New Roman"/>
                <w:b/>
                <w:bCs/>
                <w:sz w:val="24"/>
                <w:szCs w:val="24"/>
              </w:rPr>
              <w:t>Izdošanas pamatojums</w:t>
            </w:r>
          </w:p>
        </w:tc>
        <w:tc>
          <w:tcPr>
            <w:tcW w:w="6379" w:type="dxa"/>
          </w:tcPr>
          <w:p w14:paraId="14871B80" w14:textId="70BD76F7" w:rsidR="00AF3B0F" w:rsidRPr="002C640D" w:rsidRDefault="002C640D" w:rsidP="002C640D">
            <w:pPr>
              <w:jc w:val="both"/>
              <w:rPr>
                <w:rFonts w:ascii="Times New Roman" w:hAnsi="Times New Roman" w:cs="Times New Roman"/>
                <w:sz w:val="24"/>
                <w:szCs w:val="24"/>
              </w:rPr>
            </w:pPr>
            <w:r w:rsidRPr="002C640D">
              <w:rPr>
                <w:rFonts w:ascii="Times New Roman" w:hAnsi="Times New Roman" w:cs="Times New Roman"/>
                <w:sz w:val="24"/>
                <w:szCs w:val="24"/>
              </w:rPr>
              <w:t xml:space="preserve">Kredītiestāžu un ieguldījumu brokeru sabiedrību darbības atjaunošanas un noregulējuma likuma </w:t>
            </w:r>
            <w:r w:rsidR="008803FC">
              <w:rPr>
                <w:rFonts w:ascii="Times New Roman" w:hAnsi="Times New Roman" w:cs="Times New Roman"/>
                <w:sz w:val="24"/>
                <w:szCs w:val="24"/>
              </w:rPr>
              <w:t>(turpmāk </w:t>
            </w:r>
            <w:r w:rsidR="008803FC" w:rsidRPr="008803FC">
              <w:rPr>
                <w:rFonts w:ascii="Times New Roman" w:hAnsi="Times New Roman" w:cs="Times New Roman"/>
                <w:sz w:val="24"/>
                <w:szCs w:val="24"/>
              </w:rPr>
              <w:t>–</w:t>
            </w:r>
            <w:r w:rsidR="008803FC">
              <w:rPr>
                <w:rFonts w:ascii="Times New Roman" w:hAnsi="Times New Roman" w:cs="Times New Roman"/>
                <w:sz w:val="24"/>
                <w:szCs w:val="24"/>
              </w:rPr>
              <w:t xml:space="preserve"> Likums) </w:t>
            </w:r>
            <w:r w:rsidRPr="002C640D">
              <w:rPr>
                <w:rFonts w:ascii="Times New Roman" w:hAnsi="Times New Roman" w:cs="Times New Roman"/>
                <w:sz w:val="24"/>
                <w:szCs w:val="24"/>
              </w:rPr>
              <w:t>3. panta ceturtā daļa</w:t>
            </w:r>
          </w:p>
        </w:tc>
      </w:tr>
      <w:tr w:rsidR="00A61684" w:rsidRPr="00A61684" w14:paraId="46DB522F" w14:textId="77777777" w:rsidTr="009B620B">
        <w:tc>
          <w:tcPr>
            <w:tcW w:w="1980" w:type="dxa"/>
          </w:tcPr>
          <w:p w14:paraId="2B8F0582" w14:textId="51CB8878" w:rsidR="008D0C81" w:rsidRPr="00A202C9" w:rsidRDefault="009E6A95" w:rsidP="00ED3376">
            <w:pPr>
              <w:jc w:val="both"/>
              <w:rPr>
                <w:rFonts w:ascii="Times New Roman" w:hAnsi="Times New Roman" w:cs="Times New Roman"/>
                <w:b/>
                <w:bCs/>
                <w:sz w:val="24"/>
                <w:szCs w:val="24"/>
              </w:rPr>
            </w:pPr>
            <w:r w:rsidRPr="00A202C9">
              <w:rPr>
                <w:rFonts w:ascii="Times New Roman" w:hAnsi="Times New Roman" w:cs="Times New Roman"/>
                <w:b/>
                <w:bCs/>
                <w:sz w:val="24"/>
                <w:szCs w:val="24"/>
              </w:rPr>
              <w:t>Mērķis un būtība</w:t>
            </w:r>
          </w:p>
        </w:tc>
        <w:tc>
          <w:tcPr>
            <w:tcW w:w="6379" w:type="dxa"/>
          </w:tcPr>
          <w:p w14:paraId="62E6F0CD" w14:textId="6CA3E69C" w:rsidR="00741AE8" w:rsidRPr="002C640D" w:rsidRDefault="00741AE8" w:rsidP="0068380B">
            <w:pPr>
              <w:jc w:val="both"/>
              <w:rPr>
                <w:rFonts w:ascii="Times New Roman" w:hAnsi="Times New Roman" w:cs="Times New Roman"/>
                <w:sz w:val="24"/>
                <w:szCs w:val="24"/>
              </w:rPr>
            </w:pPr>
            <w:bookmarkStart w:id="0" w:name="_Hlk131432007"/>
            <w:r w:rsidRPr="002C640D">
              <w:rPr>
                <w:rFonts w:ascii="Times New Roman" w:hAnsi="Times New Roman" w:cs="Times New Roman"/>
                <w:sz w:val="24"/>
                <w:szCs w:val="24"/>
              </w:rPr>
              <w:t>Saskaņā ar Latvijas Bankas likuma pārejas noteikumu 3. punktu Latvijas Bankas un Finanšu un kapitāla tirgus komisijas līdz Latvijas Bankas likuma spēkā stāšanās dienai izdotie ārējie normatīvie akti, vadlīnijas un ieteikumi piemērojami līdz dienai, kad stājas spēkā attiecīgie Latvijas Bankas ārējie normatīvie akti, vadlīnijas vai ieteikumi, bet ne ilgāk kā līdz 2024. gada 31. decembrim.</w:t>
            </w:r>
          </w:p>
          <w:p w14:paraId="50B0E155" w14:textId="77777777" w:rsidR="00741AE8" w:rsidRPr="005C6710" w:rsidRDefault="00741AE8" w:rsidP="0068380B">
            <w:pPr>
              <w:jc w:val="both"/>
              <w:rPr>
                <w:rFonts w:ascii="Times New Roman" w:hAnsi="Times New Roman" w:cs="Times New Roman"/>
                <w:sz w:val="24"/>
                <w:szCs w:val="24"/>
              </w:rPr>
            </w:pPr>
          </w:p>
          <w:p w14:paraId="6B997811" w14:textId="682DE870" w:rsidR="00741AE8" w:rsidRDefault="00741AE8" w:rsidP="0068380B">
            <w:pPr>
              <w:jc w:val="both"/>
              <w:rPr>
                <w:rFonts w:ascii="Times New Roman" w:hAnsi="Times New Roman" w:cs="Times New Roman"/>
                <w:sz w:val="24"/>
                <w:szCs w:val="24"/>
              </w:rPr>
            </w:pPr>
            <w:r w:rsidRPr="005C6710">
              <w:rPr>
                <w:rFonts w:ascii="Times New Roman" w:hAnsi="Times New Roman" w:cs="Times New Roman"/>
                <w:sz w:val="24"/>
                <w:szCs w:val="24"/>
              </w:rPr>
              <w:t>Ņemot vērā minēto, Latvijas Banka ir izstrādājusi noteikumu projektu "</w:t>
            </w:r>
            <w:r w:rsidR="002273BD" w:rsidRPr="002273BD">
              <w:rPr>
                <w:rFonts w:ascii="Times New Roman" w:hAnsi="Times New Roman" w:cs="Times New Roman"/>
                <w:sz w:val="24"/>
                <w:szCs w:val="24"/>
              </w:rPr>
              <w:t xml:space="preserve">Prasības grupas iekšējā finansiālā atbalsta sniegšanas nosacījumu izpildes </w:t>
            </w:r>
            <w:r w:rsidR="001E4BB0">
              <w:rPr>
                <w:rFonts w:ascii="Times New Roman" w:hAnsi="Times New Roman" w:cs="Times New Roman"/>
                <w:sz w:val="24"/>
                <w:szCs w:val="24"/>
              </w:rPr>
              <w:t>izvērtēšanai</w:t>
            </w:r>
            <w:r w:rsidRPr="002C2B98">
              <w:rPr>
                <w:rFonts w:ascii="Times New Roman" w:hAnsi="Times New Roman" w:cs="Times New Roman"/>
                <w:sz w:val="24"/>
                <w:szCs w:val="24"/>
              </w:rPr>
              <w:t>"</w:t>
            </w:r>
            <w:r w:rsidRPr="005C6710">
              <w:rPr>
                <w:rFonts w:ascii="Times New Roman" w:hAnsi="Times New Roman" w:cs="Times New Roman"/>
                <w:sz w:val="24"/>
                <w:szCs w:val="24"/>
              </w:rPr>
              <w:t xml:space="preserve"> (turpmāk</w:t>
            </w:r>
            <w:r w:rsidR="005A2587" w:rsidRPr="005C6710">
              <w:rPr>
                <w:rFonts w:ascii="Times New Roman" w:hAnsi="Times New Roman" w:cs="Times New Roman"/>
                <w:sz w:val="24"/>
                <w:szCs w:val="24"/>
              </w:rPr>
              <w:t> </w:t>
            </w:r>
            <w:r w:rsidRPr="005C6710">
              <w:rPr>
                <w:rFonts w:ascii="Times New Roman" w:hAnsi="Times New Roman" w:cs="Times New Roman"/>
                <w:sz w:val="24"/>
                <w:szCs w:val="24"/>
              </w:rPr>
              <w:t xml:space="preserve">– </w:t>
            </w:r>
            <w:r w:rsidR="008803FC">
              <w:rPr>
                <w:rFonts w:ascii="Times New Roman" w:hAnsi="Times New Roman" w:cs="Times New Roman"/>
                <w:sz w:val="24"/>
                <w:szCs w:val="24"/>
              </w:rPr>
              <w:t>n</w:t>
            </w:r>
            <w:r w:rsidR="008803FC" w:rsidRPr="005C6710">
              <w:rPr>
                <w:rFonts w:ascii="Times New Roman" w:hAnsi="Times New Roman" w:cs="Times New Roman"/>
                <w:sz w:val="24"/>
                <w:szCs w:val="24"/>
              </w:rPr>
              <w:t xml:space="preserve">oteikumu </w:t>
            </w:r>
            <w:r w:rsidRPr="005C6710">
              <w:rPr>
                <w:rFonts w:ascii="Times New Roman" w:hAnsi="Times New Roman" w:cs="Times New Roman"/>
                <w:sz w:val="24"/>
                <w:szCs w:val="24"/>
              </w:rPr>
              <w:t xml:space="preserve">projekts), kas aizstās </w:t>
            </w:r>
            <w:r w:rsidR="005A2587" w:rsidRPr="005C6710">
              <w:rPr>
                <w:rFonts w:ascii="Times New Roman" w:hAnsi="Times New Roman" w:cs="Times New Roman"/>
                <w:sz w:val="24"/>
                <w:szCs w:val="24"/>
              </w:rPr>
              <w:t xml:space="preserve">Finanšu un kapitāla tirgus komisijas 2020. gada </w:t>
            </w:r>
            <w:r w:rsidR="005C6710" w:rsidRPr="005C6710">
              <w:rPr>
                <w:rFonts w:ascii="Times New Roman" w:hAnsi="Times New Roman" w:cs="Times New Roman"/>
                <w:sz w:val="24"/>
                <w:szCs w:val="24"/>
              </w:rPr>
              <w:t>27</w:t>
            </w:r>
            <w:r w:rsidR="005A2587" w:rsidRPr="005C6710">
              <w:rPr>
                <w:rFonts w:ascii="Times New Roman" w:hAnsi="Times New Roman" w:cs="Times New Roman"/>
                <w:sz w:val="24"/>
                <w:szCs w:val="24"/>
              </w:rPr>
              <w:t>. </w:t>
            </w:r>
            <w:r w:rsidR="005C6710" w:rsidRPr="005C6710">
              <w:rPr>
                <w:rFonts w:ascii="Times New Roman" w:hAnsi="Times New Roman" w:cs="Times New Roman"/>
                <w:sz w:val="24"/>
                <w:szCs w:val="24"/>
              </w:rPr>
              <w:t xml:space="preserve">jūlija </w:t>
            </w:r>
            <w:r w:rsidR="005A2587" w:rsidRPr="005C6710">
              <w:rPr>
                <w:rFonts w:ascii="Times New Roman" w:hAnsi="Times New Roman" w:cs="Times New Roman"/>
                <w:sz w:val="24"/>
                <w:szCs w:val="24"/>
              </w:rPr>
              <w:t>normatīvos noteikumus Nr. </w:t>
            </w:r>
            <w:r w:rsidR="005C6710" w:rsidRPr="005C6710">
              <w:rPr>
                <w:rFonts w:ascii="Times New Roman" w:hAnsi="Times New Roman" w:cs="Times New Roman"/>
                <w:sz w:val="24"/>
                <w:szCs w:val="24"/>
              </w:rPr>
              <w:t xml:space="preserve">107 </w:t>
            </w:r>
            <w:r w:rsidR="005A2587" w:rsidRPr="005C6710">
              <w:rPr>
                <w:rFonts w:ascii="Times New Roman" w:hAnsi="Times New Roman" w:cs="Times New Roman"/>
                <w:sz w:val="24"/>
                <w:szCs w:val="24"/>
              </w:rPr>
              <w:t>"</w:t>
            </w:r>
            <w:r w:rsidR="005C6710" w:rsidRPr="005C6710">
              <w:rPr>
                <w:rFonts w:ascii="Times New Roman" w:hAnsi="Times New Roman" w:cs="Times New Roman"/>
                <w:sz w:val="24"/>
                <w:szCs w:val="24"/>
              </w:rPr>
              <w:t>Finansiālā atbalsta sniegšanas nosacījumu izpildes izvērtēšanas normatīvie noteikumi</w:t>
            </w:r>
            <w:r w:rsidR="005A2587" w:rsidRPr="005C6710">
              <w:rPr>
                <w:rFonts w:ascii="Times New Roman" w:hAnsi="Times New Roman" w:cs="Times New Roman"/>
                <w:sz w:val="24"/>
                <w:szCs w:val="24"/>
              </w:rPr>
              <w:t>"</w:t>
            </w:r>
            <w:r w:rsidR="009A0657" w:rsidRPr="005C6710">
              <w:rPr>
                <w:rFonts w:ascii="Times New Roman" w:hAnsi="Times New Roman" w:cs="Times New Roman"/>
                <w:sz w:val="24"/>
                <w:szCs w:val="24"/>
              </w:rPr>
              <w:t xml:space="preserve"> (turpmāk – Noteikumi Nr.</w:t>
            </w:r>
            <w:r w:rsidR="009E425D" w:rsidRPr="005C6710">
              <w:rPr>
                <w:rFonts w:ascii="Times New Roman" w:hAnsi="Times New Roman" w:cs="Times New Roman"/>
                <w:sz w:val="24"/>
                <w:szCs w:val="24"/>
              </w:rPr>
              <w:t> </w:t>
            </w:r>
            <w:r w:rsidR="005C6710" w:rsidRPr="005C6710">
              <w:rPr>
                <w:rFonts w:ascii="Times New Roman" w:hAnsi="Times New Roman" w:cs="Times New Roman"/>
                <w:sz w:val="24"/>
                <w:szCs w:val="24"/>
              </w:rPr>
              <w:t>107</w:t>
            </w:r>
            <w:r w:rsidR="009A0657" w:rsidRPr="005C6710">
              <w:rPr>
                <w:rFonts w:ascii="Times New Roman" w:hAnsi="Times New Roman" w:cs="Times New Roman"/>
                <w:sz w:val="24"/>
                <w:szCs w:val="24"/>
              </w:rPr>
              <w:t>)</w:t>
            </w:r>
            <w:r w:rsidRPr="005C6710">
              <w:rPr>
                <w:rFonts w:ascii="Times New Roman" w:hAnsi="Times New Roman" w:cs="Times New Roman"/>
                <w:sz w:val="24"/>
                <w:szCs w:val="24"/>
              </w:rPr>
              <w:t>.</w:t>
            </w:r>
          </w:p>
          <w:p w14:paraId="26F15BAE" w14:textId="77777777" w:rsidR="008803FC" w:rsidRDefault="008803FC" w:rsidP="0068380B">
            <w:pPr>
              <w:jc w:val="both"/>
              <w:rPr>
                <w:rFonts w:ascii="Times New Roman" w:hAnsi="Times New Roman" w:cs="Times New Roman"/>
                <w:sz w:val="24"/>
                <w:szCs w:val="24"/>
              </w:rPr>
            </w:pPr>
          </w:p>
          <w:p w14:paraId="605E9B8E" w14:textId="32BEBC52" w:rsidR="00F9654E" w:rsidRDefault="008803FC" w:rsidP="0068380B">
            <w:pPr>
              <w:jc w:val="both"/>
              <w:rPr>
                <w:rFonts w:ascii="Times New Roman" w:hAnsi="Times New Roman" w:cs="Times New Roman"/>
                <w:sz w:val="24"/>
                <w:szCs w:val="24"/>
              </w:rPr>
            </w:pPr>
            <w:r w:rsidRPr="006C532D">
              <w:rPr>
                <w:rFonts w:ascii="Times New Roman" w:hAnsi="Times New Roman" w:cs="Times New Roman"/>
                <w:sz w:val="24"/>
                <w:szCs w:val="24"/>
              </w:rPr>
              <w:t xml:space="preserve">Likuma </w:t>
            </w:r>
            <w:r w:rsidRPr="005B4E58">
              <w:rPr>
                <w:rFonts w:ascii="Times New Roman" w:hAnsi="Times New Roman" w:cs="Times New Roman"/>
                <w:sz w:val="24"/>
                <w:szCs w:val="24"/>
              </w:rPr>
              <w:t>28.</w:t>
            </w:r>
            <w:r w:rsidR="003B5091" w:rsidRPr="005B4E58">
              <w:rPr>
                <w:rFonts w:ascii="Times New Roman" w:hAnsi="Times New Roman" w:cs="Times New Roman"/>
                <w:sz w:val="24"/>
                <w:szCs w:val="24"/>
              </w:rPr>
              <w:t> </w:t>
            </w:r>
            <w:r w:rsidRPr="005B4E58">
              <w:rPr>
                <w:rFonts w:ascii="Times New Roman" w:hAnsi="Times New Roman" w:cs="Times New Roman"/>
                <w:sz w:val="24"/>
                <w:szCs w:val="24"/>
              </w:rPr>
              <w:t>pant</w:t>
            </w:r>
            <w:r w:rsidR="00BF572D" w:rsidRPr="00821404">
              <w:rPr>
                <w:rFonts w:ascii="Times New Roman" w:hAnsi="Times New Roman" w:cs="Times New Roman"/>
                <w:sz w:val="24"/>
                <w:szCs w:val="24"/>
              </w:rPr>
              <w:t>ā</w:t>
            </w:r>
            <w:r w:rsidRPr="005B4E58">
              <w:rPr>
                <w:rFonts w:ascii="Times New Roman" w:hAnsi="Times New Roman" w:cs="Times New Roman"/>
                <w:sz w:val="24"/>
                <w:szCs w:val="24"/>
              </w:rPr>
              <w:t xml:space="preserve"> no</w:t>
            </w:r>
            <w:r w:rsidR="00BF572D" w:rsidRPr="005B4E58">
              <w:rPr>
                <w:rFonts w:ascii="Times New Roman" w:hAnsi="Times New Roman" w:cs="Times New Roman"/>
                <w:sz w:val="24"/>
                <w:szCs w:val="24"/>
              </w:rPr>
              <w:t>teikti</w:t>
            </w:r>
            <w:r w:rsidRPr="005B4E58">
              <w:rPr>
                <w:rFonts w:ascii="Times New Roman" w:hAnsi="Times New Roman" w:cs="Times New Roman"/>
                <w:sz w:val="24"/>
                <w:szCs w:val="24"/>
              </w:rPr>
              <w:t xml:space="preserve"> nosacījum</w:t>
            </w:r>
            <w:r w:rsidR="00BF572D" w:rsidRPr="005B4E58">
              <w:rPr>
                <w:rFonts w:ascii="Times New Roman" w:hAnsi="Times New Roman" w:cs="Times New Roman"/>
                <w:sz w:val="24"/>
                <w:szCs w:val="24"/>
              </w:rPr>
              <w:t>i</w:t>
            </w:r>
            <w:r w:rsidRPr="006C532D">
              <w:rPr>
                <w:rFonts w:ascii="Times New Roman" w:hAnsi="Times New Roman" w:cs="Times New Roman"/>
                <w:sz w:val="24"/>
                <w:szCs w:val="24"/>
              </w:rPr>
              <w:t>, kas jāizpilda, lai grupas sabiedrība būtu tiesīga sniegt finansiālo atbalstu saskaņā ar nolīgumu par grupas iekšējo finansiālo atbalstu. Saskaņā ar Likuma 30.</w:t>
            </w:r>
            <w:r w:rsidR="003B5091" w:rsidRPr="006C532D">
              <w:rPr>
                <w:rFonts w:ascii="Times New Roman" w:hAnsi="Times New Roman" w:cs="Times New Roman"/>
                <w:sz w:val="24"/>
                <w:szCs w:val="24"/>
              </w:rPr>
              <w:t> </w:t>
            </w:r>
            <w:r w:rsidRPr="006C532D">
              <w:rPr>
                <w:rFonts w:ascii="Times New Roman" w:hAnsi="Times New Roman" w:cs="Times New Roman"/>
                <w:sz w:val="24"/>
                <w:szCs w:val="24"/>
              </w:rPr>
              <w:t xml:space="preserve">panta trešo daļu </w:t>
            </w:r>
            <w:r w:rsidR="00F9654E" w:rsidRPr="006C532D">
              <w:rPr>
                <w:rFonts w:ascii="Times New Roman" w:hAnsi="Times New Roman" w:cs="Times New Roman"/>
                <w:sz w:val="24"/>
                <w:szCs w:val="24"/>
              </w:rPr>
              <w:t>Latvijas Banka var piekrist finansiālā atbalsta sniegšanai vai to aizliegt vai ierobežot, ja tā konstatē, ka nav izpildīti Likuma V</w:t>
            </w:r>
            <w:r w:rsidR="003B5091" w:rsidRPr="006C532D">
              <w:rPr>
                <w:rFonts w:ascii="Times New Roman" w:hAnsi="Times New Roman" w:cs="Times New Roman"/>
                <w:sz w:val="24"/>
                <w:szCs w:val="24"/>
              </w:rPr>
              <w:t> </w:t>
            </w:r>
            <w:r w:rsidR="00F9654E" w:rsidRPr="006C532D">
              <w:rPr>
                <w:rFonts w:ascii="Times New Roman" w:hAnsi="Times New Roman" w:cs="Times New Roman"/>
                <w:sz w:val="24"/>
                <w:szCs w:val="24"/>
              </w:rPr>
              <w:t xml:space="preserve">nodaļā minētie grupas iekšējā finansiālā atbalsta sniegšanas nosacījumi. </w:t>
            </w:r>
            <w:r w:rsidR="00454BE5" w:rsidRPr="006C532D">
              <w:rPr>
                <w:rFonts w:ascii="Times New Roman" w:hAnsi="Times New Roman" w:cs="Times New Roman"/>
                <w:sz w:val="24"/>
                <w:szCs w:val="24"/>
              </w:rPr>
              <w:t>Savukārt Likuma 30.</w:t>
            </w:r>
            <w:r w:rsidR="003B5091" w:rsidRPr="006C532D">
              <w:rPr>
                <w:rFonts w:ascii="Times New Roman" w:hAnsi="Times New Roman" w:cs="Times New Roman"/>
                <w:sz w:val="24"/>
                <w:szCs w:val="24"/>
              </w:rPr>
              <w:t> </w:t>
            </w:r>
            <w:r w:rsidR="00454BE5" w:rsidRPr="006C532D">
              <w:rPr>
                <w:rFonts w:ascii="Times New Roman" w:hAnsi="Times New Roman" w:cs="Times New Roman"/>
                <w:sz w:val="24"/>
                <w:szCs w:val="24"/>
              </w:rPr>
              <w:t xml:space="preserve">panta pirmā </w:t>
            </w:r>
            <w:r w:rsidR="00F65661" w:rsidRPr="006C532D">
              <w:rPr>
                <w:rFonts w:ascii="Times New Roman" w:hAnsi="Times New Roman" w:cs="Times New Roman"/>
                <w:sz w:val="24"/>
                <w:szCs w:val="24"/>
              </w:rPr>
              <w:t xml:space="preserve">daļa </w:t>
            </w:r>
            <w:r w:rsidR="00454BE5" w:rsidRPr="006C532D">
              <w:rPr>
                <w:rFonts w:ascii="Times New Roman" w:hAnsi="Times New Roman" w:cs="Times New Roman"/>
                <w:sz w:val="24"/>
                <w:szCs w:val="24"/>
              </w:rPr>
              <w:t xml:space="preserve">paredz prasību grupas sabiedrībai, kura ir paredzējusi sniegt finansiālo atbalstu, pirms </w:t>
            </w:r>
            <w:r w:rsidR="00507C56">
              <w:rPr>
                <w:rFonts w:ascii="Times New Roman" w:hAnsi="Times New Roman" w:cs="Times New Roman"/>
                <w:sz w:val="24"/>
                <w:szCs w:val="24"/>
              </w:rPr>
              <w:t xml:space="preserve">finansiālā </w:t>
            </w:r>
            <w:r w:rsidR="00454BE5" w:rsidRPr="006C532D">
              <w:rPr>
                <w:rFonts w:ascii="Times New Roman" w:hAnsi="Times New Roman" w:cs="Times New Roman"/>
                <w:sz w:val="24"/>
                <w:szCs w:val="24"/>
              </w:rPr>
              <w:t>atbalsta sniegšanas saskaņā ar nolīgumu par grupas iekšējo finansiālo atbalstu paziņot par to Latvijas Bankai</w:t>
            </w:r>
            <w:r w:rsidR="00F45E93">
              <w:rPr>
                <w:rFonts w:ascii="Times New Roman" w:hAnsi="Times New Roman" w:cs="Times New Roman"/>
                <w:sz w:val="24"/>
                <w:szCs w:val="24"/>
              </w:rPr>
              <w:t>,</w:t>
            </w:r>
            <w:r w:rsidR="00454BE5" w:rsidRPr="006C532D">
              <w:rPr>
                <w:rFonts w:ascii="Times New Roman" w:hAnsi="Times New Roman" w:cs="Times New Roman"/>
                <w:sz w:val="24"/>
                <w:szCs w:val="24"/>
              </w:rPr>
              <w:t xml:space="preserve"> un </w:t>
            </w:r>
            <w:r w:rsidR="00F45E93">
              <w:rPr>
                <w:rFonts w:ascii="Times New Roman" w:hAnsi="Times New Roman" w:cs="Times New Roman"/>
                <w:sz w:val="24"/>
                <w:szCs w:val="24"/>
              </w:rPr>
              <w:t xml:space="preserve">Likuma 30. panta otrā daļa </w:t>
            </w:r>
            <w:r w:rsidR="00454BE5" w:rsidRPr="006C532D">
              <w:rPr>
                <w:rFonts w:ascii="Times New Roman" w:hAnsi="Times New Roman" w:cs="Times New Roman"/>
                <w:sz w:val="24"/>
                <w:szCs w:val="24"/>
              </w:rPr>
              <w:t xml:space="preserve">nosaka paziņojumā </w:t>
            </w:r>
            <w:r w:rsidR="00F45E93" w:rsidRPr="006C532D">
              <w:rPr>
                <w:rFonts w:ascii="Times New Roman" w:hAnsi="Times New Roman" w:cs="Times New Roman"/>
                <w:sz w:val="24"/>
                <w:szCs w:val="24"/>
              </w:rPr>
              <w:t>ie</w:t>
            </w:r>
            <w:r w:rsidR="00F45E93">
              <w:rPr>
                <w:rFonts w:ascii="Times New Roman" w:hAnsi="Times New Roman" w:cs="Times New Roman"/>
                <w:sz w:val="24"/>
                <w:szCs w:val="24"/>
              </w:rPr>
              <w:t>tver</w:t>
            </w:r>
            <w:r w:rsidR="00F45E93" w:rsidRPr="006C532D">
              <w:rPr>
                <w:rFonts w:ascii="Times New Roman" w:hAnsi="Times New Roman" w:cs="Times New Roman"/>
                <w:sz w:val="24"/>
                <w:szCs w:val="24"/>
              </w:rPr>
              <w:t xml:space="preserve">amo </w:t>
            </w:r>
            <w:r w:rsidR="00454BE5" w:rsidRPr="006C532D">
              <w:rPr>
                <w:rFonts w:ascii="Times New Roman" w:hAnsi="Times New Roman" w:cs="Times New Roman"/>
                <w:sz w:val="24"/>
                <w:szCs w:val="24"/>
              </w:rPr>
              <w:t>informāciju.</w:t>
            </w:r>
          </w:p>
          <w:p w14:paraId="434AFDFA" w14:textId="77777777" w:rsidR="00F9654E" w:rsidRDefault="00F9654E" w:rsidP="0068380B">
            <w:pPr>
              <w:jc w:val="both"/>
              <w:rPr>
                <w:rFonts w:ascii="Times New Roman" w:hAnsi="Times New Roman" w:cs="Times New Roman"/>
                <w:sz w:val="24"/>
                <w:szCs w:val="24"/>
              </w:rPr>
            </w:pPr>
          </w:p>
          <w:p w14:paraId="3AC7336D" w14:textId="7789E41C" w:rsidR="00F9654E" w:rsidRDefault="00F9654E" w:rsidP="0068380B">
            <w:pPr>
              <w:jc w:val="both"/>
              <w:rPr>
                <w:rFonts w:ascii="Times New Roman" w:hAnsi="Times New Roman" w:cs="Times New Roman"/>
                <w:sz w:val="24"/>
                <w:szCs w:val="24"/>
              </w:rPr>
            </w:pPr>
            <w:r w:rsidRPr="00F9654E">
              <w:rPr>
                <w:rFonts w:ascii="Times New Roman" w:hAnsi="Times New Roman" w:cs="Times New Roman"/>
                <w:sz w:val="24"/>
                <w:szCs w:val="24"/>
              </w:rPr>
              <w:t>Komisijas 2016.</w:t>
            </w:r>
            <w:r w:rsidR="003B5091">
              <w:rPr>
                <w:rFonts w:ascii="Times New Roman" w:hAnsi="Times New Roman" w:cs="Times New Roman"/>
                <w:sz w:val="24"/>
                <w:szCs w:val="24"/>
              </w:rPr>
              <w:t> </w:t>
            </w:r>
            <w:r w:rsidRPr="00F9654E">
              <w:rPr>
                <w:rFonts w:ascii="Times New Roman" w:hAnsi="Times New Roman" w:cs="Times New Roman"/>
                <w:sz w:val="24"/>
                <w:szCs w:val="24"/>
              </w:rPr>
              <w:t>gada 23.</w:t>
            </w:r>
            <w:r w:rsidR="003B5091">
              <w:rPr>
                <w:rFonts w:ascii="Times New Roman" w:hAnsi="Times New Roman" w:cs="Times New Roman"/>
                <w:sz w:val="24"/>
                <w:szCs w:val="24"/>
              </w:rPr>
              <w:t> </w:t>
            </w:r>
            <w:r w:rsidRPr="00F9654E">
              <w:rPr>
                <w:rFonts w:ascii="Times New Roman" w:hAnsi="Times New Roman" w:cs="Times New Roman"/>
                <w:sz w:val="24"/>
                <w:szCs w:val="24"/>
              </w:rPr>
              <w:t>mart</w:t>
            </w:r>
            <w:r>
              <w:rPr>
                <w:rFonts w:ascii="Times New Roman" w:hAnsi="Times New Roman" w:cs="Times New Roman"/>
                <w:sz w:val="24"/>
                <w:szCs w:val="24"/>
              </w:rPr>
              <w:t>a d</w:t>
            </w:r>
            <w:r w:rsidRPr="00F9654E">
              <w:rPr>
                <w:rFonts w:ascii="Times New Roman" w:hAnsi="Times New Roman" w:cs="Times New Roman"/>
                <w:sz w:val="24"/>
                <w:szCs w:val="24"/>
              </w:rPr>
              <w:t>eleģētā</w:t>
            </w:r>
            <w:r>
              <w:rPr>
                <w:rFonts w:ascii="Times New Roman" w:hAnsi="Times New Roman" w:cs="Times New Roman"/>
                <w:sz w:val="24"/>
                <w:szCs w:val="24"/>
              </w:rPr>
              <w:t>s</w:t>
            </w:r>
            <w:r w:rsidRPr="00F9654E">
              <w:rPr>
                <w:rFonts w:ascii="Times New Roman" w:hAnsi="Times New Roman" w:cs="Times New Roman"/>
                <w:sz w:val="24"/>
                <w:szCs w:val="24"/>
              </w:rPr>
              <w:t xml:space="preserve"> regula</w:t>
            </w:r>
            <w:r>
              <w:rPr>
                <w:rFonts w:ascii="Times New Roman" w:hAnsi="Times New Roman" w:cs="Times New Roman"/>
                <w:sz w:val="24"/>
                <w:szCs w:val="24"/>
              </w:rPr>
              <w:t>s</w:t>
            </w:r>
            <w:r w:rsidRPr="00F9654E">
              <w:rPr>
                <w:rFonts w:ascii="Times New Roman" w:hAnsi="Times New Roman" w:cs="Times New Roman"/>
                <w:sz w:val="24"/>
                <w:szCs w:val="24"/>
              </w:rPr>
              <w:t xml:space="preserve"> (ES)</w:t>
            </w:r>
            <w:r w:rsidR="00940C85">
              <w:rPr>
                <w:rFonts w:ascii="Times New Roman" w:hAnsi="Times New Roman" w:cs="Times New Roman"/>
                <w:sz w:val="24"/>
                <w:szCs w:val="24"/>
              </w:rPr>
              <w:t> </w:t>
            </w:r>
            <w:r w:rsidRPr="00F9654E">
              <w:rPr>
                <w:rFonts w:ascii="Times New Roman" w:hAnsi="Times New Roman" w:cs="Times New Roman"/>
                <w:sz w:val="24"/>
                <w:szCs w:val="24"/>
              </w:rPr>
              <w:t xml:space="preserve">2016/1075, ar ko papildina Eiropas Parlamenta un Padomes </w:t>
            </w:r>
            <w:r w:rsidR="0063654A">
              <w:rPr>
                <w:rFonts w:ascii="Times New Roman" w:hAnsi="Times New Roman" w:cs="Times New Roman"/>
                <w:sz w:val="24"/>
                <w:szCs w:val="24"/>
              </w:rPr>
              <w:t>d</w:t>
            </w:r>
            <w:r w:rsidRPr="00F9654E">
              <w:rPr>
                <w:rFonts w:ascii="Times New Roman" w:hAnsi="Times New Roman" w:cs="Times New Roman"/>
                <w:sz w:val="24"/>
                <w:szCs w:val="24"/>
              </w:rPr>
              <w:t>irektīvu</w:t>
            </w:r>
            <w:r w:rsidR="00940C85">
              <w:rPr>
                <w:rFonts w:ascii="Times New Roman" w:hAnsi="Times New Roman" w:cs="Times New Roman"/>
                <w:sz w:val="24"/>
                <w:szCs w:val="24"/>
              </w:rPr>
              <w:t> </w:t>
            </w:r>
            <w:r w:rsidRPr="00F9654E">
              <w:rPr>
                <w:rFonts w:ascii="Times New Roman" w:hAnsi="Times New Roman" w:cs="Times New Roman"/>
                <w:sz w:val="24"/>
                <w:szCs w:val="24"/>
              </w:rPr>
              <w:t xml:space="preserve">2014/59/ES attiecībā uz regulatīvajiem tehniskajiem standartiem, ar kuriem precizē atveseļošanas plānu, noregulējuma plānu un grupas noregulējuma plānu saturu, minimālos kritērijus, kas kompetentajai iestādei ir jānovērtē attiecībā uz atveseļošanas plāniem un grupas atveseļošanas plāniem, nosacījumus grupas finansiālajam atbalstam, prasības neatkarīgiem vērtētājiem, norakstīšanas un konvertācijas pilnvaru līgumisku atzīšanu, paziņošanas prasību un apturēšanas paziņojuma procedūras un saturu un noregulējuma kolēģiju </w:t>
            </w:r>
            <w:r w:rsidRPr="00F9654E">
              <w:rPr>
                <w:rFonts w:ascii="Times New Roman" w:hAnsi="Times New Roman" w:cs="Times New Roman"/>
                <w:sz w:val="24"/>
                <w:szCs w:val="24"/>
              </w:rPr>
              <w:lastRenderedPageBreak/>
              <w:t>operatīvās funkcijas</w:t>
            </w:r>
            <w:r w:rsidR="001E4DCD">
              <w:rPr>
                <w:rFonts w:ascii="Times New Roman" w:hAnsi="Times New Roman" w:cs="Times New Roman"/>
                <w:sz w:val="24"/>
                <w:szCs w:val="24"/>
              </w:rPr>
              <w:t xml:space="preserve"> (turpmāk</w:t>
            </w:r>
            <w:r w:rsidR="003B5091">
              <w:rPr>
                <w:rFonts w:ascii="Times New Roman" w:hAnsi="Times New Roman" w:cs="Times New Roman"/>
                <w:sz w:val="24"/>
                <w:szCs w:val="24"/>
              </w:rPr>
              <w:t> </w:t>
            </w:r>
            <w:r w:rsidR="001E4DCD" w:rsidRPr="005C6710">
              <w:rPr>
                <w:rFonts w:ascii="Times New Roman" w:hAnsi="Times New Roman" w:cs="Times New Roman"/>
                <w:sz w:val="24"/>
                <w:szCs w:val="24"/>
              </w:rPr>
              <w:t>–</w:t>
            </w:r>
            <w:r w:rsidR="001E4DCD">
              <w:rPr>
                <w:rFonts w:ascii="Times New Roman" w:hAnsi="Times New Roman" w:cs="Times New Roman"/>
                <w:sz w:val="24"/>
                <w:szCs w:val="24"/>
              </w:rPr>
              <w:t xml:space="preserve"> Regula 2016/1075)</w:t>
            </w:r>
            <w:r>
              <w:rPr>
                <w:rFonts w:ascii="Times New Roman" w:hAnsi="Times New Roman" w:cs="Times New Roman"/>
                <w:sz w:val="24"/>
                <w:szCs w:val="24"/>
              </w:rPr>
              <w:t xml:space="preserve"> III</w:t>
            </w:r>
            <w:r w:rsidR="003B5091">
              <w:rPr>
                <w:rFonts w:ascii="Times New Roman" w:hAnsi="Times New Roman" w:cs="Times New Roman"/>
                <w:sz w:val="24"/>
                <w:szCs w:val="24"/>
              </w:rPr>
              <w:t> </w:t>
            </w:r>
            <w:r>
              <w:rPr>
                <w:rFonts w:ascii="Times New Roman" w:hAnsi="Times New Roman" w:cs="Times New Roman"/>
                <w:sz w:val="24"/>
                <w:szCs w:val="24"/>
              </w:rPr>
              <w:t>nodaļa nosaka</w:t>
            </w:r>
            <w:r w:rsidR="00C65592">
              <w:rPr>
                <w:rFonts w:ascii="Times New Roman" w:hAnsi="Times New Roman" w:cs="Times New Roman"/>
                <w:sz w:val="24"/>
                <w:szCs w:val="24"/>
              </w:rPr>
              <w:t xml:space="preserve"> prasības attiecībā uz</w:t>
            </w:r>
            <w:r>
              <w:rPr>
                <w:rFonts w:ascii="Times New Roman" w:hAnsi="Times New Roman" w:cs="Times New Roman"/>
                <w:sz w:val="24"/>
                <w:szCs w:val="24"/>
              </w:rPr>
              <w:t xml:space="preserve"> </w:t>
            </w:r>
            <w:r w:rsidRPr="00007E48">
              <w:rPr>
                <w:rFonts w:ascii="Times New Roman" w:hAnsi="Times New Roman" w:cs="Times New Roman"/>
                <w:sz w:val="24"/>
                <w:szCs w:val="24"/>
              </w:rPr>
              <w:t>Likuma 28.</w:t>
            </w:r>
            <w:r w:rsidR="003B5091" w:rsidRPr="00007E48">
              <w:rPr>
                <w:rFonts w:ascii="Times New Roman" w:hAnsi="Times New Roman" w:cs="Times New Roman"/>
                <w:sz w:val="24"/>
                <w:szCs w:val="24"/>
              </w:rPr>
              <w:t> </w:t>
            </w:r>
            <w:r w:rsidRPr="00007E48">
              <w:rPr>
                <w:rFonts w:ascii="Times New Roman" w:hAnsi="Times New Roman" w:cs="Times New Roman"/>
                <w:sz w:val="24"/>
                <w:szCs w:val="24"/>
              </w:rPr>
              <w:t xml:space="preserve">panta </w:t>
            </w:r>
            <w:r w:rsidR="002C2B98">
              <w:rPr>
                <w:rFonts w:ascii="Times New Roman" w:hAnsi="Times New Roman" w:cs="Times New Roman"/>
                <w:sz w:val="24"/>
                <w:szCs w:val="24"/>
              </w:rPr>
              <w:t>1</w:t>
            </w:r>
            <w:r w:rsidRPr="00007E48">
              <w:rPr>
                <w:rFonts w:ascii="Times New Roman" w:hAnsi="Times New Roman" w:cs="Times New Roman"/>
                <w:sz w:val="24"/>
                <w:szCs w:val="24"/>
              </w:rPr>
              <w:t xml:space="preserve">., </w:t>
            </w:r>
            <w:r w:rsidR="002C2B98">
              <w:rPr>
                <w:rFonts w:ascii="Times New Roman" w:hAnsi="Times New Roman" w:cs="Times New Roman"/>
                <w:sz w:val="24"/>
                <w:szCs w:val="24"/>
              </w:rPr>
              <w:t>3</w:t>
            </w:r>
            <w:r w:rsidRPr="00007E48">
              <w:rPr>
                <w:rFonts w:ascii="Times New Roman" w:hAnsi="Times New Roman" w:cs="Times New Roman"/>
                <w:sz w:val="24"/>
                <w:szCs w:val="24"/>
              </w:rPr>
              <w:t xml:space="preserve">., </w:t>
            </w:r>
            <w:r w:rsidR="002C2B98">
              <w:rPr>
                <w:rFonts w:ascii="Times New Roman" w:hAnsi="Times New Roman" w:cs="Times New Roman"/>
                <w:sz w:val="24"/>
                <w:szCs w:val="24"/>
              </w:rPr>
              <w:t>5</w:t>
            </w:r>
            <w:r w:rsidRPr="00007E48">
              <w:rPr>
                <w:rFonts w:ascii="Times New Roman" w:hAnsi="Times New Roman" w:cs="Times New Roman"/>
                <w:sz w:val="24"/>
                <w:szCs w:val="24"/>
              </w:rPr>
              <w:t xml:space="preserve">. un </w:t>
            </w:r>
            <w:r w:rsidR="002C2B98">
              <w:rPr>
                <w:rFonts w:ascii="Times New Roman" w:hAnsi="Times New Roman" w:cs="Times New Roman"/>
                <w:sz w:val="24"/>
                <w:szCs w:val="24"/>
              </w:rPr>
              <w:t>8</w:t>
            </w:r>
            <w:r w:rsidRPr="00007E48">
              <w:rPr>
                <w:rFonts w:ascii="Times New Roman" w:hAnsi="Times New Roman" w:cs="Times New Roman"/>
                <w:sz w:val="24"/>
                <w:szCs w:val="24"/>
              </w:rPr>
              <w:t>.</w:t>
            </w:r>
            <w:r w:rsidR="003B5091" w:rsidRPr="00007E48">
              <w:rPr>
                <w:rFonts w:ascii="Times New Roman" w:hAnsi="Times New Roman" w:cs="Times New Roman"/>
                <w:sz w:val="24"/>
                <w:szCs w:val="24"/>
              </w:rPr>
              <w:t> </w:t>
            </w:r>
            <w:r w:rsidRPr="00007E48">
              <w:rPr>
                <w:rFonts w:ascii="Times New Roman" w:hAnsi="Times New Roman" w:cs="Times New Roman"/>
                <w:sz w:val="24"/>
                <w:szCs w:val="24"/>
              </w:rPr>
              <w:t xml:space="preserve">punktā </w:t>
            </w:r>
            <w:r w:rsidR="00C65592">
              <w:rPr>
                <w:rFonts w:ascii="Times New Roman" w:hAnsi="Times New Roman" w:cs="Times New Roman"/>
                <w:sz w:val="24"/>
                <w:szCs w:val="24"/>
              </w:rPr>
              <w:t>noteikto</w:t>
            </w:r>
            <w:r w:rsidR="00C65592" w:rsidRPr="00007E48">
              <w:rPr>
                <w:rFonts w:ascii="Times New Roman" w:hAnsi="Times New Roman" w:cs="Times New Roman"/>
                <w:sz w:val="24"/>
                <w:szCs w:val="24"/>
              </w:rPr>
              <w:t xml:space="preserve"> </w:t>
            </w:r>
            <w:r w:rsidRPr="00007E48">
              <w:rPr>
                <w:rFonts w:ascii="Times New Roman" w:hAnsi="Times New Roman" w:cs="Times New Roman"/>
                <w:sz w:val="24"/>
                <w:szCs w:val="24"/>
              </w:rPr>
              <w:t>nosacījum</w:t>
            </w:r>
            <w:r w:rsidR="00C65592">
              <w:rPr>
                <w:rFonts w:ascii="Times New Roman" w:hAnsi="Times New Roman" w:cs="Times New Roman"/>
                <w:sz w:val="24"/>
                <w:szCs w:val="24"/>
              </w:rPr>
              <w:t>u</w:t>
            </w:r>
            <w:r w:rsidRPr="00007E48">
              <w:rPr>
                <w:rFonts w:ascii="Times New Roman" w:hAnsi="Times New Roman" w:cs="Times New Roman"/>
                <w:sz w:val="24"/>
                <w:szCs w:val="24"/>
              </w:rPr>
              <w:t xml:space="preserve"> izpildi.</w:t>
            </w:r>
          </w:p>
          <w:p w14:paraId="6CC7A464" w14:textId="77777777" w:rsidR="00F9654E" w:rsidRDefault="00F9654E" w:rsidP="0068380B">
            <w:pPr>
              <w:jc w:val="both"/>
              <w:rPr>
                <w:rFonts w:ascii="Times New Roman" w:hAnsi="Times New Roman" w:cs="Times New Roman"/>
                <w:sz w:val="24"/>
                <w:szCs w:val="24"/>
              </w:rPr>
            </w:pPr>
          </w:p>
          <w:p w14:paraId="31645947" w14:textId="32B7642C" w:rsidR="00F9654E" w:rsidRDefault="00F9654E" w:rsidP="0068380B">
            <w:pPr>
              <w:jc w:val="both"/>
              <w:rPr>
                <w:rFonts w:ascii="Times New Roman" w:hAnsi="Times New Roman" w:cs="Times New Roman"/>
                <w:sz w:val="24"/>
                <w:szCs w:val="24"/>
              </w:rPr>
            </w:pPr>
            <w:r>
              <w:rPr>
                <w:rFonts w:ascii="Times New Roman" w:hAnsi="Times New Roman" w:cs="Times New Roman"/>
                <w:sz w:val="24"/>
                <w:szCs w:val="24"/>
              </w:rPr>
              <w:t xml:space="preserve">Savukārt </w:t>
            </w:r>
            <w:r w:rsidRPr="00F9654E">
              <w:rPr>
                <w:rFonts w:ascii="Times New Roman" w:hAnsi="Times New Roman" w:cs="Times New Roman"/>
                <w:sz w:val="24"/>
                <w:szCs w:val="24"/>
              </w:rPr>
              <w:t>Eiropas Banku iestādes 2015.</w:t>
            </w:r>
            <w:r w:rsidR="003B5091">
              <w:rPr>
                <w:rFonts w:ascii="Times New Roman" w:hAnsi="Times New Roman" w:cs="Times New Roman"/>
                <w:sz w:val="24"/>
                <w:szCs w:val="24"/>
              </w:rPr>
              <w:t> </w:t>
            </w:r>
            <w:r w:rsidRPr="00F9654E">
              <w:rPr>
                <w:rFonts w:ascii="Times New Roman" w:hAnsi="Times New Roman" w:cs="Times New Roman"/>
                <w:sz w:val="24"/>
                <w:szCs w:val="24"/>
              </w:rPr>
              <w:t>gada 8.</w:t>
            </w:r>
            <w:r w:rsidR="003B5091">
              <w:rPr>
                <w:rFonts w:ascii="Times New Roman" w:hAnsi="Times New Roman" w:cs="Times New Roman"/>
                <w:sz w:val="24"/>
                <w:szCs w:val="24"/>
              </w:rPr>
              <w:t> </w:t>
            </w:r>
            <w:r w:rsidRPr="00F9654E">
              <w:rPr>
                <w:rFonts w:ascii="Times New Roman" w:hAnsi="Times New Roman" w:cs="Times New Roman"/>
                <w:sz w:val="24"/>
                <w:szCs w:val="24"/>
              </w:rPr>
              <w:t>decembra pamatnostādn</w:t>
            </w:r>
            <w:r>
              <w:rPr>
                <w:rFonts w:ascii="Times New Roman" w:hAnsi="Times New Roman" w:cs="Times New Roman"/>
                <w:sz w:val="24"/>
                <w:szCs w:val="24"/>
              </w:rPr>
              <w:t>es</w:t>
            </w:r>
            <w:r w:rsidRPr="00F9654E">
              <w:rPr>
                <w:rFonts w:ascii="Times New Roman" w:hAnsi="Times New Roman" w:cs="Times New Roman"/>
                <w:sz w:val="24"/>
                <w:szCs w:val="24"/>
              </w:rPr>
              <w:t xml:space="preserve"> EBA/GL/2015/17 "Pamatnostādnes, kas nosaka grupas finansiālā atbalsta nosacījumus saskaņā ar Direktīvas 2014/59/EK 23.</w:t>
            </w:r>
            <w:r w:rsidR="003B5091">
              <w:rPr>
                <w:rFonts w:ascii="Times New Roman" w:hAnsi="Times New Roman" w:cs="Times New Roman"/>
                <w:sz w:val="24"/>
                <w:szCs w:val="24"/>
              </w:rPr>
              <w:t> </w:t>
            </w:r>
            <w:r w:rsidRPr="00F9654E">
              <w:rPr>
                <w:rFonts w:ascii="Times New Roman" w:hAnsi="Times New Roman" w:cs="Times New Roman"/>
                <w:sz w:val="24"/>
                <w:szCs w:val="24"/>
              </w:rPr>
              <w:t>pantu</w:t>
            </w:r>
            <w:r>
              <w:rPr>
                <w:rFonts w:ascii="Times New Roman" w:hAnsi="Times New Roman" w:cs="Times New Roman"/>
                <w:sz w:val="24"/>
                <w:szCs w:val="24"/>
              </w:rPr>
              <w:t xml:space="preserve">" </w:t>
            </w:r>
            <w:r w:rsidR="00B27B70">
              <w:rPr>
                <w:rFonts w:ascii="Times New Roman" w:hAnsi="Times New Roman" w:cs="Times New Roman"/>
                <w:sz w:val="24"/>
                <w:szCs w:val="24"/>
              </w:rPr>
              <w:t>(turpmāk</w:t>
            </w:r>
            <w:r w:rsidR="003B5091">
              <w:rPr>
                <w:rFonts w:ascii="Times New Roman" w:hAnsi="Times New Roman" w:cs="Times New Roman"/>
                <w:sz w:val="24"/>
                <w:szCs w:val="24"/>
              </w:rPr>
              <w:t> </w:t>
            </w:r>
            <w:r w:rsidR="00B27B70" w:rsidRPr="00B27B70">
              <w:rPr>
                <w:rFonts w:ascii="Times New Roman" w:hAnsi="Times New Roman" w:cs="Times New Roman"/>
                <w:sz w:val="24"/>
                <w:szCs w:val="24"/>
              </w:rPr>
              <w:t>–</w:t>
            </w:r>
            <w:r w:rsidR="003B5091">
              <w:rPr>
                <w:rFonts w:ascii="Times New Roman" w:hAnsi="Times New Roman" w:cs="Times New Roman"/>
                <w:sz w:val="24"/>
                <w:szCs w:val="24"/>
              </w:rPr>
              <w:t xml:space="preserve"> </w:t>
            </w:r>
            <w:r w:rsidR="00B27B70">
              <w:rPr>
                <w:rFonts w:ascii="Times New Roman" w:hAnsi="Times New Roman" w:cs="Times New Roman"/>
                <w:sz w:val="24"/>
                <w:szCs w:val="24"/>
              </w:rPr>
              <w:t xml:space="preserve">Pamatnostādnes </w:t>
            </w:r>
            <w:r w:rsidR="00B27B70" w:rsidRPr="00B27B70">
              <w:rPr>
                <w:rFonts w:ascii="Times New Roman" w:hAnsi="Times New Roman" w:cs="Times New Roman"/>
                <w:sz w:val="24"/>
                <w:szCs w:val="24"/>
              </w:rPr>
              <w:t>EBA/GL/2015/17</w:t>
            </w:r>
            <w:r w:rsidR="00B27B70">
              <w:rPr>
                <w:rFonts w:ascii="Times New Roman" w:hAnsi="Times New Roman" w:cs="Times New Roman"/>
                <w:sz w:val="24"/>
                <w:szCs w:val="24"/>
              </w:rPr>
              <w:t>)</w:t>
            </w:r>
            <w:r w:rsidR="00B27B70" w:rsidRPr="00B27B70">
              <w:rPr>
                <w:rFonts w:ascii="Times New Roman" w:hAnsi="Times New Roman" w:cs="Times New Roman"/>
                <w:sz w:val="24"/>
                <w:szCs w:val="24"/>
              </w:rPr>
              <w:t xml:space="preserve"> </w:t>
            </w:r>
            <w:r>
              <w:rPr>
                <w:rFonts w:ascii="Times New Roman" w:hAnsi="Times New Roman" w:cs="Times New Roman"/>
                <w:sz w:val="24"/>
                <w:szCs w:val="24"/>
              </w:rPr>
              <w:t>nosaka</w:t>
            </w:r>
            <w:r w:rsidR="00C65592">
              <w:rPr>
                <w:rFonts w:ascii="Times New Roman" w:hAnsi="Times New Roman" w:cs="Times New Roman"/>
                <w:sz w:val="24"/>
                <w:szCs w:val="24"/>
              </w:rPr>
              <w:t xml:space="preserve"> prasības attiecībā uz</w:t>
            </w:r>
            <w:r w:rsidRPr="00F9654E">
              <w:rPr>
                <w:rFonts w:ascii="Times New Roman" w:hAnsi="Times New Roman" w:cs="Times New Roman"/>
                <w:sz w:val="24"/>
                <w:szCs w:val="24"/>
              </w:rPr>
              <w:t xml:space="preserve"> </w:t>
            </w:r>
            <w:r w:rsidRPr="002C2B98">
              <w:rPr>
                <w:rFonts w:ascii="Times New Roman" w:hAnsi="Times New Roman" w:cs="Times New Roman"/>
                <w:sz w:val="24"/>
                <w:szCs w:val="24"/>
              </w:rPr>
              <w:t>Likuma 28.</w:t>
            </w:r>
            <w:r w:rsidR="003B5091" w:rsidRPr="002C2B98">
              <w:rPr>
                <w:rFonts w:ascii="Times New Roman" w:hAnsi="Times New Roman" w:cs="Times New Roman"/>
                <w:sz w:val="24"/>
                <w:szCs w:val="24"/>
              </w:rPr>
              <w:t> </w:t>
            </w:r>
            <w:r w:rsidRPr="002C2B98">
              <w:rPr>
                <w:rFonts w:ascii="Times New Roman" w:hAnsi="Times New Roman" w:cs="Times New Roman"/>
                <w:sz w:val="24"/>
                <w:szCs w:val="24"/>
              </w:rPr>
              <w:t xml:space="preserve">panta </w:t>
            </w:r>
            <w:r w:rsidR="002C2B98" w:rsidRPr="002C2B98">
              <w:rPr>
                <w:rFonts w:ascii="Times New Roman" w:hAnsi="Times New Roman" w:cs="Times New Roman"/>
                <w:sz w:val="24"/>
                <w:szCs w:val="24"/>
              </w:rPr>
              <w:t>2</w:t>
            </w:r>
            <w:r w:rsidRPr="002C2B98">
              <w:rPr>
                <w:rFonts w:ascii="Times New Roman" w:hAnsi="Times New Roman" w:cs="Times New Roman"/>
                <w:sz w:val="24"/>
                <w:szCs w:val="24"/>
              </w:rPr>
              <w:t xml:space="preserve">., </w:t>
            </w:r>
            <w:r w:rsidR="002C2B98" w:rsidRPr="002C2B98">
              <w:rPr>
                <w:rFonts w:ascii="Times New Roman" w:hAnsi="Times New Roman" w:cs="Times New Roman"/>
                <w:sz w:val="24"/>
                <w:szCs w:val="24"/>
              </w:rPr>
              <w:t>4</w:t>
            </w:r>
            <w:r w:rsidRPr="002C2B98">
              <w:rPr>
                <w:rFonts w:ascii="Times New Roman" w:hAnsi="Times New Roman" w:cs="Times New Roman"/>
                <w:sz w:val="24"/>
                <w:szCs w:val="24"/>
              </w:rPr>
              <w:t xml:space="preserve">., </w:t>
            </w:r>
            <w:r w:rsidR="002C2B98" w:rsidRPr="002C2B98">
              <w:rPr>
                <w:rFonts w:ascii="Times New Roman" w:hAnsi="Times New Roman" w:cs="Times New Roman"/>
                <w:sz w:val="24"/>
                <w:szCs w:val="24"/>
              </w:rPr>
              <w:t>6</w:t>
            </w:r>
            <w:r w:rsidRPr="002C2B98">
              <w:rPr>
                <w:rFonts w:ascii="Times New Roman" w:hAnsi="Times New Roman" w:cs="Times New Roman"/>
                <w:sz w:val="24"/>
                <w:szCs w:val="24"/>
              </w:rPr>
              <w:t xml:space="preserve">. un </w:t>
            </w:r>
            <w:r w:rsidR="002C2B98" w:rsidRPr="002C2B98">
              <w:rPr>
                <w:rFonts w:ascii="Times New Roman" w:hAnsi="Times New Roman" w:cs="Times New Roman"/>
                <w:sz w:val="24"/>
                <w:szCs w:val="24"/>
              </w:rPr>
              <w:t>7</w:t>
            </w:r>
            <w:r w:rsidRPr="002C2B98">
              <w:rPr>
                <w:rFonts w:ascii="Times New Roman" w:hAnsi="Times New Roman" w:cs="Times New Roman"/>
                <w:sz w:val="24"/>
                <w:szCs w:val="24"/>
              </w:rPr>
              <w:t>.</w:t>
            </w:r>
            <w:r w:rsidR="003B5091" w:rsidRPr="002C2B98">
              <w:rPr>
                <w:rFonts w:ascii="Times New Roman" w:hAnsi="Times New Roman" w:cs="Times New Roman"/>
                <w:sz w:val="24"/>
                <w:szCs w:val="24"/>
              </w:rPr>
              <w:t> </w:t>
            </w:r>
            <w:r w:rsidRPr="002C2B98">
              <w:rPr>
                <w:rFonts w:ascii="Times New Roman" w:hAnsi="Times New Roman" w:cs="Times New Roman"/>
                <w:sz w:val="24"/>
                <w:szCs w:val="24"/>
              </w:rPr>
              <w:t xml:space="preserve">punktā </w:t>
            </w:r>
            <w:r w:rsidR="00C65592">
              <w:rPr>
                <w:rFonts w:ascii="Times New Roman" w:hAnsi="Times New Roman" w:cs="Times New Roman"/>
                <w:sz w:val="24"/>
                <w:szCs w:val="24"/>
              </w:rPr>
              <w:t>noteikto</w:t>
            </w:r>
            <w:r w:rsidR="00C65592" w:rsidRPr="002C2B98">
              <w:rPr>
                <w:rFonts w:ascii="Times New Roman" w:hAnsi="Times New Roman" w:cs="Times New Roman"/>
                <w:sz w:val="24"/>
                <w:szCs w:val="24"/>
              </w:rPr>
              <w:t xml:space="preserve"> </w:t>
            </w:r>
            <w:r w:rsidRPr="002C2B98">
              <w:rPr>
                <w:rFonts w:ascii="Times New Roman" w:hAnsi="Times New Roman" w:cs="Times New Roman"/>
                <w:sz w:val="24"/>
                <w:szCs w:val="24"/>
              </w:rPr>
              <w:t>nosacījum</w:t>
            </w:r>
            <w:r w:rsidR="00C65592">
              <w:rPr>
                <w:rFonts w:ascii="Times New Roman" w:hAnsi="Times New Roman" w:cs="Times New Roman"/>
                <w:sz w:val="24"/>
                <w:szCs w:val="24"/>
              </w:rPr>
              <w:t xml:space="preserve">u </w:t>
            </w:r>
            <w:r w:rsidRPr="002C2B98">
              <w:rPr>
                <w:rFonts w:ascii="Times New Roman" w:hAnsi="Times New Roman" w:cs="Times New Roman"/>
                <w:sz w:val="24"/>
                <w:szCs w:val="24"/>
              </w:rPr>
              <w:t>izpildi.</w:t>
            </w:r>
          </w:p>
          <w:p w14:paraId="76B1365F" w14:textId="77777777" w:rsidR="00F9654E" w:rsidRPr="00454BE5" w:rsidRDefault="00F9654E" w:rsidP="0068380B">
            <w:pPr>
              <w:jc w:val="both"/>
              <w:rPr>
                <w:rFonts w:ascii="Times New Roman" w:hAnsi="Times New Roman" w:cs="Times New Roman"/>
                <w:sz w:val="24"/>
                <w:szCs w:val="24"/>
              </w:rPr>
            </w:pPr>
          </w:p>
          <w:p w14:paraId="560D7E82" w14:textId="5EA8F6DE" w:rsidR="008803FC" w:rsidRPr="00454BE5" w:rsidRDefault="00351880" w:rsidP="0068380B">
            <w:pPr>
              <w:jc w:val="both"/>
              <w:rPr>
                <w:rFonts w:ascii="Times New Roman" w:hAnsi="Times New Roman" w:cs="Times New Roman"/>
                <w:sz w:val="24"/>
                <w:szCs w:val="24"/>
              </w:rPr>
            </w:pPr>
            <w:r>
              <w:rPr>
                <w:rFonts w:ascii="Times New Roman" w:hAnsi="Times New Roman" w:cs="Times New Roman"/>
                <w:sz w:val="24"/>
                <w:szCs w:val="24"/>
              </w:rPr>
              <w:t>L</w:t>
            </w:r>
            <w:r w:rsidR="005C6710" w:rsidRPr="00454BE5">
              <w:rPr>
                <w:rFonts w:ascii="Times New Roman" w:hAnsi="Times New Roman" w:cs="Times New Roman"/>
                <w:sz w:val="24"/>
                <w:szCs w:val="24"/>
              </w:rPr>
              <w:t>ikuma 3.</w:t>
            </w:r>
            <w:r w:rsidR="003B5091">
              <w:rPr>
                <w:rFonts w:ascii="Times New Roman" w:hAnsi="Times New Roman" w:cs="Times New Roman"/>
                <w:sz w:val="24"/>
                <w:szCs w:val="24"/>
              </w:rPr>
              <w:t> </w:t>
            </w:r>
            <w:r w:rsidR="005C6710" w:rsidRPr="00454BE5">
              <w:rPr>
                <w:rFonts w:ascii="Times New Roman" w:hAnsi="Times New Roman" w:cs="Times New Roman"/>
                <w:sz w:val="24"/>
                <w:szCs w:val="24"/>
              </w:rPr>
              <w:t>panta ceturtā daļa paredz Latvijas Bankai tiesības izdot noteikumus atbilstoši šā likuma mērķim un darbības jomai</w:t>
            </w:r>
            <w:r w:rsidR="002C6D50">
              <w:rPr>
                <w:rFonts w:ascii="Times New Roman" w:hAnsi="Times New Roman" w:cs="Times New Roman"/>
                <w:sz w:val="24"/>
                <w:szCs w:val="24"/>
              </w:rPr>
              <w:t xml:space="preserve">, </w:t>
            </w:r>
            <w:r w:rsidR="002C6D50" w:rsidRPr="002C6D50">
              <w:rPr>
                <w:rFonts w:ascii="Times New Roman" w:hAnsi="Times New Roman" w:cs="Times New Roman"/>
                <w:sz w:val="24"/>
                <w:szCs w:val="24"/>
              </w:rPr>
              <w:t>nosakot prasības, kas izriet no Eiropas Banku iestādes izdotajām vadlīnijām par darbības atjaunošanu un noregulējumu</w:t>
            </w:r>
            <w:r w:rsidR="005C6710" w:rsidRPr="00454BE5">
              <w:rPr>
                <w:rFonts w:ascii="Times New Roman" w:hAnsi="Times New Roman" w:cs="Times New Roman"/>
                <w:sz w:val="24"/>
                <w:szCs w:val="24"/>
              </w:rPr>
              <w:t xml:space="preserve">. </w:t>
            </w:r>
          </w:p>
          <w:p w14:paraId="4520E25B" w14:textId="77777777" w:rsidR="00F9654E" w:rsidRPr="00454BE5" w:rsidRDefault="00F9654E" w:rsidP="0068380B">
            <w:pPr>
              <w:jc w:val="both"/>
              <w:rPr>
                <w:rFonts w:ascii="Times New Roman" w:hAnsi="Times New Roman" w:cs="Times New Roman"/>
                <w:sz w:val="24"/>
                <w:szCs w:val="24"/>
              </w:rPr>
            </w:pPr>
          </w:p>
          <w:p w14:paraId="695F7A70" w14:textId="26260F40" w:rsidR="00993909" w:rsidRDefault="00914D5A" w:rsidP="0068380B">
            <w:pPr>
              <w:jc w:val="both"/>
              <w:rPr>
                <w:rFonts w:ascii="Times New Roman" w:hAnsi="Times New Roman" w:cs="Times New Roman"/>
                <w:sz w:val="24"/>
                <w:szCs w:val="24"/>
              </w:rPr>
            </w:pPr>
            <w:bookmarkStart w:id="1" w:name="_Hlk176962603"/>
            <w:r w:rsidRPr="002C6CCF">
              <w:rPr>
                <w:rFonts w:ascii="Times New Roman" w:hAnsi="Times New Roman" w:cs="Times New Roman"/>
                <w:sz w:val="24"/>
                <w:szCs w:val="24"/>
              </w:rPr>
              <w:t>N</w:t>
            </w:r>
            <w:r w:rsidR="008D0C81" w:rsidRPr="002C6CCF">
              <w:rPr>
                <w:rFonts w:ascii="Times New Roman" w:hAnsi="Times New Roman" w:cs="Times New Roman"/>
                <w:sz w:val="24"/>
                <w:szCs w:val="24"/>
              </w:rPr>
              <w:t xml:space="preserve">oteikumu projekts izstrādāts ar mērķi noteikt </w:t>
            </w:r>
            <w:r w:rsidR="00AF37B5" w:rsidRPr="00802CE3">
              <w:rPr>
                <w:rFonts w:ascii="Times New Roman" w:hAnsi="Times New Roman" w:cs="Times New Roman"/>
                <w:sz w:val="24"/>
                <w:szCs w:val="24"/>
              </w:rPr>
              <w:t xml:space="preserve">prasības </w:t>
            </w:r>
            <w:r w:rsidR="006D0B7A" w:rsidRPr="002C6CCF">
              <w:rPr>
                <w:rFonts w:ascii="Times New Roman" w:hAnsi="Times New Roman" w:cs="Times New Roman"/>
                <w:sz w:val="24"/>
                <w:szCs w:val="24"/>
              </w:rPr>
              <w:t>Likuma 28.</w:t>
            </w:r>
            <w:r w:rsidR="003B5091" w:rsidRPr="002C6CCF">
              <w:rPr>
                <w:rFonts w:ascii="Times New Roman" w:hAnsi="Times New Roman" w:cs="Times New Roman"/>
                <w:sz w:val="24"/>
                <w:szCs w:val="24"/>
              </w:rPr>
              <w:t> </w:t>
            </w:r>
            <w:r w:rsidR="0019384E" w:rsidRPr="002C6CCF">
              <w:rPr>
                <w:rFonts w:ascii="Times New Roman" w:hAnsi="Times New Roman" w:cs="Times New Roman"/>
                <w:sz w:val="24"/>
                <w:szCs w:val="24"/>
              </w:rPr>
              <w:t>pant</w:t>
            </w:r>
            <w:r w:rsidR="0019384E">
              <w:rPr>
                <w:rFonts w:ascii="Times New Roman" w:hAnsi="Times New Roman" w:cs="Times New Roman"/>
                <w:sz w:val="24"/>
                <w:szCs w:val="24"/>
              </w:rPr>
              <w:t>a</w:t>
            </w:r>
            <w:r w:rsidR="0019384E" w:rsidRPr="002C6CCF">
              <w:rPr>
                <w:rFonts w:ascii="Times New Roman" w:hAnsi="Times New Roman" w:cs="Times New Roman"/>
                <w:sz w:val="24"/>
                <w:szCs w:val="24"/>
              </w:rPr>
              <w:t xml:space="preserve"> </w:t>
            </w:r>
            <w:r w:rsidR="0019384E" w:rsidRPr="0019384E">
              <w:rPr>
                <w:rFonts w:ascii="Times New Roman" w:hAnsi="Times New Roman" w:cs="Times New Roman"/>
                <w:sz w:val="24"/>
                <w:szCs w:val="24"/>
              </w:rPr>
              <w:t>2., 4., 6. un 7.</w:t>
            </w:r>
            <w:r w:rsidR="0019384E">
              <w:rPr>
                <w:rFonts w:ascii="Times New Roman" w:hAnsi="Times New Roman" w:cs="Times New Roman"/>
                <w:sz w:val="24"/>
                <w:szCs w:val="24"/>
              </w:rPr>
              <w:t> </w:t>
            </w:r>
            <w:r w:rsidR="0019384E" w:rsidRPr="0019384E">
              <w:rPr>
                <w:rFonts w:ascii="Times New Roman" w:hAnsi="Times New Roman" w:cs="Times New Roman"/>
                <w:sz w:val="24"/>
                <w:szCs w:val="24"/>
              </w:rPr>
              <w:t xml:space="preserve">punktā </w:t>
            </w:r>
            <w:r w:rsidR="00AC5CF5">
              <w:rPr>
                <w:rFonts w:ascii="Times New Roman" w:hAnsi="Times New Roman" w:cs="Times New Roman"/>
                <w:sz w:val="24"/>
                <w:szCs w:val="24"/>
              </w:rPr>
              <w:t>noteikto</w:t>
            </w:r>
            <w:r w:rsidR="00AC5CF5" w:rsidRPr="002C6CCF">
              <w:rPr>
                <w:rFonts w:ascii="Times New Roman" w:hAnsi="Times New Roman" w:cs="Times New Roman"/>
                <w:sz w:val="24"/>
                <w:szCs w:val="24"/>
              </w:rPr>
              <w:t xml:space="preserve"> </w:t>
            </w:r>
            <w:r w:rsidR="00105FB9">
              <w:rPr>
                <w:rFonts w:ascii="Times New Roman" w:hAnsi="Times New Roman" w:cs="Times New Roman"/>
                <w:sz w:val="24"/>
                <w:szCs w:val="24"/>
              </w:rPr>
              <w:t xml:space="preserve">finansiālā </w:t>
            </w:r>
            <w:r w:rsidR="00802CE3">
              <w:rPr>
                <w:rFonts w:ascii="Times New Roman" w:hAnsi="Times New Roman" w:cs="Times New Roman"/>
                <w:sz w:val="24"/>
                <w:szCs w:val="24"/>
              </w:rPr>
              <w:t xml:space="preserve">atbalsta sniegšanas </w:t>
            </w:r>
            <w:r w:rsidR="006D0B7A" w:rsidRPr="002C6CCF">
              <w:rPr>
                <w:rFonts w:ascii="Times New Roman" w:hAnsi="Times New Roman" w:cs="Times New Roman"/>
                <w:sz w:val="24"/>
                <w:szCs w:val="24"/>
              </w:rPr>
              <w:t xml:space="preserve">nosacījumu </w:t>
            </w:r>
            <w:r w:rsidR="00AF37B5" w:rsidRPr="002C6CCF">
              <w:rPr>
                <w:rFonts w:ascii="Times New Roman" w:hAnsi="Times New Roman" w:cs="Times New Roman"/>
                <w:sz w:val="24"/>
                <w:szCs w:val="24"/>
              </w:rPr>
              <w:t xml:space="preserve">izpildes </w:t>
            </w:r>
            <w:r w:rsidR="00C65592">
              <w:rPr>
                <w:rFonts w:ascii="Times New Roman" w:hAnsi="Times New Roman" w:cs="Times New Roman"/>
                <w:sz w:val="24"/>
                <w:szCs w:val="24"/>
              </w:rPr>
              <w:t>izvērtēšanai</w:t>
            </w:r>
            <w:r w:rsidR="00993909" w:rsidRPr="00993909">
              <w:rPr>
                <w:rFonts w:ascii="Times New Roman" w:hAnsi="Times New Roman" w:cs="Times New Roman"/>
                <w:sz w:val="24"/>
                <w:szCs w:val="24"/>
              </w:rPr>
              <w:t xml:space="preserve">, kas izriet no Pamatnostādnēm EBA/GL/2015/17, </w:t>
            </w:r>
            <w:r w:rsidR="005227B6">
              <w:rPr>
                <w:rFonts w:ascii="Times New Roman" w:hAnsi="Times New Roman" w:cs="Times New Roman"/>
                <w:sz w:val="24"/>
                <w:szCs w:val="24"/>
              </w:rPr>
              <w:t xml:space="preserve">kā arī </w:t>
            </w:r>
            <w:r w:rsidR="0019384E">
              <w:rPr>
                <w:rFonts w:ascii="Times New Roman" w:hAnsi="Times New Roman" w:cs="Times New Roman"/>
                <w:sz w:val="24"/>
                <w:szCs w:val="24"/>
              </w:rPr>
              <w:t xml:space="preserve">Likuma 28. panta </w:t>
            </w:r>
            <w:r w:rsidR="0019384E" w:rsidRPr="0019384E">
              <w:rPr>
                <w:rFonts w:ascii="Times New Roman" w:hAnsi="Times New Roman" w:cs="Times New Roman"/>
                <w:sz w:val="24"/>
                <w:szCs w:val="24"/>
              </w:rPr>
              <w:t>1., 3., 5. un 8.</w:t>
            </w:r>
            <w:r w:rsidR="0019384E">
              <w:rPr>
                <w:rFonts w:ascii="Times New Roman" w:hAnsi="Times New Roman" w:cs="Times New Roman"/>
                <w:sz w:val="24"/>
                <w:szCs w:val="24"/>
              </w:rPr>
              <w:t> </w:t>
            </w:r>
            <w:r w:rsidR="0019384E" w:rsidRPr="0019384E">
              <w:rPr>
                <w:rFonts w:ascii="Times New Roman" w:hAnsi="Times New Roman" w:cs="Times New Roman"/>
                <w:sz w:val="24"/>
                <w:szCs w:val="24"/>
              </w:rPr>
              <w:t xml:space="preserve">punktā </w:t>
            </w:r>
            <w:r w:rsidR="0019384E">
              <w:rPr>
                <w:rFonts w:ascii="Times New Roman" w:hAnsi="Times New Roman" w:cs="Times New Roman"/>
                <w:sz w:val="24"/>
                <w:szCs w:val="24"/>
              </w:rPr>
              <w:t xml:space="preserve">noteikto finansiālā atbalsta </w:t>
            </w:r>
            <w:r w:rsidR="005227B6">
              <w:rPr>
                <w:rFonts w:ascii="Times New Roman" w:hAnsi="Times New Roman" w:cs="Times New Roman"/>
                <w:sz w:val="24"/>
                <w:szCs w:val="24"/>
              </w:rPr>
              <w:t xml:space="preserve">sniegšanas </w:t>
            </w:r>
            <w:r w:rsidR="0019384E">
              <w:rPr>
                <w:rFonts w:ascii="Times New Roman" w:hAnsi="Times New Roman" w:cs="Times New Roman"/>
                <w:sz w:val="24"/>
                <w:szCs w:val="24"/>
              </w:rPr>
              <w:t xml:space="preserve">nosacījumu </w:t>
            </w:r>
            <w:r w:rsidR="005227B6">
              <w:rPr>
                <w:rFonts w:ascii="Times New Roman" w:hAnsi="Times New Roman" w:cs="Times New Roman"/>
                <w:sz w:val="24"/>
                <w:szCs w:val="24"/>
              </w:rPr>
              <w:t xml:space="preserve">izpildes izvērtēšanai, kas izriet no </w:t>
            </w:r>
            <w:r w:rsidR="00993909" w:rsidRPr="00993909">
              <w:rPr>
                <w:rFonts w:ascii="Times New Roman" w:hAnsi="Times New Roman" w:cs="Times New Roman"/>
                <w:sz w:val="24"/>
                <w:szCs w:val="24"/>
              </w:rPr>
              <w:t>Regulas 2016/1075 III</w:t>
            </w:r>
            <w:r w:rsidR="004544D3">
              <w:rPr>
                <w:rFonts w:ascii="Times New Roman" w:hAnsi="Times New Roman" w:cs="Times New Roman"/>
                <w:sz w:val="24"/>
                <w:szCs w:val="24"/>
              </w:rPr>
              <w:t> </w:t>
            </w:r>
            <w:r w:rsidR="005227B6" w:rsidRPr="00993909">
              <w:rPr>
                <w:rFonts w:ascii="Times New Roman" w:hAnsi="Times New Roman" w:cs="Times New Roman"/>
                <w:sz w:val="24"/>
                <w:szCs w:val="24"/>
              </w:rPr>
              <w:t>nodaļ</w:t>
            </w:r>
            <w:r w:rsidR="005227B6">
              <w:rPr>
                <w:rFonts w:ascii="Times New Roman" w:hAnsi="Times New Roman" w:cs="Times New Roman"/>
                <w:sz w:val="24"/>
                <w:szCs w:val="24"/>
              </w:rPr>
              <w:t>as</w:t>
            </w:r>
            <w:r w:rsidR="00993909" w:rsidRPr="00993909">
              <w:rPr>
                <w:rFonts w:ascii="Times New Roman" w:hAnsi="Times New Roman" w:cs="Times New Roman"/>
                <w:sz w:val="24"/>
                <w:szCs w:val="24"/>
              </w:rPr>
              <w:t>.</w:t>
            </w:r>
          </w:p>
          <w:p w14:paraId="0BE0AA65" w14:textId="77777777" w:rsidR="00940C85" w:rsidRDefault="00940C85" w:rsidP="0068380B">
            <w:pPr>
              <w:jc w:val="both"/>
              <w:rPr>
                <w:rFonts w:ascii="Times New Roman" w:hAnsi="Times New Roman" w:cs="Times New Roman"/>
                <w:sz w:val="24"/>
                <w:szCs w:val="24"/>
              </w:rPr>
            </w:pPr>
          </w:p>
          <w:p w14:paraId="7DA3D541" w14:textId="001078DA" w:rsidR="00686149" w:rsidRDefault="00993909" w:rsidP="0068380B">
            <w:pPr>
              <w:jc w:val="both"/>
              <w:rPr>
                <w:rFonts w:ascii="Times New Roman" w:hAnsi="Times New Roman" w:cs="Times New Roman"/>
                <w:sz w:val="24"/>
                <w:szCs w:val="24"/>
              </w:rPr>
            </w:pPr>
            <w:r>
              <w:rPr>
                <w:rFonts w:ascii="Times New Roman" w:hAnsi="Times New Roman" w:cs="Times New Roman"/>
                <w:sz w:val="24"/>
                <w:szCs w:val="24"/>
              </w:rPr>
              <w:t xml:space="preserve">Līdz šim noteikumu projektā iekļautās prasības </w:t>
            </w:r>
            <w:r w:rsidRPr="00454BE5">
              <w:rPr>
                <w:rFonts w:ascii="Times New Roman" w:hAnsi="Times New Roman" w:cs="Times New Roman"/>
                <w:sz w:val="24"/>
                <w:szCs w:val="24"/>
              </w:rPr>
              <w:t>regulēja Noteikumi Nr.</w:t>
            </w:r>
            <w:r>
              <w:rPr>
                <w:rFonts w:ascii="Times New Roman" w:hAnsi="Times New Roman" w:cs="Times New Roman"/>
                <w:sz w:val="24"/>
                <w:szCs w:val="24"/>
              </w:rPr>
              <w:t> </w:t>
            </w:r>
            <w:r w:rsidRPr="00454BE5">
              <w:rPr>
                <w:rFonts w:ascii="Times New Roman" w:hAnsi="Times New Roman" w:cs="Times New Roman"/>
                <w:sz w:val="24"/>
                <w:szCs w:val="24"/>
              </w:rPr>
              <w:t>107.</w:t>
            </w:r>
          </w:p>
          <w:bookmarkEnd w:id="1"/>
          <w:p w14:paraId="04D83C17" w14:textId="77777777" w:rsidR="003B5091" w:rsidRPr="006D0B7A" w:rsidRDefault="003B5091" w:rsidP="0068380B">
            <w:pPr>
              <w:jc w:val="both"/>
              <w:rPr>
                <w:rFonts w:ascii="Times New Roman" w:hAnsi="Times New Roman" w:cs="Times New Roman"/>
                <w:sz w:val="24"/>
                <w:szCs w:val="24"/>
              </w:rPr>
            </w:pPr>
          </w:p>
          <w:bookmarkEnd w:id="0"/>
          <w:p w14:paraId="2A2040AC" w14:textId="46379618" w:rsidR="00B27B70" w:rsidRPr="003B5091" w:rsidRDefault="00F1508E" w:rsidP="0068380B">
            <w:pPr>
              <w:jc w:val="both"/>
              <w:rPr>
                <w:rFonts w:ascii="Times New Roman" w:hAnsi="Times New Roman" w:cs="Times New Roman"/>
                <w:sz w:val="24"/>
                <w:szCs w:val="24"/>
              </w:rPr>
            </w:pPr>
            <w:r w:rsidRPr="00454BE5">
              <w:rPr>
                <w:rFonts w:ascii="Times New Roman" w:hAnsi="Times New Roman" w:cs="Times New Roman"/>
                <w:sz w:val="24"/>
                <w:szCs w:val="24"/>
              </w:rPr>
              <w:t>Noteikumi būs saistoši</w:t>
            </w:r>
            <w:r w:rsidR="00B27B70" w:rsidRPr="00454BE5">
              <w:rPr>
                <w:rFonts w:ascii="Times New Roman" w:hAnsi="Times New Roman" w:cs="Times New Roman"/>
                <w:sz w:val="24"/>
                <w:szCs w:val="24"/>
              </w:rPr>
              <w:t xml:space="preserve"> </w:t>
            </w:r>
            <w:r w:rsidR="00454BE5" w:rsidRPr="00454BE5">
              <w:rPr>
                <w:rFonts w:ascii="Times New Roman" w:hAnsi="Times New Roman" w:cs="Times New Roman"/>
                <w:sz w:val="24"/>
                <w:szCs w:val="24"/>
              </w:rPr>
              <w:t xml:space="preserve">Latvijas Republikā reģistrētai grupas sabiedrībai, </w:t>
            </w:r>
            <w:r w:rsidR="00926807" w:rsidRPr="00926807">
              <w:rPr>
                <w:rFonts w:ascii="Times New Roman" w:hAnsi="Times New Roman" w:cs="Times New Roman"/>
                <w:sz w:val="24"/>
                <w:szCs w:val="24"/>
              </w:rPr>
              <w:t>kura ir paredzējusi sniegt grupas iekšējo finansiālo atbalstu saskaņā ar nolīgumu par grupas iekšējo finansiālo atbalstu</w:t>
            </w:r>
            <w:r w:rsidR="00454BE5" w:rsidRPr="00454BE5">
              <w:rPr>
                <w:rFonts w:ascii="Times New Roman" w:hAnsi="Times New Roman" w:cs="Times New Roman"/>
                <w:sz w:val="24"/>
                <w:szCs w:val="24"/>
              </w:rPr>
              <w:t xml:space="preserve">, </w:t>
            </w:r>
            <w:r w:rsidR="00454BE5" w:rsidRPr="000A7F6F">
              <w:rPr>
                <w:rFonts w:ascii="Times New Roman" w:hAnsi="Times New Roman" w:cs="Times New Roman"/>
                <w:sz w:val="24"/>
                <w:szCs w:val="24"/>
              </w:rPr>
              <w:t>izņemot Latvijas Republikā reģistrētu grupas sabiedrību, kuras uzraudzību veic Eiropas Centrālā banka</w:t>
            </w:r>
            <w:r w:rsidR="00F640B4">
              <w:rPr>
                <w:rFonts w:ascii="Times New Roman" w:hAnsi="Times New Roman" w:cs="Times New Roman"/>
                <w:sz w:val="24"/>
                <w:szCs w:val="24"/>
              </w:rPr>
              <w:t>. Noteikumi n</w:t>
            </w:r>
            <w:r w:rsidR="00187CEB">
              <w:rPr>
                <w:rFonts w:ascii="Times New Roman" w:hAnsi="Times New Roman" w:cs="Times New Roman"/>
                <w:sz w:val="24"/>
                <w:szCs w:val="24"/>
              </w:rPr>
              <w:t>ebūs</w:t>
            </w:r>
            <w:r w:rsidR="00F640B4">
              <w:rPr>
                <w:rFonts w:ascii="Times New Roman" w:hAnsi="Times New Roman" w:cs="Times New Roman"/>
                <w:sz w:val="24"/>
                <w:szCs w:val="24"/>
              </w:rPr>
              <w:t xml:space="preserve"> saistoši minētajai grupas sabiedrībai, </w:t>
            </w:r>
            <w:r w:rsidR="00F45E93">
              <w:rPr>
                <w:rFonts w:ascii="Times New Roman" w:hAnsi="Times New Roman" w:cs="Times New Roman"/>
                <w:sz w:val="24"/>
                <w:szCs w:val="24"/>
              </w:rPr>
              <w:t xml:space="preserve">jo </w:t>
            </w:r>
            <w:r w:rsidR="00F640B4">
              <w:rPr>
                <w:rFonts w:ascii="Times New Roman" w:hAnsi="Times New Roman" w:cs="Times New Roman"/>
                <w:sz w:val="24"/>
                <w:szCs w:val="24"/>
              </w:rPr>
              <w:t>Eiropas Centrālā banka</w:t>
            </w:r>
            <w:r w:rsidR="00F45E93">
              <w:rPr>
                <w:rFonts w:ascii="Times New Roman" w:hAnsi="Times New Roman" w:cs="Times New Roman"/>
                <w:sz w:val="24"/>
                <w:szCs w:val="24"/>
              </w:rPr>
              <w:t xml:space="preserve"> attiecībā uz to </w:t>
            </w:r>
            <w:r w:rsidR="00F640B4">
              <w:rPr>
                <w:rFonts w:ascii="Times New Roman" w:hAnsi="Times New Roman" w:cs="Times New Roman"/>
                <w:sz w:val="24"/>
                <w:szCs w:val="24"/>
              </w:rPr>
              <w:t xml:space="preserve">piemēro </w:t>
            </w:r>
            <w:r w:rsidR="00F640B4" w:rsidRPr="00F640B4">
              <w:rPr>
                <w:rFonts w:ascii="Times New Roman" w:hAnsi="Times New Roman" w:cs="Times New Roman"/>
                <w:sz w:val="24"/>
                <w:szCs w:val="24"/>
              </w:rPr>
              <w:t>Pamatnostādn</w:t>
            </w:r>
            <w:r w:rsidR="00F640B4">
              <w:rPr>
                <w:rFonts w:ascii="Times New Roman" w:hAnsi="Times New Roman" w:cs="Times New Roman"/>
                <w:sz w:val="24"/>
                <w:szCs w:val="24"/>
              </w:rPr>
              <w:t>es</w:t>
            </w:r>
            <w:r w:rsidR="00F640B4" w:rsidRPr="00F640B4">
              <w:rPr>
                <w:rFonts w:ascii="Times New Roman" w:hAnsi="Times New Roman" w:cs="Times New Roman"/>
                <w:sz w:val="24"/>
                <w:szCs w:val="24"/>
              </w:rPr>
              <w:t xml:space="preserve"> EBA/GL/2015/17</w:t>
            </w:r>
            <w:r w:rsidR="00454BE5" w:rsidRPr="00454BE5">
              <w:rPr>
                <w:rFonts w:ascii="Times New Roman" w:hAnsi="Times New Roman" w:cs="Times New Roman"/>
                <w:sz w:val="24"/>
                <w:szCs w:val="24"/>
              </w:rPr>
              <w:t>.</w:t>
            </w:r>
          </w:p>
          <w:p w14:paraId="23A0C46A" w14:textId="68D2DFD3" w:rsidR="0071625E" w:rsidRPr="003B5091" w:rsidRDefault="0071625E" w:rsidP="0068380B">
            <w:pPr>
              <w:jc w:val="both"/>
              <w:rPr>
                <w:rFonts w:ascii="Times New Roman" w:hAnsi="Times New Roman" w:cs="Times New Roman"/>
                <w:sz w:val="24"/>
                <w:szCs w:val="24"/>
              </w:rPr>
            </w:pPr>
          </w:p>
          <w:p w14:paraId="2C167E54" w14:textId="64B8CD34" w:rsidR="00ED228E" w:rsidRDefault="00821405" w:rsidP="006D0B7A">
            <w:pPr>
              <w:pStyle w:val="ListParagraph"/>
              <w:ind w:left="0"/>
              <w:contextualSpacing w:val="0"/>
              <w:jc w:val="both"/>
              <w:rPr>
                <w:rFonts w:ascii="Times New Roman" w:hAnsi="Times New Roman" w:cs="Times New Roman"/>
                <w:sz w:val="24"/>
                <w:szCs w:val="24"/>
                <w:lang w:eastAsia="lv-LV"/>
              </w:rPr>
            </w:pPr>
            <w:r w:rsidRPr="006D0B7A">
              <w:rPr>
                <w:rFonts w:ascii="Times New Roman" w:hAnsi="Times New Roman" w:cs="Times New Roman"/>
                <w:sz w:val="24"/>
                <w:szCs w:val="24"/>
                <w:lang w:eastAsia="lv-LV"/>
              </w:rPr>
              <w:t xml:space="preserve">Ar noteikumu projektu </w:t>
            </w:r>
            <w:r w:rsidR="00AC5CF5">
              <w:rPr>
                <w:rFonts w:ascii="Times New Roman" w:hAnsi="Times New Roman" w:cs="Times New Roman"/>
                <w:sz w:val="24"/>
                <w:szCs w:val="24"/>
                <w:lang w:eastAsia="lv-LV"/>
              </w:rPr>
              <w:t xml:space="preserve">tiek saglabātas Noteikumos Nr. 107 ietvertās </w:t>
            </w:r>
            <w:r w:rsidR="006D0B7A" w:rsidRPr="006D0B7A">
              <w:rPr>
                <w:rFonts w:ascii="Times New Roman" w:hAnsi="Times New Roman" w:cs="Times New Roman"/>
                <w:sz w:val="24"/>
                <w:szCs w:val="24"/>
                <w:lang w:eastAsia="lv-LV"/>
              </w:rPr>
              <w:t>prasības</w:t>
            </w:r>
            <w:r w:rsidR="00E45F88" w:rsidRPr="002C6CCF">
              <w:rPr>
                <w:rFonts w:ascii="Times New Roman" w:hAnsi="Times New Roman" w:cs="Times New Roman"/>
                <w:sz w:val="24"/>
                <w:szCs w:val="24"/>
                <w:lang w:eastAsia="lv-LV"/>
              </w:rPr>
              <w:t xml:space="preserve">, </w:t>
            </w:r>
            <w:r w:rsidR="009E69EA">
              <w:rPr>
                <w:rFonts w:ascii="Times New Roman" w:hAnsi="Times New Roman" w:cs="Times New Roman"/>
                <w:sz w:val="24"/>
                <w:szCs w:val="24"/>
                <w:lang w:eastAsia="lv-LV"/>
              </w:rPr>
              <w:t>papildus nosakot</w:t>
            </w:r>
            <w:r w:rsidR="00E45F88" w:rsidRPr="002C6CCF">
              <w:rPr>
                <w:rFonts w:ascii="Times New Roman" w:hAnsi="Times New Roman" w:cs="Times New Roman"/>
                <w:sz w:val="24"/>
                <w:szCs w:val="24"/>
                <w:lang w:eastAsia="lv-LV"/>
              </w:rPr>
              <w:t>, ka</w:t>
            </w:r>
            <w:r w:rsidR="00E45F88" w:rsidRPr="002C6CCF">
              <w:t xml:space="preserve"> </w:t>
            </w:r>
            <w:r w:rsidR="00E45F88" w:rsidRPr="002C6CCF">
              <w:rPr>
                <w:rFonts w:ascii="Times New Roman" w:hAnsi="Times New Roman" w:cs="Times New Roman"/>
                <w:sz w:val="24"/>
                <w:szCs w:val="24"/>
                <w:lang w:eastAsia="lv-LV"/>
              </w:rPr>
              <w:t>atbalstu sniedzoša</w:t>
            </w:r>
            <w:r w:rsidR="009E69EA">
              <w:rPr>
                <w:rFonts w:ascii="Times New Roman" w:hAnsi="Times New Roman" w:cs="Times New Roman"/>
                <w:sz w:val="24"/>
                <w:szCs w:val="24"/>
                <w:lang w:eastAsia="lv-LV"/>
              </w:rPr>
              <w:t>jai</w:t>
            </w:r>
            <w:r w:rsidR="00E45F88" w:rsidRPr="002C6CCF">
              <w:rPr>
                <w:rFonts w:ascii="Times New Roman" w:hAnsi="Times New Roman" w:cs="Times New Roman"/>
                <w:sz w:val="24"/>
                <w:szCs w:val="24"/>
                <w:lang w:eastAsia="lv-LV"/>
              </w:rPr>
              <w:t xml:space="preserve"> grupas sabiedrībai, lai </w:t>
            </w:r>
            <w:r w:rsidR="00926807">
              <w:rPr>
                <w:rFonts w:ascii="Times New Roman" w:hAnsi="Times New Roman" w:cs="Times New Roman"/>
                <w:sz w:val="24"/>
                <w:szCs w:val="24"/>
                <w:lang w:eastAsia="lv-LV"/>
              </w:rPr>
              <w:t>izvērtētu</w:t>
            </w:r>
            <w:r w:rsidR="00187CEB">
              <w:rPr>
                <w:rFonts w:ascii="Times New Roman" w:hAnsi="Times New Roman" w:cs="Times New Roman"/>
                <w:sz w:val="24"/>
                <w:szCs w:val="24"/>
                <w:lang w:eastAsia="lv-LV"/>
              </w:rPr>
              <w:t xml:space="preserve"> to</w:t>
            </w:r>
            <w:r w:rsidR="00926807">
              <w:rPr>
                <w:rFonts w:ascii="Times New Roman" w:hAnsi="Times New Roman" w:cs="Times New Roman"/>
                <w:sz w:val="24"/>
                <w:szCs w:val="24"/>
                <w:lang w:eastAsia="lv-LV"/>
              </w:rPr>
              <w:t>, vai</w:t>
            </w:r>
            <w:r w:rsidR="00E45F88" w:rsidRPr="002C6CCF">
              <w:rPr>
                <w:rFonts w:ascii="Times New Roman" w:hAnsi="Times New Roman" w:cs="Times New Roman"/>
                <w:sz w:val="24"/>
                <w:szCs w:val="24"/>
                <w:lang w:eastAsia="lv-LV"/>
              </w:rPr>
              <w:t xml:space="preserve"> finansiālā atbalsta sniegšanas brīdī tā </w:t>
            </w:r>
            <w:r w:rsidR="00926807" w:rsidRPr="002C6CCF">
              <w:rPr>
                <w:rFonts w:ascii="Times New Roman" w:hAnsi="Times New Roman" w:cs="Times New Roman"/>
                <w:sz w:val="24"/>
                <w:szCs w:val="24"/>
                <w:lang w:eastAsia="lv-LV"/>
              </w:rPr>
              <w:t>izpild</w:t>
            </w:r>
            <w:r w:rsidR="00926807">
              <w:rPr>
                <w:rFonts w:ascii="Times New Roman" w:hAnsi="Times New Roman" w:cs="Times New Roman"/>
                <w:sz w:val="24"/>
                <w:szCs w:val="24"/>
                <w:lang w:eastAsia="lv-LV"/>
              </w:rPr>
              <w:t>īs</w:t>
            </w:r>
            <w:r w:rsidR="00926807" w:rsidRPr="002C6CCF">
              <w:rPr>
                <w:rFonts w:ascii="Times New Roman" w:hAnsi="Times New Roman" w:cs="Times New Roman"/>
                <w:sz w:val="24"/>
                <w:szCs w:val="24"/>
                <w:lang w:eastAsia="lv-LV"/>
              </w:rPr>
              <w:t xml:space="preserve"> </w:t>
            </w:r>
            <w:r w:rsidR="00E45F88" w:rsidRPr="002C6CCF">
              <w:rPr>
                <w:rFonts w:ascii="Times New Roman" w:hAnsi="Times New Roman" w:cs="Times New Roman"/>
                <w:sz w:val="24"/>
                <w:szCs w:val="24"/>
                <w:lang w:eastAsia="lv-LV"/>
              </w:rPr>
              <w:t xml:space="preserve">tai noteiktās darbību regulējošās prasības, kā arī to, </w:t>
            </w:r>
            <w:r w:rsidR="005B4E58">
              <w:rPr>
                <w:rFonts w:ascii="Times New Roman" w:hAnsi="Times New Roman" w:cs="Times New Roman"/>
                <w:sz w:val="24"/>
                <w:szCs w:val="24"/>
                <w:lang w:eastAsia="lv-LV"/>
              </w:rPr>
              <w:t>vai</w:t>
            </w:r>
            <w:r w:rsidR="005B4E58" w:rsidRPr="002C6CCF">
              <w:rPr>
                <w:rFonts w:ascii="Times New Roman" w:hAnsi="Times New Roman" w:cs="Times New Roman"/>
                <w:sz w:val="24"/>
                <w:szCs w:val="24"/>
                <w:lang w:eastAsia="lv-LV"/>
              </w:rPr>
              <w:t xml:space="preserve"> </w:t>
            </w:r>
            <w:r w:rsidR="00E45F88" w:rsidRPr="002C6CCF">
              <w:rPr>
                <w:rFonts w:ascii="Times New Roman" w:hAnsi="Times New Roman" w:cs="Times New Roman"/>
                <w:sz w:val="24"/>
                <w:szCs w:val="24"/>
                <w:lang w:eastAsia="lv-LV"/>
              </w:rPr>
              <w:t xml:space="preserve">finansiālā atbalsta sniegšana nav iemesls, lai pārkāptu šīs prasības, papildus jāanalizē tās spēja izpildīt arī ieteicamo kapitāla rezerves prasību, kas tai noteikta saskaņā ar </w:t>
            </w:r>
            <w:r w:rsidR="00507C56">
              <w:rPr>
                <w:rFonts w:ascii="Times New Roman" w:hAnsi="Times New Roman" w:cs="Times New Roman"/>
                <w:sz w:val="24"/>
                <w:szCs w:val="24"/>
                <w:lang w:eastAsia="lv-LV"/>
              </w:rPr>
              <w:t xml:space="preserve">attiecīgi </w:t>
            </w:r>
            <w:r w:rsidR="00E45F88" w:rsidRPr="002C6CCF">
              <w:rPr>
                <w:rFonts w:ascii="Times New Roman" w:hAnsi="Times New Roman" w:cs="Times New Roman"/>
                <w:sz w:val="24"/>
                <w:szCs w:val="24"/>
                <w:lang w:eastAsia="lv-LV"/>
              </w:rPr>
              <w:t>Kredītiestāžu likuma 101.</w:t>
            </w:r>
            <w:r w:rsidR="00E45F88" w:rsidRPr="000A7F6F">
              <w:rPr>
                <w:rFonts w:ascii="Times New Roman" w:hAnsi="Times New Roman" w:cs="Times New Roman"/>
                <w:sz w:val="24"/>
                <w:szCs w:val="24"/>
                <w:vertAlign w:val="superscript"/>
                <w:lang w:eastAsia="lv-LV"/>
              </w:rPr>
              <w:t>17</w:t>
            </w:r>
            <w:r w:rsidR="00E45F88" w:rsidRPr="002C6CCF">
              <w:rPr>
                <w:rFonts w:ascii="Times New Roman" w:hAnsi="Times New Roman" w:cs="Times New Roman"/>
                <w:sz w:val="24"/>
                <w:szCs w:val="24"/>
                <w:lang w:eastAsia="lv-LV"/>
              </w:rPr>
              <w:t> pantu</w:t>
            </w:r>
            <w:r w:rsidR="000A7F6F">
              <w:rPr>
                <w:rFonts w:ascii="Times New Roman" w:hAnsi="Times New Roman" w:cs="Times New Roman"/>
                <w:sz w:val="24"/>
                <w:szCs w:val="24"/>
                <w:lang w:eastAsia="lv-LV"/>
              </w:rPr>
              <w:t xml:space="preserve"> vai Ieguldījumu brokeru sabiedrību likuma 55. pantu</w:t>
            </w:r>
            <w:r w:rsidRPr="006D0B7A">
              <w:rPr>
                <w:rFonts w:ascii="Times New Roman" w:hAnsi="Times New Roman" w:cs="Times New Roman"/>
                <w:sz w:val="24"/>
                <w:szCs w:val="24"/>
                <w:lang w:eastAsia="lv-LV"/>
              </w:rPr>
              <w:t>.</w:t>
            </w:r>
            <w:r w:rsidR="00BA64F9" w:rsidRPr="006D0B7A">
              <w:rPr>
                <w:rFonts w:ascii="Times New Roman" w:hAnsi="Times New Roman" w:cs="Times New Roman"/>
                <w:sz w:val="24"/>
                <w:szCs w:val="24"/>
                <w:lang w:eastAsia="lv-LV"/>
              </w:rPr>
              <w:t xml:space="preserve"> </w:t>
            </w:r>
            <w:r w:rsidR="000021E7">
              <w:rPr>
                <w:rFonts w:ascii="Times New Roman" w:hAnsi="Times New Roman" w:cs="Times New Roman"/>
                <w:sz w:val="24"/>
                <w:szCs w:val="24"/>
                <w:lang w:eastAsia="lv-LV"/>
              </w:rPr>
              <w:t xml:space="preserve">Ieteicamā kapitāla rezerves prasība </w:t>
            </w:r>
            <w:r w:rsidR="000021E7" w:rsidRPr="007331DF">
              <w:rPr>
                <w:rFonts w:ascii="Times New Roman" w:hAnsi="Times New Roman" w:cs="Times New Roman"/>
                <w:sz w:val="24"/>
                <w:szCs w:val="24"/>
                <w:lang w:eastAsia="lv-LV"/>
              </w:rPr>
              <w:t>minētajos likumos</w:t>
            </w:r>
            <w:r w:rsidR="000050EA">
              <w:rPr>
                <w:rFonts w:ascii="Times New Roman" w:hAnsi="Times New Roman" w:cs="Times New Roman"/>
                <w:sz w:val="24"/>
                <w:szCs w:val="24"/>
                <w:lang w:eastAsia="lv-LV"/>
              </w:rPr>
              <w:t xml:space="preserve"> ieviesta, transponējot </w:t>
            </w:r>
            <w:r w:rsidR="000021E7">
              <w:rPr>
                <w:rFonts w:ascii="Times New Roman" w:hAnsi="Times New Roman" w:cs="Times New Roman"/>
                <w:sz w:val="24"/>
                <w:szCs w:val="24"/>
                <w:lang w:eastAsia="lv-LV"/>
              </w:rPr>
              <w:t xml:space="preserve">attiecīgi </w:t>
            </w:r>
            <w:r w:rsidR="00ED228E" w:rsidRPr="00ED228E">
              <w:rPr>
                <w:rFonts w:ascii="Times New Roman" w:hAnsi="Times New Roman" w:cs="Times New Roman"/>
                <w:sz w:val="24"/>
                <w:szCs w:val="24"/>
                <w:lang w:eastAsia="lv-LV"/>
              </w:rPr>
              <w:t>Eiropas Parlamenta un Padomes 2019.</w:t>
            </w:r>
            <w:r w:rsidR="00ED228E">
              <w:rPr>
                <w:rFonts w:ascii="Times New Roman" w:hAnsi="Times New Roman" w:cs="Times New Roman"/>
                <w:sz w:val="24"/>
                <w:szCs w:val="24"/>
                <w:lang w:eastAsia="lv-LV"/>
              </w:rPr>
              <w:t> </w:t>
            </w:r>
            <w:r w:rsidR="00ED228E" w:rsidRPr="00ED228E">
              <w:rPr>
                <w:rFonts w:ascii="Times New Roman" w:hAnsi="Times New Roman" w:cs="Times New Roman"/>
                <w:sz w:val="24"/>
                <w:szCs w:val="24"/>
                <w:lang w:eastAsia="lv-LV"/>
              </w:rPr>
              <w:t>gada 20.</w:t>
            </w:r>
            <w:r w:rsidR="00ED228E">
              <w:rPr>
                <w:rFonts w:ascii="Times New Roman" w:hAnsi="Times New Roman" w:cs="Times New Roman"/>
                <w:sz w:val="24"/>
                <w:szCs w:val="24"/>
                <w:lang w:eastAsia="lv-LV"/>
              </w:rPr>
              <w:t> </w:t>
            </w:r>
            <w:r w:rsidR="00ED228E" w:rsidRPr="00ED228E">
              <w:rPr>
                <w:rFonts w:ascii="Times New Roman" w:hAnsi="Times New Roman" w:cs="Times New Roman"/>
                <w:sz w:val="24"/>
                <w:szCs w:val="24"/>
                <w:lang w:eastAsia="lv-LV"/>
              </w:rPr>
              <w:t>maija direktīvas (ES)</w:t>
            </w:r>
            <w:r w:rsidR="00940C85">
              <w:rPr>
                <w:rFonts w:ascii="Times New Roman" w:hAnsi="Times New Roman" w:cs="Times New Roman"/>
                <w:sz w:val="24"/>
                <w:szCs w:val="24"/>
                <w:lang w:eastAsia="lv-LV"/>
              </w:rPr>
              <w:t> </w:t>
            </w:r>
            <w:r w:rsidR="00ED228E" w:rsidRPr="00ED228E">
              <w:rPr>
                <w:rFonts w:ascii="Times New Roman" w:hAnsi="Times New Roman" w:cs="Times New Roman"/>
                <w:sz w:val="24"/>
                <w:szCs w:val="24"/>
                <w:lang w:eastAsia="lv-LV"/>
              </w:rPr>
              <w:t xml:space="preserve">2019/878, ar ko direktīvu 2013/36/ES groza attiecībā uz atbrīvotajām sabiedrībām, finanšu </w:t>
            </w:r>
            <w:proofErr w:type="spellStart"/>
            <w:r w:rsidR="00ED228E" w:rsidRPr="00ED228E">
              <w:rPr>
                <w:rFonts w:ascii="Times New Roman" w:hAnsi="Times New Roman" w:cs="Times New Roman"/>
                <w:sz w:val="24"/>
                <w:szCs w:val="24"/>
                <w:lang w:eastAsia="lv-LV"/>
              </w:rPr>
              <w:t>pārvaldītājsabiedrībām</w:t>
            </w:r>
            <w:proofErr w:type="spellEnd"/>
            <w:r w:rsidR="00ED228E" w:rsidRPr="00ED228E">
              <w:rPr>
                <w:rFonts w:ascii="Times New Roman" w:hAnsi="Times New Roman" w:cs="Times New Roman"/>
                <w:sz w:val="24"/>
                <w:szCs w:val="24"/>
                <w:lang w:eastAsia="lv-LV"/>
              </w:rPr>
              <w:t xml:space="preserve">, jauktām finanšu </w:t>
            </w:r>
            <w:proofErr w:type="spellStart"/>
            <w:r w:rsidR="00ED228E" w:rsidRPr="00ED228E">
              <w:rPr>
                <w:rFonts w:ascii="Times New Roman" w:hAnsi="Times New Roman" w:cs="Times New Roman"/>
                <w:sz w:val="24"/>
                <w:szCs w:val="24"/>
                <w:lang w:eastAsia="lv-LV"/>
              </w:rPr>
              <w:t>pārvaldītājsabiedrībām</w:t>
            </w:r>
            <w:proofErr w:type="spellEnd"/>
            <w:r w:rsidR="00ED228E" w:rsidRPr="00ED228E">
              <w:rPr>
                <w:rFonts w:ascii="Times New Roman" w:hAnsi="Times New Roman" w:cs="Times New Roman"/>
                <w:sz w:val="24"/>
                <w:szCs w:val="24"/>
                <w:lang w:eastAsia="lv-LV"/>
              </w:rPr>
              <w:t xml:space="preserve">, atalgojumu, </w:t>
            </w:r>
            <w:r w:rsidR="00ED228E" w:rsidRPr="00ED228E">
              <w:rPr>
                <w:rFonts w:ascii="Times New Roman" w:hAnsi="Times New Roman" w:cs="Times New Roman"/>
                <w:sz w:val="24"/>
                <w:szCs w:val="24"/>
                <w:lang w:eastAsia="lv-LV"/>
              </w:rPr>
              <w:lastRenderedPageBreak/>
              <w:t>uzraudzības pasākumiem un pilnvarām, kā arī kapitāla saglabāšanas pasākumiem</w:t>
            </w:r>
            <w:r w:rsidR="007331DF">
              <w:rPr>
                <w:rFonts w:ascii="Times New Roman" w:hAnsi="Times New Roman" w:cs="Times New Roman"/>
                <w:sz w:val="24"/>
                <w:szCs w:val="24"/>
                <w:lang w:eastAsia="lv-LV"/>
              </w:rPr>
              <w:t>,</w:t>
            </w:r>
            <w:r w:rsidR="000050EA">
              <w:rPr>
                <w:rFonts w:ascii="Times New Roman" w:hAnsi="Times New Roman" w:cs="Times New Roman"/>
                <w:sz w:val="24"/>
                <w:szCs w:val="24"/>
                <w:lang w:eastAsia="lv-LV"/>
              </w:rPr>
              <w:t xml:space="preserve"> </w:t>
            </w:r>
            <w:r w:rsidR="000021E7" w:rsidRPr="007F3732">
              <w:rPr>
                <w:rFonts w:ascii="Times New Roman" w:hAnsi="Times New Roman" w:cs="Times New Roman"/>
                <w:sz w:val="24"/>
                <w:szCs w:val="24"/>
                <w:lang w:eastAsia="lv-LV"/>
              </w:rPr>
              <w:t>1</w:t>
            </w:r>
            <w:r w:rsidR="00ED228E" w:rsidRPr="007F3732">
              <w:rPr>
                <w:rFonts w:ascii="Times New Roman" w:hAnsi="Times New Roman" w:cs="Times New Roman"/>
                <w:sz w:val="24"/>
                <w:szCs w:val="24"/>
                <w:lang w:eastAsia="lv-LV"/>
              </w:rPr>
              <w:t xml:space="preserve">. panta </w:t>
            </w:r>
            <w:r w:rsidR="000021E7" w:rsidRPr="007F3732">
              <w:rPr>
                <w:rFonts w:ascii="Times New Roman" w:hAnsi="Times New Roman" w:cs="Times New Roman"/>
                <w:sz w:val="24"/>
                <w:szCs w:val="24"/>
                <w:lang w:eastAsia="lv-LV"/>
              </w:rPr>
              <w:t>33</w:t>
            </w:r>
            <w:r w:rsidR="00ED228E" w:rsidRPr="007F3732">
              <w:rPr>
                <w:rFonts w:ascii="Times New Roman" w:hAnsi="Times New Roman" w:cs="Times New Roman"/>
                <w:sz w:val="24"/>
                <w:szCs w:val="24"/>
                <w:lang w:eastAsia="lv-LV"/>
              </w:rPr>
              <w:t>. punktu</w:t>
            </w:r>
            <w:r w:rsidR="00ED228E">
              <w:rPr>
                <w:rFonts w:ascii="Times New Roman" w:hAnsi="Times New Roman" w:cs="Times New Roman"/>
                <w:sz w:val="24"/>
                <w:szCs w:val="24"/>
                <w:lang w:eastAsia="lv-LV"/>
              </w:rPr>
              <w:t xml:space="preserve"> </w:t>
            </w:r>
            <w:r w:rsidR="000050EA">
              <w:rPr>
                <w:rFonts w:ascii="Times New Roman" w:hAnsi="Times New Roman" w:cs="Times New Roman"/>
                <w:sz w:val="24"/>
                <w:szCs w:val="24"/>
                <w:lang w:eastAsia="lv-LV"/>
              </w:rPr>
              <w:t xml:space="preserve">un </w:t>
            </w:r>
            <w:r w:rsidR="00ED228E" w:rsidRPr="00ED228E">
              <w:rPr>
                <w:rFonts w:ascii="Times New Roman" w:hAnsi="Times New Roman" w:cs="Times New Roman"/>
                <w:sz w:val="24"/>
                <w:szCs w:val="24"/>
                <w:lang w:eastAsia="lv-LV"/>
              </w:rPr>
              <w:t>Eiropas Parlamenta un Padomes 2019.</w:t>
            </w:r>
            <w:r w:rsidR="00ED228E">
              <w:rPr>
                <w:rFonts w:ascii="Times New Roman" w:hAnsi="Times New Roman" w:cs="Times New Roman"/>
                <w:sz w:val="24"/>
                <w:szCs w:val="24"/>
                <w:lang w:eastAsia="lv-LV"/>
              </w:rPr>
              <w:t> </w:t>
            </w:r>
            <w:r w:rsidR="00ED228E" w:rsidRPr="00ED228E">
              <w:rPr>
                <w:rFonts w:ascii="Times New Roman" w:hAnsi="Times New Roman" w:cs="Times New Roman"/>
                <w:sz w:val="24"/>
                <w:szCs w:val="24"/>
                <w:lang w:eastAsia="lv-LV"/>
              </w:rPr>
              <w:t>gada 27.</w:t>
            </w:r>
            <w:r w:rsidR="00ED228E">
              <w:rPr>
                <w:rFonts w:ascii="Times New Roman" w:hAnsi="Times New Roman" w:cs="Times New Roman"/>
                <w:sz w:val="24"/>
                <w:szCs w:val="24"/>
                <w:lang w:eastAsia="lv-LV"/>
              </w:rPr>
              <w:t> </w:t>
            </w:r>
            <w:r w:rsidR="00ED228E" w:rsidRPr="00ED228E">
              <w:rPr>
                <w:rFonts w:ascii="Times New Roman" w:hAnsi="Times New Roman" w:cs="Times New Roman"/>
                <w:sz w:val="24"/>
                <w:szCs w:val="24"/>
                <w:lang w:eastAsia="lv-LV"/>
              </w:rPr>
              <w:t>novembra direktīvas (ES)</w:t>
            </w:r>
            <w:r w:rsidR="00ED228E">
              <w:rPr>
                <w:rFonts w:ascii="Times New Roman" w:hAnsi="Times New Roman" w:cs="Times New Roman"/>
                <w:sz w:val="24"/>
                <w:szCs w:val="24"/>
                <w:lang w:eastAsia="lv-LV"/>
              </w:rPr>
              <w:t> </w:t>
            </w:r>
            <w:r w:rsidR="00ED228E" w:rsidRPr="00ED228E">
              <w:rPr>
                <w:rFonts w:ascii="Times New Roman" w:hAnsi="Times New Roman" w:cs="Times New Roman"/>
                <w:sz w:val="24"/>
                <w:szCs w:val="24"/>
                <w:lang w:eastAsia="lv-LV"/>
              </w:rPr>
              <w:t xml:space="preserve">2019/2034 par ieguldījumu brokeru sabiedrību </w:t>
            </w:r>
            <w:proofErr w:type="spellStart"/>
            <w:r w:rsidR="00ED228E" w:rsidRPr="00ED228E">
              <w:rPr>
                <w:rFonts w:ascii="Times New Roman" w:hAnsi="Times New Roman" w:cs="Times New Roman"/>
                <w:sz w:val="24"/>
                <w:szCs w:val="24"/>
                <w:lang w:eastAsia="lv-LV"/>
              </w:rPr>
              <w:t>prudenciālo</w:t>
            </w:r>
            <w:proofErr w:type="spellEnd"/>
            <w:r w:rsidR="00ED228E" w:rsidRPr="00ED228E">
              <w:rPr>
                <w:rFonts w:ascii="Times New Roman" w:hAnsi="Times New Roman" w:cs="Times New Roman"/>
                <w:sz w:val="24"/>
                <w:szCs w:val="24"/>
                <w:lang w:eastAsia="lv-LV"/>
              </w:rPr>
              <w:t xml:space="preserve"> uzraudzību un ar ko groza direktīvas</w:t>
            </w:r>
            <w:r w:rsidR="00940C85">
              <w:rPr>
                <w:rFonts w:ascii="Times New Roman" w:hAnsi="Times New Roman" w:cs="Times New Roman"/>
                <w:sz w:val="24"/>
                <w:szCs w:val="24"/>
                <w:lang w:eastAsia="lv-LV"/>
              </w:rPr>
              <w:t> </w:t>
            </w:r>
            <w:r w:rsidR="00ED228E" w:rsidRPr="00ED228E">
              <w:rPr>
                <w:rFonts w:ascii="Times New Roman" w:hAnsi="Times New Roman" w:cs="Times New Roman"/>
                <w:sz w:val="24"/>
                <w:szCs w:val="24"/>
                <w:lang w:eastAsia="lv-LV"/>
              </w:rPr>
              <w:t>2002/87/EK, 2009/65/EK, 2011/61/ES, 2013/36/ES, 2014/59/ES un 2014/65/ES</w:t>
            </w:r>
            <w:r w:rsidR="00ED228E">
              <w:rPr>
                <w:rFonts w:ascii="Times New Roman" w:hAnsi="Times New Roman" w:cs="Times New Roman"/>
                <w:sz w:val="24"/>
                <w:szCs w:val="24"/>
                <w:lang w:eastAsia="lv-LV"/>
              </w:rPr>
              <w:t xml:space="preserve"> </w:t>
            </w:r>
            <w:r w:rsidR="007F3732">
              <w:rPr>
                <w:rFonts w:ascii="Times New Roman" w:hAnsi="Times New Roman" w:cs="Times New Roman"/>
                <w:sz w:val="24"/>
                <w:szCs w:val="24"/>
                <w:lang w:eastAsia="lv-LV"/>
              </w:rPr>
              <w:t>41</w:t>
            </w:r>
            <w:r w:rsidR="00ED228E">
              <w:rPr>
                <w:rFonts w:ascii="Times New Roman" w:hAnsi="Times New Roman" w:cs="Times New Roman"/>
                <w:sz w:val="24"/>
                <w:szCs w:val="24"/>
                <w:lang w:eastAsia="lv-LV"/>
              </w:rPr>
              <w:t>.</w:t>
            </w:r>
            <w:r w:rsidR="007F3732">
              <w:rPr>
                <w:rFonts w:ascii="Times New Roman" w:hAnsi="Times New Roman" w:cs="Times New Roman"/>
                <w:sz w:val="24"/>
                <w:szCs w:val="24"/>
                <w:lang w:eastAsia="lv-LV"/>
              </w:rPr>
              <w:t> </w:t>
            </w:r>
            <w:r w:rsidR="00ED228E">
              <w:rPr>
                <w:rFonts w:ascii="Times New Roman" w:hAnsi="Times New Roman" w:cs="Times New Roman"/>
                <w:sz w:val="24"/>
                <w:szCs w:val="24"/>
                <w:lang w:eastAsia="lv-LV"/>
              </w:rPr>
              <w:t>pantu.</w:t>
            </w:r>
          </w:p>
          <w:p w14:paraId="4E5E82C0" w14:textId="77777777" w:rsidR="00161FB8" w:rsidRPr="006D0B7A" w:rsidRDefault="00161FB8" w:rsidP="0068380B">
            <w:pPr>
              <w:pStyle w:val="ListParagraph"/>
              <w:ind w:left="0"/>
              <w:contextualSpacing w:val="0"/>
              <w:jc w:val="both"/>
              <w:rPr>
                <w:rFonts w:ascii="Times New Roman" w:eastAsia="Times New Roman" w:hAnsi="Times New Roman" w:cs="Times New Roman"/>
                <w:sz w:val="24"/>
                <w:szCs w:val="24"/>
                <w:highlight w:val="yellow"/>
                <w:shd w:val="clear" w:color="auto" w:fill="FFFFFF"/>
                <w:lang w:eastAsia="lv-LV"/>
              </w:rPr>
            </w:pPr>
          </w:p>
          <w:p w14:paraId="28D32265" w14:textId="3CEEB1F3" w:rsidR="00161FB8" w:rsidRPr="003B5091" w:rsidRDefault="00161FB8" w:rsidP="0068380B">
            <w:pPr>
              <w:pStyle w:val="ListParagraph"/>
              <w:ind w:left="0"/>
              <w:contextualSpacing w:val="0"/>
              <w:jc w:val="both"/>
              <w:rPr>
                <w:rFonts w:ascii="Times New Roman" w:hAnsi="Times New Roman" w:cs="Times New Roman"/>
                <w:sz w:val="24"/>
                <w:szCs w:val="24"/>
                <w:highlight w:val="yellow"/>
                <w:shd w:val="clear" w:color="auto" w:fill="FFFFFF"/>
              </w:rPr>
            </w:pPr>
            <w:r w:rsidRPr="006D0B7A">
              <w:rPr>
                <w:rFonts w:ascii="Times New Roman" w:hAnsi="Times New Roman" w:cs="Times New Roman"/>
                <w:sz w:val="24"/>
                <w:szCs w:val="24"/>
                <w:shd w:val="clear" w:color="auto" w:fill="FFFFFF"/>
              </w:rPr>
              <w:t xml:space="preserve">Līdz ar </w:t>
            </w:r>
            <w:r w:rsidRPr="00B27B70">
              <w:rPr>
                <w:rFonts w:ascii="Times New Roman" w:hAnsi="Times New Roman" w:cs="Times New Roman"/>
                <w:sz w:val="24"/>
                <w:szCs w:val="24"/>
                <w:shd w:val="clear" w:color="auto" w:fill="FFFFFF"/>
              </w:rPr>
              <w:t>noteikumu projekta stāšanos spēkā spēku zaudēs Noteikumi Nr. </w:t>
            </w:r>
            <w:r w:rsidR="00B27B70" w:rsidRPr="00B27B70">
              <w:rPr>
                <w:rFonts w:ascii="Times New Roman" w:hAnsi="Times New Roman" w:cs="Times New Roman"/>
                <w:sz w:val="24"/>
                <w:szCs w:val="24"/>
                <w:shd w:val="clear" w:color="auto" w:fill="FFFFFF"/>
              </w:rPr>
              <w:t>107</w:t>
            </w:r>
            <w:r w:rsidRPr="00B27B70">
              <w:rPr>
                <w:rFonts w:ascii="Times New Roman" w:hAnsi="Times New Roman" w:cs="Times New Roman"/>
                <w:sz w:val="24"/>
                <w:szCs w:val="24"/>
                <w:shd w:val="clear" w:color="auto" w:fill="FFFFFF"/>
              </w:rPr>
              <w:t>.</w:t>
            </w:r>
          </w:p>
        </w:tc>
      </w:tr>
      <w:tr w:rsidR="00A61684" w:rsidRPr="00A61684" w14:paraId="7FF36E12" w14:textId="77777777" w:rsidTr="009B620B">
        <w:tc>
          <w:tcPr>
            <w:tcW w:w="1980" w:type="dxa"/>
          </w:tcPr>
          <w:p w14:paraId="1EC190F5" w14:textId="77777777" w:rsidR="001A2F7D" w:rsidRPr="00A202C9" w:rsidRDefault="009E6A95" w:rsidP="00ED3376">
            <w:pPr>
              <w:jc w:val="both"/>
              <w:rPr>
                <w:rFonts w:ascii="Times New Roman" w:hAnsi="Times New Roman" w:cs="Times New Roman"/>
                <w:b/>
                <w:bCs/>
                <w:sz w:val="24"/>
                <w:szCs w:val="24"/>
              </w:rPr>
            </w:pPr>
            <w:r w:rsidRPr="00A202C9">
              <w:rPr>
                <w:rFonts w:ascii="Times New Roman" w:hAnsi="Times New Roman" w:cs="Times New Roman"/>
                <w:b/>
                <w:bCs/>
                <w:sz w:val="24"/>
                <w:szCs w:val="24"/>
              </w:rPr>
              <w:lastRenderedPageBreak/>
              <w:t>Leģitīmais mērķis</w:t>
            </w:r>
          </w:p>
          <w:p w14:paraId="486EBB70" w14:textId="319C36F1" w:rsidR="00851C5D" w:rsidRPr="00331694" w:rsidRDefault="00851C5D" w:rsidP="00494F09">
            <w:pPr>
              <w:jc w:val="both"/>
              <w:rPr>
                <w:rFonts w:ascii="Times New Roman" w:hAnsi="Times New Roman" w:cs="Times New Roman"/>
                <w:sz w:val="24"/>
                <w:szCs w:val="24"/>
              </w:rPr>
            </w:pPr>
          </w:p>
        </w:tc>
        <w:tc>
          <w:tcPr>
            <w:tcW w:w="6379" w:type="dxa"/>
          </w:tcPr>
          <w:p w14:paraId="339B1787" w14:textId="3D9AD569" w:rsidR="000B4B85" w:rsidRDefault="001B4534" w:rsidP="00954061">
            <w:pPr>
              <w:jc w:val="both"/>
              <w:rPr>
                <w:rFonts w:ascii="Times New Roman" w:eastAsia="Times New Roman" w:hAnsi="Times New Roman" w:cs="Times New Roman"/>
                <w:sz w:val="24"/>
                <w:szCs w:val="24"/>
                <w:lang w:eastAsia="lv-LV"/>
              </w:rPr>
            </w:pPr>
            <w:r w:rsidRPr="006D0B7A">
              <w:rPr>
                <w:rFonts w:ascii="Times New Roman" w:eastAsia="Times New Roman" w:hAnsi="Times New Roman" w:cs="Times New Roman"/>
                <w:sz w:val="24"/>
                <w:szCs w:val="24"/>
                <w:lang w:eastAsia="lv-LV"/>
              </w:rPr>
              <w:t xml:space="preserve">Noteikumu projekta leģitīmais mērķis ir citu personu tiesību </w:t>
            </w:r>
            <w:r w:rsidR="00710DA5">
              <w:rPr>
                <w:rFonts w:ascii="Times New Roman" w:eastAsia="Times New Roman" w:hAnsi="Times New Roman" w:cs="Times New Roman"/>
                <w:sz w:val="24"/>
                <w:szCs w:val="24"/>
                <w:lang w:eastAsia="lv-LV"/>
              </w:rPr>
              <w:t xml:space="preserve">un </w:t>
            </w:r>
            <w:r w:rsidRPr="006D0B7A">
              <w:rPr>
                <w:rFonts w:ascii="Times New Roman" w:eastAsia="Times New Roman" w:hAnsi="Times New Roman" w:cs="Times New Roman"/>
                <w:sz w:val="24"/>
                <w:szCs w:val="24"/>
                <w:lang w:eastAsia="lv-LV"/>
              </w:rPr>
              <w:t xml:space="preserve">sabiedrības labklājības </w:t>
            </w:r>
            <w:r w:rsidR="00710DA5" w:rsidRPr="006D0B7A">
              <w:rPr>
                <w:rFonts w:ascii="Times New Roman" w:eastAsia="Times New Roman" w:hAnsi="Times New Roman" w:cs="Times New Roman"/>
                <w:sz w:val="24"/>
                <w:szCs w:val="24"/>
                <w:lang w:eastAsia="lv-LV"/>
              </w:rPr>
              <w:t>aizsardzība</w:t>
            </w:r>
            <w:r w:rsidRPr="006D0B7A">
              <w:rPr>
                <w:rFonts w:ascii="Times New Roman" w:eastAsia="Times New Roman" w:hAnsi="Times New Roman" w:cs="Times New Roman"/>
                <w:sz w:val="24"/>
                <w:szCs w:val="24"/>
                <w:lang w:eastAsia="lv-LV"/>
              </w:rPr>
              <w:t>.</w:t>
            </w:r>
          </w:p>
          <w:p w14:paraId="75830407" w14:textId="77777777" w:rsidR="004C7F14" w:rsidRDefault="004C7F14" w:rsidP="00954061">
            <w:pPr>
              <w:jc w:val="both"/>
              <w:rPr>
                <w:rFonts w:ascii="Times New Roman" w:eastAsia="Times New Roman" w:hAnsi="Times New Roman" w:cs="Times New Roman"/>
                <w:sz w:val="24"/>
                <w:szCs w:val="24"/>
                <w:lang w:eastAsia="lv-LV"/>
              </w:rPr>
            </w:pPr>
          </w:p>
          <w:p w14:paraId="10CEDE48" w14:textId="77777777" w:rsidR="004C7F14" w:rsidRDefault="004C7F14" w:rsidP="004C7F14">
            <w:pPr>
              <w:jc w:val="both"/>
              <w:rPr>
                <w:rFonts w:ascii="Times New Roman" w:eastAsia="Times New Roman" w:hAnsi="Times New Roman" w:cs="Times New Roman"/>
                <w:sz w:val="24"/>
                <w:szCs w:val="24"/>
                <w:lang w:eastAsia="lv-LV"/>
              </w:rPr>
            </w:pPr>
            <w:r w:rsidRPr="004C7F14">
              <w:rPr>
                <w:rFonts w:ascii="Times New Roman" w:eastAsia="Times New Roman" w:hAnsi="Times New Roman" w:cs="Times New Roman"/>
                <w:sz w:val="24"/>
                <w:szCs w:val="24"/>
                <w:lang w:eastAsia="lv-LV"/>
              </w:rPr>
              <w:t xml:space="preserve">Šo </w:t>
            </w:r>
            <w:proofErr w:type="spellStart"/>
            <w:r w:rsidRPr="004C7F14">
              <w:rPr>
                <w:rFonts w:ascii="Times New Roman" w:eastAsia="Times New Roman" w:hAnsi="Times New Roman" w:cs="Times New Roman"/>
                <w:sz w:val="24"/>
                <w:szCs w:val="24"/>
                <w:lang w:eastAsia="lv-LV"/>
              </w:rPr>
              <w:t>pamattiesību</w:t>
            </w:r>
            <w:proofErr w:type="spellEnd"/>
            <w:r w:rsidRPr="004C7F14">
              <w:rPr>
                <w:rFonts w:ascii="Times New Roman" w:eastAsia="Times New Roman" w:hAnsi="Times New Roman" w:cs="Times New Roman"/>
                <w:sz w:val="24"/>
                <w:szCs w:val="24"/>
                <w:lang w:eastAsia="lv-LV"/>
              </w:rPr>
              <w:t xml:space="preserve"> aizsardzību Latvijas Banka īsteno, nodrošinot finanšu tirgus uzraudzību, kurai ir vitāla nozīme finanšu sistēmas un ekonomiskajā attīstībā, iespējami pilnīgākajā veidā, lai veicinātu sabiedrības uzticēšanos finanšu tirgum un Latvijas Bankai kā konkrēto finanšu tirgus dalībnieku uzraugam, kas nodrošina konkrēto finanšu tirgus dalībnieku tiesisku un sabiedrības interesēm atbilstošu darbību.</w:t>
            </w:r>
          </w:p>
          <w:p w14:paraId="5F32B8A4" w14:textId="77777777" w:rsidR="004C7F14" w:rsidRPr="004C7F14" w:rsidRDefault="004C7F14" w:rsidP="004C7F14">
            <w:pPr>
              <w:jc w:val="both"/>
              <w:rPr>
                <w:rFonts w:ascii="Times New Roman" w:eastAsia="Times New Roman" w:hAnsi="Times New Roman" w:cs="Times New Roman"/>
                <w:sz w:val="24"/>
                <w:szCs w:val="24"/>
                <w:lang w:eastAsia="lv-LV"/>
              </w:rPr>
            </w:pPr>
          </w:p>
          <w:p w14:paraId="76080706" w14:textId="6B32371C" w:rsidR="004C7F14" w:rsidRPr="006D0B7A" w:rsidRDefault="004C7F14" w:rsidP="004C7F14">
            <w:pPr>
              <w:jc w:val="both"/>
              <w:rPr>
                <w:rFonts w:ascii="Times New Roman" w:eastAsia="Times New Roman" w:hAnsi="Times New Roman" w:cs="Times New Roman"/>
                <w:sz w:val="24"/>
                <w:szCs w:val="24"/>
                <w:lang w:eastAsia="lv-LV"/>
              </w:rPr>
            </w:pPr>
            <w:r w:rsidRPr="004C7F14">
              <w:rPr>
                <w:rFonts w:ascii="Times New Roman" w:eastAsia="Times New Roman" w:hAnsi="Times New Roman" w:cs="Times New Roman"/>
                <w:sz w:val="24"/>
                <w:szCs w:val="24"/>
                <w:lang w:eastAsia="lv-LV"/>
              </w:rPr>
              <w:t xml:space="preserve">Indivīdam kā finanšu tirgus sistēmas daļai ir būtiski apzināties un saņemt to aizsardzības līmeni, kuru tam nodrošina finanšu tirgus uzraugs jeb Latvijas Banka, un attiecīgi Latvijas Banka finanšu tirgus uzrauga lomā ir atbildīga par tādu pasākumu veikšanu, kas aizsargā indivīda </w:t>
            </w:r>
            <w:proofErr w:type="spellStart"/>
            <w:r w:rsidRPr="004C7F14">
              <w:rPr>
                <w:rFonts w:ascii="Times New Roman" w:eastAsia="Times New Roman" w:hAnsi="Times New Roman" w:cs="Times New Roman"/>
                <w:sz w:val="24"/>
                <w:szCs w:val="24"/>
                <w:lang w:eastAsia="lv-LV"/>
              </w:rPr>
              <w:t>pamattiesības</w:t>
            </w:r>
            <w:proofErr w:type="spellEnd"/>
            <w:r w:rsidRPr="004C7F14">
              <w:rPr>
                <w:rFonts w:ascii="Times New Roman" w:eastAsia="Times New Roman" w:hAnsi="Times New Roman" w:cs="Times New Roman"/>
                <w:sz w:val="24"/>
                <w:szCs w:val="24"/>
                <w:lang w:eastAsia="lv-LV"/>
              </w:rPr>
              <w:t>. Respektīvi, indivīds ir tiesīgs paļauties uz finanšu sistēmas taisnīgu uzraudzību, pretējā gadījumā indivīdam zūd uzticība finanšu sistēmai un motivācija būt šīs sistēmas dalībniekam.</w:t>
            </w:r>
          </w:p>
          <w:p w14:paraId="22CA5E56" w14:textId="77777777" w:rsidR="001B4534" w:rsidRPr="006D0B7A" w:rsidRDefault="001B4534" w:rsidP="00954061">
            <w:pPr>
              <w:jc w:val="both"/>
              <w:rPr>
                <w:rFonts w:ascii="Times New Roman" w:eastAsia="Times New Roman" w:hAnsi="Times New Roman" w:cs="Times New Roman"/>
                <w:sz w:val="24"/>
                <w:szCs w:val="24"/>
                <w:lang w:eastAsia="lv-LV"/>
              </w:rPr>
            </w:pPr>
          </w:p>
          <w:p w14:paraId="5B199845" w14:textId="48908D4B" w:rsidR="009F0B6E" w:rsidRPr="003B5091" w:rsidRDefault="009F0B6E" w:rsidP="009F0B6E">
            <w:pPr>
              <w:jc w:val="both"/>
              <w:rPr>
                <w:rFonts w:ascii="Times New Roman" w:hAnsi="Times New Roman" w:cs="Times New Roman"/>
                <w:sz w:val="24"/>
                <w:szCs w:val="24"/>
              </w:rPr>
            </w:pPr>
            <w:r w:rsidRPr="009F0B6E">
              <w:rPr>
                <w:rFonts w:ascii="Times New Roman" w:eastAsia="Times New Roman" w:hAnsi="Times New Roman" w:cs="Times New Roman"/>
                <w:sz w:val="24"/>
                <w:szCs w:val="24"/>
                <w:lang w:eastAsia="lv-LV"/>
              </w:rPr>
              <w:t>N</w:t>
            </w:r>
            <w:r w:rsidR="001B4534" w:rsidRPr="009F0B6E">
              <w:rPr>
                <w:rFonts w:ascii="Times New Roman" w:eastAsia="Times New Roman" w:hAnsi="Times New Roman" w:cs="Times New Roman"/>
                <w:sz w:val="24"/>
                <w:szCs w:val="24"/>
                <w:lang w:eastAsia="lv-LV"/>
              </w:rPr>
              <w:t xml:space="preserve">osakot </w:t>
            </w:r>
            <w:r w:rsidRPr="009F0B6E">
              <w:rPr>
                <w:rFonts w:ascii="Times New Roman" w:eastAsia="Times New Roman" w:hAnsi="Times New Roman" w:cs="Times New Roman"/>
                <w:sz w:val="24"/>
                <w:szCs w:val="24"/>
                <w:lang w:eastAsia="lv-LV"/>
              </w:rPr>
              <w:t xml:space="preserve">vienotas </w:t>
            </w:r>
            <w:r w:rsidR="006D0B7A" w:rsidRPr="009F0B6E">
              <w:rPr>
                <w:rFonts w:ascii="Times New Roman" w:eastAsia="Times New Roman" w:hAnsi="Times New Roman" w:cs="Times New Roman"/>
                <w:sz w:val="24"/>
                <w:szCs w:val="24"/>
                <w:lang w:eastAsia="lv-LV"/>
              </w:rPr>
              <w:t xml:space="preserve">prasības </w:t>
            </w:r>
            <w:r w:rsidR="006D0B7A" w:rsidRPr="002C6CCF">
              <w:rPr>
                <w:rFonts w:ascii="Times New Roman" w:eastAsia="Times New Roman" w:hAnsi="Times New Roman" w:cs="Times New Roman"/>
                <w:sz w:val="24"/>
                <w:szCs w:val="24"/>
                <w:lang w:eastAsia="lv-LV"/>
              </w:rPr>
              <w:t>Likuma 28.</w:t>
            </w:r>
            <w:r w:rsidR="003B5091" w:rsidRPr="002C6CCF">
              <w:rPr>
                <w:rFonts w:ascii="Times New Roman" w:eastAsia="Times New Roman" w:hAnsi="Times New Roman" w:cs="Times New Roman"/>
                <w:sz w:val="24"/>
                <w:szCs w:val="24"/>
                <w:lang w:eastAsia="lv-LV"/>
              </w:rPr>
              <w:t> </w:t>
            </w:r>
            <w:r w:rsidR="006D0B7A" w:rsidRPr="002C6CCF">
              <w:rPr>
                <w:rFonts w:ascii="Times New Roman" w:eastAsia="Times New Roman" w:hAnsi="Times New Roman" w:cs="Times New Roman"/>
                <w:sz w:val="24"/>
                <w:szCs w:val="24"/>
                <w:lang w:eastAsia="lv-LV"/>
              </w:rPr>
              <w:t xml:space="preserve">pantā </w:t>
            </w:r>
            <w:r w:rsidR="009E69EA">
              <w:rPr>
                <w:rFonts w:ascii="Times New Roman" w:eastAsia="Times New Roman" w:hAnsi="Times New Roman" w:cs="Times New Roman"/>
                <w:sz w:val="24"/>
                <w:szCs w:val="24"/>
                <w:lang w:eastAsia="lv-LV"/>
              </w:rPr>
              <w:t>noteikto</w:t>
            </w:r>
            <w:r w:rsidR="009E69EA" w:rsidRPr="002C6CCF">
              <w:rPr>
                <w:rFonts w:ascii="Times New Roman" w:eastAsia="Times New Roman" w:hAnsi="Times New Roman" w:cs="Times New Roman"/>
                <w:sz w:val="24"/>
                <w:szCs w:val="24"/>
                <w:lang w:eastAsia="lv-LV"/>
              </w:rPr>
              <w:t xml:space="preserve"> </w:t>
            </w:r>
            <w:r w:rsidR="00484852">
              <w:rPr>
                <w:rFonts w:ascii="Times New Roman" w:eastAsia="Times New Roman" w:hAnsi="Times New Roman" w:cs="Times New Roman"/>
                <w:sz w:val="24"/>
                <w:szCs w:val="24"/>
                <w:lang w:eastAsia="lv-LV"/>
              </w:rPr>
              <w:t xml:space="preserve">finansiālā atbalsta sniegšanas </w:t>
            </w:r>
            <w:r w:rsidR="006D0B7A" w:rsidRPr="002C6CCF">
              <w:rPr>
                <w:rFonts w:ascii="Times New Roman" w:eastAsia="Times New Roman" w:hAnsi="Times New Roman" w:cs="Times New Roman"/>
                <w:sz w:val="24"/>
                <w:szCs w:val="24"/>
                <w:lang w:eastAsia="lv-LV"/>
              </w:rPr>
              <w:t xml:space="preserve">nosacījumu </w:t>
            </w:r>
            <w:r w:rsidR="002C6CCF" w:rsidRPr="002C6CCF">
              <w:rPr>
                <w:rFonts w:ascii="Times New Roman" w:eastAsia="Times New Roman" w:hAnsi="Times New Roman" w:cs="Times New Roman"/>
                <w:sz w:val="24"/>
                <w:szCs w:val="24"/>
                <w:lang w:eastAsia="lv-LV"/>
              </w:rPr>
              <w:t>izpild</w:t>
            </w:r>
            <w:r w:rsidR="002C6CCF" w:rsidRPr="007F0C14">
              <w:rPr>
                <w:rFonts w:ascii="Times New Roman" w:eastAsia="Times New Roman" w:hAnsi="Times New Roman" w:cs="Times New Roman"/>
                <w:sz w:val="24"/>
                <w:szCs w:val="24"/>
                <w:lang w:eastAsia="lv-LV"/>
              </w:rPr>
              <w:t xml:space="preserve">es </w:t>
            </w:r>
            <w:r w:rsidR="007331DF">
              <w:rPr>
                <w:rFonts w:ascii="Times New Roman" w:eastAsia="Times New Roman" w:hAnsi="Times New Roman" w:cs="Times New Roman"/>
                <w:sz w:val="24"/>
                <w:szCs w:val="24"/>
                <w:lang w:eastAsia="lv-LV"/>
              </w:rPr>
              <w:t>izvērtēšanai</w:t>
            </w:r>
            <w:r w:rsidRPr="002C6CCF">
              <w:rPr>
                <w:rFonts w:ascii="Times New Roman" w:hAnsi="Times New Roman" w:cs="Times New Roman"/>
                <w:sz w:val="24"/>
                <w:szCs w:val="24"/>
              </w:rPr>
              <w:t xml:space="preserve"> </w:t>
            </w:r>
            <w:r w:rsidR="00161FB8" w:rsidRPr="002C6CCF">
              <w:rPr>
                <w:rFonts w:ascii="Times New Roman" w:hAnsi="Times New Roman" w:cs="Times New Roman"/>
                <w:sz w:val="24"/>
                <w:szCs w:val="24"/>
              </w:rPr>
              <w:t>un</w:t>
            </w:r>
            <w:r w:rsidR="00161FB8" w:rsidRPr="00984050">
              <w:rPr>
                <w:rFonts w:ascii="Times New Roman" w:hAnsi="Times New Roman" w:cs="Times New Roman"/>
                <w:sz w:val="24"/>
                <w:szCs w:val="24"/>
              </w:rPr>
              <w:t xml:space="preserve"> veicot prasību ievērošanas pārbaudes, Latvijas Banka nodrošina tai Latvijas Bankas likumā noteikto pienākumu – veicināt ieguldītāju un noguldītāju interešu aizsardzību un finanšu tirgus ilgtspējīgu attīstību un stabilitāti – izpildi.</w:t>
            </w:r>
          </w:p>
        </w:tc>
      </w:tr>
      <w:tr w:rsidR="00A61684" w:rsidRPr="00A61684" w14:paraId="1F6AF38A" w14:textId="77777777" w:rsidTr="009B620B">
        <w:trPr>
          <w:trHeight w:val="557"/>
        </w:trPr>
        <w:tc>
          <w:tcPr>
            <w:tcW w:w="1980" w:type="dxa"/>
          </w:tcPr>
          <w:p w14:paraId="4BE09150" w14:textId="77777777" w:rsidR="001A2F7D" w:rsidRPr="006525D1" w:rsidRDefault="009E6A95" w:rsidP="001A2F7D">
            <w:pPr>
              <w:jc w:val="both"/>
              <w:rPr>
                <w:rFonts w:ascii="Times New Roman" w:hAnsi="Times New Roman" w:cs="Times New Roman"/>
                <w:b/>
                <w:bCs/>
                <w:sz w:val="24"/>
                <w:szCs w:val="24"/>
              </w:rPr>
            </w:pPr>
            <w:r w:rsidRPr="006525D1">
              <w:rPr>
                <w:rFonts w:ascii="Times New Roman" w:hAnsi="Times New Roman" w:cs="Times New Roman"/>
                <w:b/>
                <w:bCs/>
                <w:sz w:val="24"/>
                <w:szCs w:val="24"/>
              </w:rPr>
              <w:t>Samērīgums</w:t>
            </w:r>
          </w:p>
          <w:p w14:paraId="5B2AC1B8" w14:textId="0CC4E8FB" w:rsidR="009B6162" w:rsidRPr="006525D1" w:rsidRDefault="009B6162" w:rsidP="00741AE8">
            <w:pPr>
              <w:jc w:val="both"/>
              <w:rPr>
                <w:rFonts w:ascii="Times New Roman" w:hAnsi="Times New Roman" w:cs="Times New Roman"/>
                <w:sz w:val="24"/>
                <w:szCs w:val="24"/>
              </w:rPr>
            </w:pPr>
          </w:p>
        </w:tc>
        <w:tc>
          <w:tcPr>
            <w:tcW w:w="6379" w:type="dxa"/>
          </w:tcPr>
          <w:p w14:paraId="6A0C5D1A" w14:textId="7694BB55" w:rsidR="00851C5D" w:rsidRPr="00F65661" w:rsidRDefault="00316937" w:rsidP="00DD59EA">
            <w:pPr>
              <w:jc w:val="both"/>
              <w:rPr>
                <w:rFonts w:ascii="Times New Roman" w:hAnsi="Times New Roman" w:cs="Times New Roman"/>
                <w:sz w:val="24"/>
                <w:szCs w:val="24"/>
              </w:rPr>
            </w:pPr>
            <w:r>
              <w:rPr>
                <w:rFonts w:ascii="Times New Roman" w:hAnsi="Times New Roman" w:cs="Times New Roman"/>
                <w:sz w:val="24"/>
                <w:szCs w:val="24"/>
              </w:rPr>
              <w:t>Likuma 28. pants nosaka, ka f</w:t>
            </w:r>
            <w:r w:rsidRPr="00316937">
              <w:rPr>
                <w:rFonts w:ascii="Times New Roman" w:hAnsi="Times New Roman" w:cs="Times New Roman"/>
                <w:sz w:val="24"/>
                <w:szCs w:val="24"/>
              </w:rPr>
              <w:t xml:space="preserve">inansiālo atbalstu saskaņā ar nolīgumu par grupas iekšējo finansiālo atbalstu grupas sabiedrība ir tiesīga sniegt tikai tad, ja ir izpildīti </w:t>
            </w:r>
            <w:r>
              <w:rPr>
                <w:rFonts w:ascii="Times New Roman" w:hAnsi="Times New Roman" w:cs="Times New Roman"/>
                <w:sz w:val="24"/>
                <w:szCs w:val="24"/>
              </w:rPr>
              <w:t>tajā</w:t>
            </w:r>
            <w:r w:rsidRPr="00316937">
              <w:rPr>
                <w:rFonts w:ascii="Times New Roman" w:hAnsi="Times New Roman" w:cs="Times New Roman"/>
                <w:sz w:val="24"/>
                <w:szCs w:val="24"/>
              </w:rPr>
              <w:t xml:space="preserve"> minētie </w:t>
            </w:r>
            <w:r w:rsidR="00484852" w:rsidRPr="00484852">
              <w:rPr>
                <w:rFonts w:ascii="Times New Roman" w:hAnsi="Times New Roman" w:cs="Times New Roman"/>
                <w:sz w:val="24"/>
                <w:szCs w:val="24"/>
              </w:rPr>
              <w:t xml:space="preserve">finansiālā atbalsta sniegšanas </w:t>
            </w:r>
            <w:r w:rsidRPr="00316937">
              <w:rPr>
                <w:rFonts w:ascii="Times New Roman" w:hAnsi="Times New Roman" w:cs="Times New Roman"/>
                <w:sz w:val="24"/>
                <w:szCs w:val="24"/>
              </w:rPr>
              <w:t>nosacījumi</w:t>
            </w:r>
            <w:r>
              <w:rPr>
                <w:rFonts w:ascii="Times New Roman" w:hAnsi="Times New Roman" w:cs="Times New Roman"/>
                <w:sz w:val="24"/>
                <w:szCs w:val="24"/>
              </w:rPr>
              <w:t xml:space="preserve">, bet </w:t>
            </w:r>
            <w:r w:rsidR="005B4E58">
              <w:rPr>
                <w:rFonts w:ascii="Times New Roman" w:hAnsi="Times New Roman" w:cs="Times New Roman"/>
                <w:sz w:val="24"/>
                <w:szCs w:val="24"/>
              </w:rPr>
              <w:t xml:space="preserve">tas </w:t>
            </w:r>
            <w:r>
              <w:rPr>
                <w:rFonts w:ascii="Times New Roman" w:hAnsi="Times New Roman" w:cs="Times New Roman"/>
                <w:sz w:val="24"/>
                <w:szCs w:val="24"/>
              </w:rPr>
              <w:t xml:space="preserve">nenosaka vienotu pieeju </w:t>
            </w:r>
            <w:r w:rsidRPr="00BF209C">
              <w:rPr>
                <w:rFonts w:ascii="Times New Roman" w:hAnsi="Times New Roman" w:cs="Times New Roman"/>
                <w:sz w:val="24"/>
                <w:szCs w:val="24"/>
              </w:rPr>
              <w:t>minēto nosacījumu izpildes izvērtēšanai</w:t>
            </w:r>
            <w:r>
              <w:rPr>
                <w:rFonts w:ascii="Times New Roman" w:hAnsi="Times New Roman" w:cs="Times New Roman"/>
                <w:sz w:val="24"/>
                <w:szCs w:val="24"/>
              </w:rPr>
              <w:t>.</w:t>
            </w:r>
          </w:p>
          <w:p w14:paraId="7C11F5E5" w14:textId="77777777" w:rsidR="008C18C8" w:rsidRPr="00F65661" w:rsidRDefault="008C18C8" w:rsidP="00DD59EA">
            <w:pPr>
              <w:jc w:val="both"/>
              <w:rPr>
                <w:rFonts w:ascii="Times New Roman" w:hAnsi="Times New Roman" w:cs="Times New Roman"/>
                <w:sz w:val="24"/>
                <w:szCs w:val="24"/>
              </w:rPr>
            </w:pPr>
          </w:p>
          <w:p w14:paraId="46EBB24B" w14:textId="60BABCD0" w:rsidR="008C18C8" w:rsidRPr="00F65661" w:rsidRDefault="008C18C8" w:rsidP="008C18C8">
            <w:pPr>
              <w:jc w:val="both"/>
              <w:rPr>
                <w:rFonts w:ascii="Times New Roman" w:hAnsi="Times New Roman" w:cs="Times New Roman"/>
                <w:sz w:val="24"/>
                <w:szCs w:val="24"/>
              </w:rPr>
            </w:pPr>
            <w:r w:rsidRPr="00F65661">
              <w:rPr>
                <w:rFonts w:ascii="Times New Roman" w:hAnsi="Times New Roman" w:cs="Times New Roman"/>
                <w:sz w:val="24"/>
                <w:szCs w:val="24"/>
              </w:rPr>
              <w:t>Tiesību norma atbilst samērīguma principam, jo:</w:t>
            </w:r>
          </w:p>
          <w:p w14:paraId="5B23AF67" w14:textId="4154A0E1" w:rsidR="008C18C8" w:rsidRPr="00F65661" w:rsidRDefault="008C18C8" w:rsidP="008C18C8">
            <w:pPr>
              <w:jc w:val="both"/>
              <w:rPr>
                <w:rFonts w:ascii="Times New Roman" w:hAnsi="Times New Roman" w:cs="Times New Roman"/>
                <w:sz w:val="24"/>
                <w:szCs w:val="24"/>
              </w:rPr>
            </w:pPr>
            <w:r w:rsidRPr="00F65661">
              <w:rPr>
                <w:rFonts w:ascii="Times New Roman" w:hAnsi="Times New Roman" w:cs="Times New Roman"/>
                <w:sz w:val="24"/>
                <w:szCs w:val="24"/>
              </w:rPr>
              <w:t xml:space="preserve">1) ar noteikumu projekta ieviešanu tiek sasniegts leģitīmais mērķis – citu personu tiesību un sabiedrības labklājības </w:t>
            </w:r>
            <w:r w:rsidR="00710DA5" w:rsidRPr="00F65661">
              <w:rPr>
                <w:rFonts w:ascii="Times New Roman" w:hAnsi="Times New Roman" w:cs="Times New Roman"/>
                <w:sz w:val="24"/>
                <w:szCs w:val="24"/>
              </w:rPr>
              <w:t>aizsardzība</w:t>
            </w:r>
            <w:r w:rsidRPr="00F65661">
              <w:rPr>
                <w:rFonts w:ascii="Times New Roman" w:hAnsi="Times New Roman" w:cs="Times New Roman"/>
                <w:sz w:val="24"/>
                <w:szCs w:val="24"/>
              </w:rPr>
              <w:t>, t.</w:t>
            </w:r>
            <w:r w:rsidR="00187CEB">
              <w:rPr>
                <w:rFonts w:ascii="Times New Roman" w:hAnsi="Times New Roman" w:cs="Times New Roman"/>
                <w:sz w:val="24"/>
                <w:szCs w:val="24"/>
              </w:rPr>
              <w:t> </w:t>
            </w:r>
            <w:r w:rsidRPr="00F65661">
              <w:rPr>
                <w:rFonts w:ascii="Times New Roman" w:hAnsi="Times New Roman" w:cs="Times New Roman"/>
                <w:sz w:val="24"/>
                <w:szCs w:val="24"/>
              </w:rPr>
              <w:t xml:space="preserve">i., </w:t>
            </w:r>
            <w:r w:rsidR="00187CEB">
              <w:rPr>
                <w:rFonts w:ascii="Times New Roman" w:hAnsi="Times New Roman" w:cs="Times New Roman"/>
                <w:sz w:val="24"/>
                <w:szCs w:val="24"/>
              </w:rPr>
              <w:t xml:space="preserve">tiek </w:t>
            </w:r>
            <w:r w:rsidR="00316937">
              <w:rPr>
                <w:rFonts w:ascii="Times New Roman" w:hAnsi="Times New Roman" w:cs="Times New Roman"/>
                <w:sz w:val="24"/>
                <w:szCs w:val="24"/>
              </w:rPr>
              <w:t>no</w:t>
            </w:r>
            <w:r w:rsidR="00187CEB">
              <w:rPr>
                <w:rFonts w:ascii="Times New Roman" w:hAnsi="Times New Roman" w:cs="Times New Roman"/>
                <w:sz w:val="24"/>
                <w:szCs w:val="24"/>
              </w:rPr>
              <w:t>teiktas</w:t>
            </w:r>
            <w:r w:rsidR="00316937">
              <w:rPr>
                <w:rFonts w:ascii="Times New Roman" w:hAnsi="Times New Roman" w:cs="Times New Roman"/>
                <w:sz w:val="24"/>
                <w:szCs w:val="24"/>
              </w:rPr>
              <w:t xml:space="preserve"> </w:t>
            </w:r>
            <w:r w:rsidR="003C0EE6" w:rsidRPr="00F65661">
              <w:rPr>
                <w:rFonts w:ascii="Times New Roman" w:hAnsi="Times New Roman" w:cs="Times New Roman"/>
                <w:sz w:val="24"/>
                <w:szCs w:val="24"/>
              </w:rPr>
              <w:t>vienota</w:t>
            </w:r>
            <w:r w:rsidR="00984050" w:rsidRPr="00F65661">
              <w:rPr>
                <w:rFonts w:ascii="Times New Roman" w:hAnsi="Times New Roman" w:cs="Times New Roman"/>
                <w:sz w:val="24"/>
                <w:szCs w:val="24"/>
              </w:rPr>
              <w:t>s</w:t>
            </w:r>
            <w:r w:rsidR="003C0EE6" w:rsidRPr="00F65661">
              <w:rPr>
                <w:rFonts w:ascii="Times New Roman" w:hAnsi="Times New Roman" w:cs="Times New Roman"/>
                <w:sz w:val="24"/>
                <w:szCs w:val="24"/>
              </w:rPr>
              <w:t xml:space="preserve"> </w:t>
            </w:r>
            <w:r w:rsidR="00984050" w:rsidRPr="00F65661">
              <w:rPr>
                <w:rFonts w:ascii="Times New Roman" w:hAnsi="Times New Roman" w:cs="Times New Roman"/>
                <w:sz w:val="24"/>
                <w:szCs w:val="24"/>
              </w:rPr>
              <w:t xml:space="preserve">prasības </w:t>
            </w:r>
            <w:r w:rsidR="00984050" w:rsidRPr="002C6CCF">
              <w:rPr>
                <w:rFonts w:ascii="Times New Roman" w:hAnsi="Times New Roman" w:cs="Times New Roman"/>
                <w:sz w:val="24"/>
                <w:szCs w:val="24"/>
              </w:rPr>
              <w:t>Likuma 28.</w:t>
            </w:r>
            <w:r w:rsidR="003B5091" w:rsidRPr="002C6CCF">
              <w:rPr>
                <w:rFonts w:ascii="Times New Roman" w:hAnsi="Times New Roman" w:cs="Times New Roman"/>
                <w:sz w:val="24"/>
                <w:szCs w:val="24"/>
              </w:rPr>
              <w:t> </w:t>
            </w:r>
            <w:r w:rsidR="00984050" w:rsidRPr="002C6CCF">
              <w:rPr>
                <w:rFonts w:ascii="Times New Roman" w:hAnsi="Times New Roman" w:cs="Times New Roman"/>
                <w:sz w:val="24"/>
                <w:szCs w:val="24"/>
              </w:rPr>
              <w:t xml:space="preserve">pantā </w:t>
            </w:r>
            <w:r w:rsidR="009E69EA">
              <w:rPr>
                <w:rFonts w:ascii="Times New Roman" w:hAnsi="Times New Roman" w:cs="Times New Roman"/>
                <w:sz w:val="24"/>
                <w:szCs w:val="24"/>
              </w:rPr>
              <w:t>noteikto</w:t>
            </w:r>
            <w:r w:rsidR="009E69EA" w:rsidRPr="002C6CCF">
              <w:rPr>
                <w:rFonts w:ascii="Times New Roman" w:hAnsi="Times New Roman" w:cs="Times New Roman"/>
                <w:sz w:val="24"/>
                <w:szCs w:val="24"/>
              </w:rPr>
              <w:t xml:space="preserve"> </w:t>
            </w:r>
            <w:r w:rsidR="00484852" w:rsidRPr="00484852">
              <w:rPr>
                <w:rFonts w:ascii="Times New Roman" w:hAnsi="Times New Roman" w:cs="Times New Roman"/>
                <w:sz w:val="24"/>
                <w:szCs w:val="24"/>
              </w:rPr>
              <w:t xml:space="preserve">finansiālā atbalsta sniegšanas </w:t>
            </w:r>
            <w:r w:rsidR="00984050" w:rsidRPr="002C6CCF">
              <w:rPr>
                <w:rFonts w:ascii="Times New Roman" w:hAnsi="Times New Roman" w:cs="Times New Roman"/>
                <w:sz w:val="24"/>
                <w:szCs w:val="24"/>
              </w:rPr>
              <w:t xml:space="preserve">nosacījumu </w:t>
            </w:r>
            <w:r w:rsidR="002C6CCF" w:rsidRPr="002C6CCF">
              <w:rPr>
                <w:rFonts w:ascii="Times New Roman" w:hAnsi="Times New Roman" w:cs="Times New Roman"/>
                <w:sz w:val="24"/>
                <w:szCs w:val="24"/>
              </w:rPr>
              <w:t>izpildes</w:t>
            </w:r>
            <w:r w:rsidR="002C6CCF">
              <w:rPr>
                <w:rFonts w:ascii="Times New Roman" w:hAnsi="Times New Roman" w:cs="Times New Roman"/>
                <w:sz w:val="24"/>
                <w:szCs w:val="24"/>
              </w:rPr>
              <w:t xml:space="preserve"> </w:t>
            </w:r>
            <w:r w:rsidR="007331DF">
              <w:rPr>
                <w:rFonts w:ascii="Times New Roman" w:hAnsi="Times New Roman" w:cs="Times New Roman"/>
                <w:sz w:val="24"/>
                <w:szCs w:val="24"/>
              </w:rPr>
              <w:t>izvērtēšanai</w:t>
            </w:r>
            <w:r w:rsidRPr="00F65661">
              <w:rPr>
                <w:rFonts w:ascii="Times New Roman" w:hAnsi="Times New Roman" w:cs="Times New Roman"/>
                <w:sz w:val="24"/>
                <w:szCs w:val="24"/>
              </w:rPr>
              <w:t>;</w:t>
            </w:r>
          </w:p>
          <w:p w14:paraId="7D96E7E9" w14:textId="5F402A36" w:rsidR="008C18C8" w:rsidRPr="00F65661" w:rsidRDefault="008C18C8" w:rsidP="008C18C8">
            <w:pPr>
              <w:jc w:val="both"/>
              <w:rPr>
                <w:rFonts w:ascii="Times New Roman" w:hAnsi="Times New Roman" w:cs="Times New Roman"/>
                <w:sz w:val="24"/>
                <w:szCs w:val="24"/>
              </w:rPr>
            </w:pPr>
            <w:r w:rsidRPr="00F65661">
              <w:rPr>
                <w:rFonts w:ascii="Times New Roman" w:hAnsi="Times New Roman" w:cs="Times New Roman"/>
                <w:sz w:val="24"/>
                <w:szCs w:val="24"/>
              </w:rPr>
              <w:t xml:space="preserve">2) atbilstošākais veids, kā noteikt finanšu tirgus dalībniekiem </w:t>
            </w:r>
            <w:r w:rsidR="00135993" w:rsidRPr="00F65661">
              <w:rPr>
                <w:rFonts w:ascii="Times New Roman" w:hAnsi="Times New Roman" w:cs="Times New Roman"/>
                <w:sz w:val="24"/>
                <w:szCs w:val="24"/>
              </w:rPr>
              <w:t xml:space="preserve">vienotas </w:t>
            </w:r>
            <w:r w:rsidR="00316937">
              <w:rPr>
                <w:rFonts w:ascii="Times New Roman" w:hAnsi="Times New Roman" w:cs="Times New Roman"/>
                <w:sz w:val="24"/>
                <w:szCs w:val="24"/>
              </w:rPr>
              <w:t xml:space="preserve">un saistošas </w:t>
            </w:r>
            <w:r w:rsidR="00135993" w:rsidRPr="00F65661">
              <w:rPr>
                <w:rFonts w:ascii="Times New Roman" w:hAnsi="Times New Roman" w:cs="Times New Roman"/>
                <w:sz w:val="24"/>
                <w:szCs w:val="24"/>
              </w:rPr>
              <w:t>prasības</w:t>
            </w:r>
            <w:r w:rsidR="00316937">
              <w:rPr>
                <w:rFonts w:ascii="Times New Roman" w:hAnsi="Times New Roman" w:cs="Times New Roman"/>
                <w:sz w:val="24"/>
                <w:szCs w:val="24"/>
              </w:rPr>
              <w:t>,</w:t>
            </w:r>
            <w:r w:rsidR="00984050" w:rsidRPr="00F65661">
              <w:rPr>
                <w:rFonts w:ascii="Times New Roman" w:hAnsi="Times New Roman" w:cs="Times New Roman"/>
                <w:sz w:val="24"/>
                <w:szCs w:val="24"/>
              </w:rPr>
              <w:t xml:space="preserve"> </w:t>
            </w:r>
            <w:r w:rsidR="00316937" w:rsidRPr="00316937">
              <w:rPr>
                <w:rFonts w:ascii="Times New Roman" w:hAnsi="Times New Roman" w:cs="Times New Roman"/>
                <w:sz w:val="24"/>
                <w:szCs w:val="24"/>
              </w:rPr>
              <w:t xml:space="preserve">tādējādi nodrošinot vienotu </w:t>
            </w:r>
            <w:r w:rsidR="007331DF">
              <w:rPr>
                <w:rFonts w:ascii="Times New Roman" w:hAnsi="Times New Roman" w:cs="Times New Roman"/>
                <w:sz w:val="24"/>
                <w:szCs w:val="24"/>
              </w:rPr>
              <w:t xml:space="preserve">finanšu </w:t>
            </w:r>
            <w:r w:rsidR="00316937" w:rsidRPr="00316937">
              <w:rPr>
                <w:rFonts w:ascii="Times New Roman" w:hAnsi="Times New Roman" w:cs="Times New Roman"/>
                <w:sz w:val="24"/>
                <w:szCs w:val="24"/>
              </w:rPr>
              <w:t>tirgus dalībnieku izpratni un pieeju,</w:t>
            </w:r>
            <w:r w:rsidRPr="00F65661">
              <w:rPr>
                <w:rFonts w:ascii="Times New Roman" w:hAnsi="Times New Roman" w:cs="Times New Roman"/>
                <w:sz w:val="24"/>
                <w:szCs w:val="24"/>
              </w:rPr>
              <w:t xml:space="preserve"> ir izdot finanšu </w:t>
            </w:r>
            <w:r w:rsidRPr="00F65661">
              <w:rPr>
                <w:rFonts w:ascii="Times New Roman" w:hAnsi="Times New Roman" w:cs="Times New Roman"/>
                <w:sz w:val="24"/>
                <w:szCs w:val="24"/>
              </w:rPr>
              <w:lastRenderedPageBreak/>
              <w:t>tirgus dalībniekiem saistošus noteikumus. Citas alternatīvas jautājuma noregulēšanai un vienotu prasību noteikšanai nebūtu efektīvas un nesasniegtu izvirzīto mērķi, jo nenodrošinātu minēto prasību vienveidīgu piemērošanu.</w:t>
            </w:r>
          </w:p>
          <w:p w14:paraId="128C5661" w14:textId="77777777" w:rsidR="00BE3D09" w:rsidRPr="00F65661" w:rsidRDefault="00BE3D09" w:rsidP="00DD59EA">
            <w:pPr>
              <w:jc w:val="both"/>
              <w:rPr>
                <w:rFonts w:ascii="Times New Roman" w:hAnsi="Times New Roman" w:cs="Times New Roman"/>
                <w:sz w:val="24"/>
                <w:szCs w:val="24"/>
              </w:rPr>
            </w:pPr>
          </w:p>
          <w:p w14:paraId="222D0D5A" w14:textId="54126952" w:rsidR="00BE3D09" w:rsidRPr="00F65661" w:rsidRDefault="00BE3D09" w:rsidP="00BE3D09">
            <w:pPr>
              <w:jc w:val="both"/>
              <w:rPr>
                <w:rFonts w:ascii="Times New Roman" w:hAnsi="Times New Roman" w:cs="Times New Roman"/>
                <w:sz w:val="24"/>
                <w:szCs w:val="24"/>
              </w:rPr>
            </w:pPr>
            <w:r w:rsidRPr="00F65661">
              <w:rPr>
                <w:rFonts w:ascii="Times New Roman" w:hAnsi="Times New Roman" w:cs="Times New Roman"/>
                <w:sz w:val="24"/>
                <w:szCs w:val="24"/>
              </w:rPr>
              <w:t xml:space="preserve">Izraugoties piemērotāko līdzekli leģitīmā mērķa sasniegšanai, Latvijas Banka izvērtēja, ka nebūtu atbilstoši izdot, piemēram, zemāka ranga normatīvos aktus, kuri nebūtu finanšu tirgus dalībniekam juridiski saistoši. Turklāt </w:t>
            </w:r>
            <w:r w:rsidR="00B27B70" w:rsidRPr="00F65661">
              <w:rPr>
                <w:rFonts w:ascii="Times New Roman" w:hAnsi="Times New Roman" w:cs="Times New Roman"/>
                <w:sz w:val="24"/>
                <w:szCs w:val="24"/>
              </w:rPr>
              <w:t xml:space="preserve">noteikumu </w:t>
            </w:r>
            <w:r w:rsidRPr="00F65661">
              <w:rPr>
                <w:rFonts w:ascii="Times New Roman" w:hAnsi="Times New Roman" w:cs="Times New Roman"/>
                <w:sz w:val="24"/>
                <w:szCs w:val="24"/>
              </w:rPr>
              <w:t xml:space="preserve">projekta izstrādi pilnvarojošā norma skaidri norāda uz </w:t>
            </w:r>
            <w:r w:rsidR="00710DA5">
              <w:rPr>
                <w:rFonts w:ascii="Times New Roman" w:hAnsi="Times New Roman" w:cs="Times New Roman"/>
                <w:sz w:val="24"/>
                <w:szCs w:val="24"/>
              </w:rPr>
              <w:t xml:space="preserve">tiesībām </w:t>
            </w:r>
            <w:r w:rsidR="00710DA5" w:rsidRPr="00F65661">
              <w:rPr>
                <w:rFonts w:ascii="Times New Roman" w:hAnsi="Times New Roman" w:cs="Times New Roman"/>
                <w:sz w:val="24"/>
                <w:szCs w:val="24"/>
              </w:rPr>
              <w:t>izstrād</w:t>
            </w:r>
            <w:r w:rsidR="00710DA5">
              <w:rPr>
                <w:rFonts w:ascii="Times New Roman" w:hAnsi="Times New Roman" w:cs="Times New Roman"/>
                <w:sz w:val="24"/>
                <w:szCs w:val="24"/>
              </w:rPr>
              <w:t>āt</w:t>
            </w:r>
            <w:r w:rsidR="00710DA5" w:rsidRPr="00F65661">
              <w:rPr>
                <w:rFonts w:ascii="Times New Roman" w:hAnsi="Times New Roman" w:cs="Times New Roman"/>
                <w:sz w:val="24"/>
                <w:szCs w:val="24"/>
              </w:rPr>
              <w:t xml:space="preserve"> </w:t>
            </w:r>
            <w:r w:rsidRPr="00F65661">
              <w:rPr>
                <w:rFonts w:ascii="Times New Roman" w:hAnsi="Times New Roman" w:cs="Times New Roman"/>
                <w:sz w:val="24"/>
                <w:szCs w:val="24"/>
              </w:rPr>
              <w:t>noteikumu</w:t>
            </w:r>
            <w:r w:rsidR="00710DA5">
              <w:rPr>
                <w:rFonts w:ascii="Times New Roman" w:hAnsi="Times New Roman" w:cs="Times New Roman"/>
                <w:sz w:val="24"/>
                <w:szCs w:val="24"/>
              </w:rPr>
              <w:t>s</w:t>
            </w:r>
            <w:r w:rsidRPr="00F65661">
              <w:rPr>
                <w:rFonts w:ascii="Times New Roman" w:hAnsi="Times New Roman" w:cs="Times New Roman"/>
                <w:sz w:val="24"/>
                <w:szCs w:val="24"/>
              </w:rPr>
              <w:t xml:space="preserve">. </w:t>
            </w:r>
          </w:p>
          <w:p w14:paraId="573843CE" w14:textId="77777777" w:rsidR="008C18C8" w:rsidRPr="00F65661" w:rsidRDefault="008C18C8" w:rsidP="00BE3D09">
            <w:pPr>
              <w:jc w:val="both"/>
              <w:rPr>
                <w:rFonts w:ascii="Times New Roman" w:hAnsi="Times New Roman" w:cs="Times New Roman"/>
                <w:sz w:val="24"/>
                <w:szCs w:val="24"/>
              </w:rPr>
            </w:pPr>
          </w:p>
          <w:p w14:paraId="12569A52" w14:textId="20B79F80" w:rsidR="003604DF" w:rsidRPr="00F65661" w:rsidRDefault="00BE3D09" w:rsidP="00BE3D09">
            <w:pPr>
              <w:jc w:val="both"/>
              <w:rPr>
                <w:rFonts w:ascii="Times New Roman" w:hAnsi="Times New Roman" w:cs="Times New Roman"/>
                <w:sz w:val="24"/>
                <w:szCs w:val="24"/>
              </w:rPr>
            </w:pPr>
            <w:r w:rsidRPr="00F65661">
              <w:rPr>
                <w:rFonts w:ascii="Times New Roman" w:hAnsi="Times New Roman" w:cs="Times New Roman"/>
                <w:sz w:val="24"/>
                <w:szCs w:val="24"/>
              </w:rPr>
              <w:t xml:space="preserve">Ņemot vērā iepriekš minētos apstākļus, sabiedrības ieguvums būs lielāks par papildu slogu un resursu ieguldījumu, kas konkrētajam finanšu tirgus dalībniekam varētu rasties ar uzliktajiem pienākumiem, un tos atsver sagaidāmie ilgtermiņa ieguvumi no vienotas pieejas </w:t>
            </w:r>
            <w:r w:rsidR="001E4DCD" w:rsidRPr="002C6CCF">
              <w:rPr>
                <w:rFonts w:ascii="Times New Roman" w:hAnsi="Times New Roman" w:cs="Times New Roman"/>
                <w:sz w:val="24"/>
                <w:szCs w:val="24"/>
              </w:rPr>
              <w:t>Likuma 28.</w:t>
            </w:r>
            <w:r w:rsidR="003B5091" w:rsidRPr="002C6CCF">
              <w:rPr>
                <w:rFonts w:ascii="Times New Roman" w:hAnsi="Times New Roman" w:cs="Times New Roman"/>
                <w:sz w:val="24"/>
                <w:szCs w:val="24"/>
              </w:rPr>
              <w:t> </w:t>
            </w:r>
            <w:r w:rsidR="001E4DCD" w:rsidRPr="002C6CCF">
              <w:rPr>
                <w:rFonts w:ascii="Times New Roman" w:hAnsi="Times New Roman" w:cs="Times New Roman"/>
                <w:sz w:val="24"/>
                <w:szCs w:val="24"/>
              </w:rPr>
              <w:t xml:space="preserve">pantā norādīto </w:t>
            </w:r>
            <w:r w:rsidR="00484852" w:rsidRPr="00484852">
              <w:rPr>
                <w:rFonts w:ascii="Times New Roman" w:hAnsi="Times New Roman" w:cs="Times New Roman"/>
                <w:sz w:val="24"/>
                <w:szCs w:val="24"/>
              </w:rPr>
              <w:t xml:space="preserve">finansiālā atbalsta sniegšanas </w:t>
            </w:r>
            <w:r w:rsidR="001E4DCD" w:rsidRPr="002C6CCF">
              <w:rPr>
                <w:rFonts w:ascii="Times New Roman" w:hAnsi="Times New Roman" w:cs="Times New Roman"/>
                <w:sz w:val="24"/>
                <w:szCs w:val="24"/>
              </w:rPr>
              <w:t xml:space="preserve">nosacījumu </w:t>
            </w:r>
            <w:r w:rsidR="002C6CCF" w:rsidRPr="002C6CCF">
              <w:rPr>
                <w:rFonts w:ascii="Times New Roman" w:hAnsi="Times New Roman" w:cs="Times New Roman"/>
                <w:sz w:val="24"/>
                <w:szCs w:val="24"/>
              </w:rPr>
              <w:t xml:space="preserve">izpildes </w:t>
            </w:r>
            <w:r w:rsidR="00452D04">
              <w:rPr>
                <w:rFonts w:ascii="Times New Roman" w:hAnsi="Times New Roman" w:cs="Times New Roman"/>
                <w:sz w:val="24"/>
                <w:szCs w:val="24"/>
              </w:rPr>
              <w:t>izvērtēšanai</w:t>
            </w:r>
            <w:r w:rsidR="008F759A" w:rsidRPr="00F65661">
              <w:rPr>
                <w:rFonts w:ascii="Times New Roman" w:hAnsi="Times New Roman" w:cs="Times New Roman"/>
                <w:sz w:val="24"/>
                <w:szCs w:val="24"/>
              </w:rPr>
              <w:t xml:space="preserve"> un </w:t>
            </w:r>
            <w:r w:rsidRPr="00F65661">
              <w:rPr>
                <w:rFonts w:ascii="Times New Roman" w:hAnsi="Times New Roman" w:cs="Times New Roman"/>
                <w:sz w:val="24"/>
                <w:szCs w:val="24"/>
              </w:rPr>
              <w:t>līdz ar to arī no stabilāka finanšu sektora.</w:t>
            </w:r>
          </w:p>
        </w:tc>
      </w:tr>
      <w:tr w:rsidR="00A61684" w:rsidRPr="00A61684" w14:paraId="73006DC9" w14:textId="77777777" w:rsidTr="009B620B">
        <w:tc>
          <w:tcPr>
            <w:tcW w:w="1980" w:type="dxa"/>
          </w:tcPr>
          <w:p w14:paraId="57036A8D" w14:textId="75F5C14E" w:rsidR="00ED3376" w:rsidRPr="00A202C9" w:rsidRDefault="009E6A95" w:rsidP="00CB2ED4">
            <w:pPr>
              <w:jc w:val="both"/>
              <w:rPr>
                <w:rFonts w:ascii="Times New Roman" w:hAnsi="Times New Roman" w:cs="Times New Roman"/>
                <w:b/>
                <w:bCs/>
                <w:sz w:val="24"/>
                <w:szCs w:val="24"/>
              </w:rPr>
            </w:pPr>
            <w:r w:rsidRPr="00A202C9">
              <w:rPr>
                <w:rFonts w:ascii="Times New Roman" w:hAnsi="Times New Roman" w:cs="Times New Roman"/>
                <w:b/>
                <w:bCs/>
                <w:sz w:val="24"/>
                <w:szCs w:val="24"/>
              </w:rPr>
              <w:lastRenderedPageBreak/>
              <w:t>Spēkā stāšanās</w:t>
            </w:r>
          </w:p>
        </w:tc>
        <w:tc>
          <w:tcPr>
            <w:tcW w:w="6379" w:type="dxa"/>
          </w:tcPr>
          <w:p w14:paraId="391B9A6F" w14:textId="00069FEA" w:rsidR="00D34E4F" w:rsidRPr="002C640D" w:rsidRDefault="002C640D" w:rsidP="00CB2ED4">
            <w:pPr>
              <w:jc w:val="both"/>
              <w:rPr>
                <w:rFonts w:ascii="Times New Roman" w:hAnsi="Times New Roman" w:cs="Times New Roman"/>
                <w:sz w:val="24"/>
                <w:szCs w:val="24"/>
              </w:rPr>
            </w:pPr>
            <w:r w:rsidRPr="002C640D">
              <w:rPr>
                <w:rFonts w:ascii="Times New Roman" w:hAnsi="Times New Roman" w:cs="Times New Roman"/>
                <w:sz w:val="24"/>
                <w:szCs w:val="24"/>
              </w:rPr>
              <w:t>Nākamajā dienā pēc publicēšanas oficiālajā izdevumā "Latvijas Vēstnesis".</w:t>
            </w:r>
          </w:p>
        </w:tc>
      </w:tr>
      <w:tr w:rsidR="00A61684" w:rsidRPr="00A61684" w14:paraId="3E1DDE9F" w14:textId="77777777" w:rsidTr="009B620B">
        <w:tc>
          <w:tcPr>
            <w:tcW w:w="1980" w:type="dxa"/>
          </w:tcPr>
          <w:p w14:paraId="5FBEDEFD" w14:textId="3E1395CD" w:rsidR="00ED3376" w:rsidRPr="00A202C9" w:rsidRDefault="009E6A95" w:rsidP="00CB2ED4">
            <w:pPr>
              <w:jc w:val="both"/>
              <w:rPr>
                <w:rFonts w:ascii="Times New Roman" w:hAnsi="Times New Roman" w:cs="Times New Roman"/>
                <w:b/>
                <w:bCs/>
                <w:sz w:val="24"/>
                <w:szCs w:val="24"/>
              </w:rPr>
            </w:pPr>
            <w:r w:rsidRPr="00A202C9">
              <w:rPr>
                <w:rFonts w:ascii="Times New Roman" w:hAnsi="Times New Roman" w:cs="Times New Roman"/>
                <w:b/>
                <w:bCs/>
                <w:sz w:val="24"/>
                <w:szCs w:val="24"/>
              </w:rPr>
              <w:t>Ietekme uz Latvijas Bankas budžetu</w:t>
            </w:r>
          </w:p>
        </w:tc>
        <w:tc>
          <w:tcPr>
            <w:tcW w:w="6379" w:type="dxa"/>
            <w:shd w:val="clear" w:color="auto" w:fill="auto"/>
          </w:tcPr>
          <w:p w14:paraId="387D687A" w14:textId="65537675" w:rsidR="009E6A95" w:rsidRPr="00710686" w:rsidRDefault="00952874" w:rsidP="00CB2ED4">
            <w:pPr>
              <w:jc w:val="both"/>
              <w:rPr>
                <w:rFonts w:ascii="Times New Roman" w:hAnsi="Times New Roman" w:cs="Times New Roman"/>
                <w:sz w:val="24"/>
                <w:szCs w:val="24"/>
              </w:rPr>
            </w:pPr>
            <w:r w:rsidRPr="00710686">
              <w:rPr>
                <w:rFonts w:ascii="Times New Roman" w:hAnsi="Times New Roman" w:cs="Times New Roman"/>
                <w:sz w:val="24"/>
                <w:szCs w:val="24"/>
              </w:rPr>
              <w:t>Noteikumu izdošana nerada ietekmi uz Latvijas Bankas budžetu.</w:t>
            </w:r>
          </w:p>
        </w:tc>
      </w:tr>
      <w:tr w:rsidR="00A61684" w:rsidRPr="00A61684" w14:paraId="4266A97A" w14:textId="77777777" w:rsidTr="009B620B">
        <w:tc>
          <w:tcPr>
            <w:tcW w:w="1980" w:type="dxa"/>
          </w:tcPr>
          <w:p w14:paraId="2C58F0AD" w14:textId="47E8C03B" w:rsidR="001A2F7D" w:rsidRPr="002963A3" w:rsidRDefault="0099611F" w:rsidP="00CB2ED4">
            <w:pPr>
              <w:jc w:val="both"/>
              <w:rPr>
                <w:rFonts w:ascii="Times New Roman" w:hAnsi="Times New Roman" w:cs="Times New Roman"/>
                <w:b/>
                <w:bCs/>
                <w:sz w:val="24"/>
                <w:szCs w:val="24"/>
              </w:rPr>
            </w:pPr>
            <w:r w:rsidRPr="00A202C9">
              <w:rPr>
                <w:rFonts w:ascii="Times New Roman" w:hAnsi="Times New Roman" w:cs="Times New Roman"/>
                <w:b/>
                <w:bCs/>
                <w:sz w:val="24"/>
                <w:szCs w:val="24"/>
              </w:rPr>
              <w:t>Administratīvā sloga un izmaksu novērtējums (tirgus dalībniekiem)</w:t>
            </w:r>
          </w:p>
        </w:tc>
        <w:tc>
          <w:tcPr>
            <w:tcW w:w="6379" w:type="dxa"/>
          </w:tcPr>
          <w:p w14:paraId="629E94C2" w14:textId="6C338236" w:rsidR="00621993" w:rsidRDefault="006A70EB" w:rsidP="001E4DCD">
            <w:pPr>
              <w:jc w:val="both"/>
              <w:rPr>
                <w:rFonts w:ascii="Times New Roman" w:hAnsi="Times New Roman" w:cs="Times New Roman"/>
                <w:sz w:val="24"/>
                <w:szCs w:val="24"/>
                <w:lang w:eastAsia="lv-LV"/>
              </w:rPr>
            </w:pPr>
            <w:r>
              <w:rPr>
                <w:rFonts w:ascii="Times New Roman" w:hAnsi="Times New Roman" w:cs="Times New Roman"/>
                <w:sz w:val="24"/>
                <w:szCs w:val="24"/>
                <w:lang w:eastAsia="lv-LV"/>
              </w:rPr>
              <w:t>N</w:t>
            </w:r>
            <w:r w:rsidR="00E45F88">
              <w:rPr>
                <w:rFonts w:ascii="Times New Roman" w:hAnsi="Times New Roman" w:cs="Times New Roman"/>
                <w:sz w:val="24"/>
                <w:szCs w:val="24"/>
                <w:lang w:eastAsia="lv-LV"/>
              </w:rPr>
              <w:t xml:space="preserve">oteikumu projekts ievieš papildu prasību </w:t>
            </w:r>
            <w:r w:rsidR="00156609">
              <w:rPr>
                <w:rFonts w:ascii="Times New Roman" w:hAnsi="Times New Roman" w:cs="Times New Roman"/>
                <w:sz w:val="24"/>
                <w:szCs w:val="24"/>
                <w:lang w:eastAsia="lv-LV"/>
              </w:rPr>
              <w:t>analizēt</w:t>
            </w:r>
            <w:r w:rsidR="00E45F88">
              <w:rPr>
                <w:rFonts w:ascii="Times New Roman" w:hAnsi="Times New Roman" w:cs="Times New Roman"/>
                <w:sz w:val="24"/>
                <w:szCs w:val="24"/>
                <w:lang w:eastAsia="lv-LV"/>
              </w:rPr>
              <w:t xml:space="preserve">, vai </w:t>
            </w:r>
            <w:r w:rsidR="00156609" w:rsidRPr="00156609">
              <w:rPr>
                <w:rFonts w:ascii="Times New Roman" w:hAnsi="Times New Roman" w:cs="Times New Roman"/>
                <w:sz w:val="24"/>
                <w:szCs w:val="24"/>
                <w:lang w:eastAsia="lv-LV"/>
              </w:rPr>
              <w:t>atbalstu sniedzoš</w:t>
            </w:r>
            <w:r w:rsidR="00156609">
              <w:rPr>
                <w:rFonts w:ascii="Times New Roman" w:hAnsi="Times New Roman" w:cs="Times New Roman"/>
                <w:sz w:val="24"/>
                <w:szCs w:val="24"/>
                <w:lang w:eastAsia="lv-LV"/>
              </w:rPr>
              <w:t>ā</w:t>
            </w:r>
            <w:r w:rsidR="00156609" w:rsidRPr="00156609">
              <w:rPr>
                <w:rFonts w:ascii="Times New Roman" w:hAnsi="Times New Roman" w:cs="Times New Roman"/>
                <w:sz w:val="24"/>
                <w:szCs w:val="24"/>
                <w:lang w:eastAsia="lv-LV"/>
              </w:rPr>
              <w:t xml:space="preserve"> grupas sabiedrība</w:t>
            </w:r>
            <w:r w:rsidR="00156609">
              <w:rPr>
                <w:rFonts w:ascii="Times New Roman" w:hAnsi="Times New Roman" w:cs="Times New Roman"/>
                <w:sz w:val="24"/>
                <w:szCs w:val="24"/>
                <w:lang w:eastAsia="lv-LV"/>
              </w:rPr>
              <w:t xml:space="preserve"> </w:t>
            </w:r>
            <w:r w:rsidR="00156609" w:rsidRPr="00156609">
              <w:rPr>
                <w:rFonts w:ascii="Times New Roman" w:hAnsi="Times New Roman" w:cs="Times New Roman"/>
                <w:sz w:val="24"/>
                <w:szCs w:val="24"/>
                <w:lang w:eastAsia="lv-LV"/>
              </w:rPr>
              <w:t xml:space="preserve">finansiālā atbalsta sniegšanas brīdī izpilda tai </w:t>
            </w:r>
            <w:r w:rsidR="00484852">
              <w:rPr>
                <w:rFonts w:ascii="Times New Roman" w:hAnsi="Times New Roman" w:cs="Times New Roman"/>
                <w:sz w:val="24"/>
                <w:szCs w:val="24"/>
                <w:lang w:eastAsia="lv-LV"/>
              </w:rPr>
              <w:t xml:space="preserve">attiecīgi </w:t>
            </w:r>
            <w:r w:rsidR="00156609" w:rsidRPr="007331DF">
              <w:rPr>
                <w:rFonts w:ascii="Times New Roman" w:hAnsi="Times New Roman" w:cs="Times New Roman"/>
                <w:sz w:val="24"/>
                <w:szCs w:val="24"/>
                <w:lang w:eastAsia="lv-LV"/>
              </w:rPr>
              <w:t>saskaņā ar Kredītiestāžu likuma 101.</w:t>
            </w:r>
            <w:r w:rsidR="00156609" w:rsidRPr="007331DF">
              <w:rPr>
                <w:rFonts w:ascii="Times New Roman" w:hAnsi="Times New Roman" w:cs="Times New Roman"/>
                <w:sz w:val="24"/>
                <w:szCs w:val="24"/>
                <w:vertAlign w:val="superscript"/>
                <w:lang w:eastAsia="lv-LV"/>
              </w:rPr>
              <w:t>17 </w:t>
            </w:r>
            <w:r w:rsidR="00156609" w:rsidRPr="007331DF">
              <w:rPr>
                <w:rFonts w:ascii="Times New Roman" w:hAnsi="Times New Roman" w:cs="Times New Roman"/>
                <w:sz w:val="24"/>
                <w:szCs w:val="24"/>
                <w:lang w:eastAsia="lv-LV"/>
              </w:rPr>
              <w:t xml:space="preserve">pantu </w:t>
            </w:r>
            <w:r w:rsidR="001800E3" w:rsidRPr="007331DF">
              <w:rPr>
                <w:rFonts w:ascii="Times New Roman" w:hAnsi="Times New Roman" w:cs="Times New Roman"/>
                <w:sz w:val="24"/>
                <w:szCs w:val="24"/>
                <w:lang w:eastAsia="lv-LV"/>
              </w:rPr>
              <w:t>vai Ieguldījumu brokeru sabiedrību likuma 55.</w:t>
            </w:r>
            <w:r w:rsidR="00940C85">
              <w:rPr>
                <w:rFonts w:ascii="Times New Roman" w:hAnsi="Times New Roman" w:cs="Times New Roman"/>
                <w:sz w:val="24"/>
                <w:szCs w:val="24"/>
                <w:lang w:eastAsia="lv-LV"/>
              </w:rPr>
              <w:t> </w:t>
            </w:r>
            <w:r w:rsidR="001800E3" w:rsidRPr="007331DF">
              <w:rPr>
                <w:rFonts w:ascii="Times New Roman" w:hAnsi="Times New Roman" w:cs="Times New Roman"/>
                <w:sz w:val="24"/>
                <w:szCs w:val="24"/>
                <w:lang w:eastAsia="lv-LV"/>
              </w:rPr>
              <w:t xml:space="preserve">pantu </w:t>
            </w:r>
            <w:r w:rsidR="00156609" w:rsidRPr="007331DF">
              <w:rPr>
                <w:rFonts w:ascii="Times New Roman" w:hAnsi="Times New Roman" w:cs="Times New Roman"/>
                <w:sz w:val="24"/>
                <w:szCs w:val="24"/>
                <w:lang w:eastAsia="lv-LV"/>
              </w:rPr>
              <w:t>noteikto ieteicamo kapitāla rezerves prasību</w:t>
            </w:r>
            <w:r w:rsidR="00156609" w:rsidRPr="00156609">
              <w:rPr>
                <w:rFonts w:ascii="Times New Roman" w:hAnsi="Times New Roman" w:cs="Times New Roman"/>
                <w:sz w:val="24"/>
                <w:szCs w:val="24"/>
                <w:lang w:eastAsia="lv-LV"/>
              </w:rPr>
              <w:t xml:space="preserve">, kā arī to, </w:t>
            </w:r>
            <w:r w:rsidR="005B4E58">
              <w:rPr>
                <w:rFonts w:ascii="Times New Roman" w:hAnsi="Times New Roman" w:cs="Times New Roman"/>
                <w:sz w:val="24"/>
                <w:szCs w:val="24"/>
                <w:lang w:eastAsia="lv-LV"/>
              </w:rPr>
              <w:t>vai</w:t>
            </w:r>
            <w:r w:rsidR="005B4E58" w:rsidRPr="00156609">
              <w:rPr>
                <w:rFonts w:ascii="Times New Roman" w:hAnsi="Times New Roman" w:cs="Times New Roman"/>
                <w:sz w:val="24"/>
                <w:szCs w:val="24"/>
                <w:lang w:eastAsia="lv-LV"/>
              </w:rPr>
              <w:t xml:space="preserve"> </w:t>
            </w:r>
            <w:r w:rsidR="00156609" w:rsidRPr="00156609">
              <w:rPr>
                <w:rFonts w:ascii="Times New Roman" w:hAnsi="Times New Roman" w:cs="Times New Roman"/>
                <w:sz w:val="24"/>
                <w:szCs w:val="24"/>
                <w:lang w:eastAsia="lv-LV"/>
              </w:rPr>
              <w:t xml:space="preserve">finansiālā atbalsta sniegšana nav iemesls, lai pārkāptu </w:t>
            </w:r>
            <w:r w:rsidR="00156609">
              <w:rPr>
                <w:rFonts w:ascii="Times New Roman" w:hAnsi="Times New Roman" w:cs="Times New Roman"/>
                <w:sz w:val="24"/>
                <w:szCs w:val="24"/>
                <w:lang w:eastAsia="lv-LV"/>
              </w:rPr>
              <w:t>minēto prasību</w:t>
            </w:r>
            <w:r w:rsidR="00156609" w:rsidRPr="00156609">
              <w:rPr>
                <w:rFonts w:ascii="Times New Roman" w:hAnsi="Times New Roman" w:cs="Times New Roman"/>
                <w:sz w:val="24"/>
                <w:szCs w:val="24"/>
                <w:lang w:eastAsia="lv-LV"/>
              </w:rPr>
              <w:t xml:space="preserve">, </w:t>
            </w:r>
            <w:r>
              <w:rPr>
                <w:rFonts w:ascii="Times New Roman" w:hAnsi="Times New Roman" w:cs="Times New Roman"/>
                <w:sz w:val="24"/>
                <w:szCs w:val="24"/>
                <w:lang w:eastAsia="lv-LV"/>
              </w:rPr>
              <w:t xml:space="preserve">kas var radīt </w:t>
            </w:r>
            <w:r w:rsidRPr="006A70EB">
              <w:rPr>
                <w:rFonts w:ascii="Times New Roman" w:hAnsi="Times New Roman" w:cs="Times New Roman"/>
                <w:sz w:val="24"/>
                <w:szCs w:val="24"/>
                <w:lang w:eastAsia="lv-LV"/>
              </w:rPr>
              <w:t>tirgus dalībniekiem papildu administratīvo slogu un administratīvās izmaksas</w:t>
            </w:r>
            <w:r>
              <w:rPr>
                <w:rFonts w:ascii="Times New Roman" w:hAnsi="Times New Roman" w:cs="Times New Roman"/>
                <w:sz w:val="24"/>
                <w:szCs w:val="24"/>
                <w:lang w:eastAsia="lv-LV"/>
              </w:rPr>
              <w:t xml:space="preserve">. </w:t>
            </w:r>
            <w:r w:rsidRPr="006A70EB">
              <w:rPr>
                <w:rFonts w:ascii="Times New Roman" w:hAnsi="Times New Roman" w:cs="Times New Roman"/>
                <w:sz w:val="24"/>
                <w:szCs w:val="24"/>
                <w:lang w:eastAsia="lv-LV"/>
              </w:rPr>
              <w:t>Administratīvā sloga un administratīvo izmaksu pieaugumu nav iespējams aprēķināt</w:t>
            </w:r>
            <w:r>
              <w:rPr>
                <w:rFonts w:ascii="Times New Roman" w:hAnsi="Times New Roman" w:cs="Times New Roman"/>
                <w:sz w:val="24"/>
                <w:szCs w:val="24"/>
                <w:lang w:eastAsia="lv-LV"/>
              </w:rPr>
              <w:t xml:space="preserve">, jo </w:t>
            </w:r>
            <w:r w:rsidR="00960B48">
              <w:rPr>
                <w:rFonts w:ascii="Times New Roman" w:hAnsi="Times New Roman" w:cs="Times New Roman"/>
                <w:sz w:val="24"/>
                <w:szCs w:val="24"/>
                <w:lang w:eastAsia="lv-LV"/>
              </w:rPr>
              <w:t xml:space="preserve">tas varētu būt atkarīgs no </w:t>
            </w:r>
            <w:r w:rsidR="00CD31E2">
              <w:rPr>
                <w:rFonts w:ascii="Times New Roman" w:hAnsi="Times New Roman" w:cs="Times New Roman"/>
                <w:sz w:val="24"/>
                <w:szCs w:val="24"/>
                <w:lang w:eastAsia="lv-LV"/>
              </w:rPr>
              <w:t>minētās sabiedrības pašu kapitāla apmēra un ieteicamās kapitāla rezerves prasības ievērošanas līmeņa.</w:t>
            </w:r>
          </w:p>
          <w:p w14:paraId="179E0A92" w14:textId="77777777" w:rsidR="00940C85" w:rsidRDefault="00940C85" w:rsidP="001E4DCD">
            <w:pPr>
              <w:jc w:val="both"/>
              <w:rPr>
                <w:rFonts w:ascii="Times New Roman" w:hAnsi="Times New Roman" w:cs="Times New Roman"/>
                <w:sz w:val="24"/>
                <w:szCs w:val="24"/>
                <w:lang w:eastAsia="lv-LV"/>
              </w:rPr>
            </w:pPr>
          </w:p>
          <w:p w14:paraId="6B15E7B3" w14:textId="44B1F000" w:rsidR="00EF2B72" w:rsidRPr="00D36BD8" w:rsidRDefault="006A70EB" w:rsidP="001E4DCD">
            <w:pPr>
              <w:jc w:val="both"/>
              <w:rPr>
                <w:rFonts w:ascii="Times New Roman" w:hAnsi="Times New Roman" w:cs="Times New Roman"/>
                <w:sz w:val="24"/>
                <w:szCs w:val="24"/>
                <w:lang w:eastAsia="lv-LV"/>
              </w:rPr>
            </w:pPr>
            <w:r>
              <w:rPr>
                <w:rFonts w:ascii="Times New Roman" w:hAnsi="Times New Roman" w:cs="Times New Roman"/>
                <w:sz w:val="24"/>
                <w:szCs w:val="24"/>
                <w:lang w:eastAsia="lv-LV"/>
              </w:rPr>
              <w:t xml:space="preserve">Pārējās noteikumu projektā iekļautās </w:t>
            </w:r>
            <w:r w:rsidR="0001442B">
              <w:rPr>
                <w:rFonts w:ascii="Times New Roman" w:hAnsi="Times New Roman" w:cs="Times New Roman"/>
                <w:sz w:val="24"/>
                <w:szCs w:val="24"/>
                <w:lang w:eastAsia="lv-LV"/>
              </w:rPr>
              <w:t>prasības</w:t>
            </w:r>
            <w:r w:rsidR="0001442B" w:rsidRPr="001E4DCD">
              <w:rPr>
                <w:rFonts w:ascii="Times New Roman" w:hAnsi="Times New Roman" w:cs="Times New Roman"/>
                <w:sz w:val="24"/>
                <w:szCs w:val="24"/>
                <w:lang w:eastAsia="lv-LV"/>
              </w:rPr>
              <w:t xml:space="preserve"> </w:t>
            </w:r>
            <w:r w:rsidRPr="002C6CCF">
              <w:rPr>
                <w:rFonts w:ascii="Times New Roman" w:hAnsi="Times New Roman" w:cs="Times New Roman"/>
                <w:sz w:val="24"/>
                <w:szCs w:val="24"/>
                <w:lang w:eastAsia="lv-LV"/>
              </w:rPr>
              <w:t>atbilst</w:t>
            </w:r>
            <w:r>
              <w:rPr>
                <w:rFonts w:ascii="Times New Roman" w:hAnsi="Times New Roman" w:cs="Times New Roman"/>
                <w:sz w:val="24"/>
                <w:szCs w:val="24"/>
                <w:lang w:eastAsia="lv-LV"/>
              </w:rPr>
              <w:t xml:space="preserve"> </w:t>
            </w:r>
            <w:r w:rsidR="001E4DCD">
              <w:rPr>
                <w:rFonts w:ascii="Times New Roman" w:hAnsi="Times New Roman" w:cs="Times New Roman"/>
                <w:sz w:val="24"/>
                <w:szCs w:val="24"/>
                <w:lang w:eastAsia="lv-LV"/>
              </w:rPr>
              <w:t>Noteikumos Nr.</w:t>
            </w:r>
            <w:r w:rsidR="003B5091">
              <w:rPr>
                <w:rFonts w:ascii="Times New Roman" w:hAnsi="Times New Roman" w:cs="Times New Roman"/>
                <w:sz w:val="24"/>
                <w:szCs w:val="24"/>
                <w:lang w:eastAsia="lv-LV"/>
              </w:rPr>
              <w:t> </w:t>
            </w:r>
            <w:r w:rsidR="001E4DCD">
              <w:rPr>
                <w:rFonts w:ascii="Times New Roman" w:hAnsi="Times New Roman" w:cs="Times New Roman"/>
                <w:sz w:val="24"/>
                <w:szCs w:val="24"/>
                <w:lang w:eastAsia="lv-LV"/>
              </w:rPr>
              <w:t xml:space="preserve">107 </w:t>
            </w:r>
            <w:r>
              <w:rPr>
                <w:rFonts w:ascii="Times New Roman" w:hAnsi="Times New Roman" w:cs="Times New Roman"/>
                <w:sz w:val="24"/>
                <w:szCs w:val="24"/>
                <w:lang w:eastAsia="lv-LV"/>
              </w:rPr>
              <w:t xml:space="preserve">iekļautajām </w:t>
            </w:r>
            <w:r w:rsidR="008F759A" w:rsidRPr="001E4DCD">
              <w:rPr>
                <w:rFonts w:ascii="Times New Roman" w:hAnsi="Times New Roman" w:cs="Times New Roman"/>
                <w:sz w:val="24"/>
                <w:szCs w:val="24"/>
                <w:lang w:eastAsia="lv-LV"/>
              </w:rPr>
              <w:t>prasīb</w:t>
            </w:r>
            <w:r>
              <w:rPr>
                <w:rFonts w:ascii="Times New Roman" w:hAnsi="Times New Roman" w:cs="Times New Roman"/>
                <w:sz w:val="24"/>
                <w:szCs w:val="24"/>
                <w:lang w:eastAsia="lv-LV"/>
              </w:rPr>
              <w:t>ām</w:t>
            </w:r>
            <w:r w:rsidR="00621993">
              <w:rPr>
                <w:rFonts w:ascii="Times New Roman" w:hAnsi="Times New Roman" w:cs="Times New Roman"/>
                <w:sz w:val="24"/>
                <w:szCs w:val="24"/>
                <w:lang w:eastAsia="lv-LV"/>
              </w:rPr>
              <w:t xml:space="preserve"> un tādē</w:t>
            </w:r>
            <w:r w:rsidR="005B4E58">
              <w:rPr>
                <w:rFonts w:ascii="Times New Roman" w:hAnsi="Times New Roman" w:cs="Times New Roman"/>
                <w:sz w:val="24"/>
                <w:szCs w:val="24"/>
                <w:lang w:eastAsia="lv-LV"/>
              </w:rPr>
              <w:t>ļ</w:t>
            </w:r>
            <w:r w:rsidR="00621993">
              <w:rPr>
                <w:rFonts w:ascii="Times New Roman" w:hAnsi="Times New Roman" w:cs="Times New Roman"/>
                <w:sz w:val="24"/>
                <w:szCs w:val="24"/>
                <w:lang w:eastAsia="lv-LV"/>
              </w:rPr>
              <w:t xml:space="preserve"> nerada jaunu administratīvo slogu vai administratīvās izmaksas</w:t>
            </w:r>
            <w:r w:rsidR="006525D1" w:rsidRPr="001E4DCD">
              <w:rPr>
                <w:rFonts w:ascii="Times New Roman" w:hAnsi="Times New Roman" w:cs="Times New Roman"/>
                <w:sz w:val="24"/>
                <w:szCs w:val="24"/>
                <w:lang w:eastAsia="lv-LV"/>
              </w:rPr>
              <w:t xml:space="preserve">. </w:t>
            </w:r>
          </w:p>
        </w:tc>
      </w:tr>
      <w:tr w:rsidR="00A61684" w:rsidRPr="00A61684" w14:paraId="78453D7D" w14:textId="77777777" w:rsidTr="009B620B">
        <w:tc>
          <w:tcPr>
            <w:tcW w:w="1980" w:type="dxa"/>
          </w:tcPr>
          <w:p w14:paraId="5AF60CCD" w14:textId="23B3F531" w:rsidR="00ED3376" w:rsidRPr="00B40708" w:rsidRDefault="009E6A95" w:rsidP="00CB2ED4">
            <w:pPr>
              <w:jc w:val="both"/>
              <w:rPr>
                <w:rFonts w:ascii="Times New Roman" w:hAnsi="Times New Roman" w:cs="Times New Roman"/>
                <w:b/>
                <w:bCs/>
                <w:sz w:val="24"/>
                <w:szCs w:val="24"/>
              </w:rPr>
            </w:pPr>
            <w:r w:rsidRPr="00B40708">
              <w:rPr>
                <w:rFonts w:ascii="Times New Roman" w:hAnsi="Times New Roman" w:cs="Times New Roman"/>
                <w:b/>
                <w:bCs/>
                <w:sz w:val="24"/>
                <w:szCs w:val="24"/>
              </w:rPr>
              <w:t>Saistītie dokumenti</w:t>
            </w:r>
          </w:p>
        </w:tc>
        <w:tc>
          <w:tcPr>
            <w:tcW w:w="6379" w:type="dxa"/>
          </w:tcPr>
          <w:p w14:paraId="30FDFF9D" w14:textId="50125A85" w:rsidR="00BA3B8F" w:rsidRDefault="00BA3B8F" w:rsidP="00BA3B8F">
            <w:pPr>
              <w:pStyle w:val="ListParagraph"/>
              <w:numPr>
                <w:ilvl w:val="0"/>
                <w:numId w:val="9"/>
              </w:numPr>
              <w:tabs>
                <w:tab w:val="left" w:pos="310"/>
              </w:tabs>
              <w:ind w:left="0" w:firstLine="0"/>
              <w:jc w:val="both"/>
              <w:rPr>
                <w:rFonts w:ascii="Times New Roman" w:hAnsi="Times New Roman" w:cs="Times New Roman"/>
                <w:sz w:val="24"/>
                <w:szCs w:val="24"/>
              </w:rPr>
            </w:pPr>
            <w:hyperlink r:id="rId11" w:history="1">
              <w:r>
                <w:rPr>
                  <w:rStyle w:val="Hyperlink"/>
                  <w:rFonts w:ascii="Times New Roman" w:hAnsi="Times New Roman" w:cs="Times New Roman"/>
                  <w:sz w:val="24"/>
                  <w:szCs w:val="24"/>
                </w:rPr>
                <w:t xml:space="preserve">Eiropas Parlamenta un Padomes 2013. gada 26. jūnija regula (ES) Nr. 575/2013 par </w:t>
              </w:r>
              <w:proofErr w:type="spellStart"/>
              <w:r>
                <w:rPr>
                  <w:rStyle w:val="Hyperlink"/>
                  <w:rFonts w:ascii="Times New Roman" w:hAnsi="Times New Roman" w:cs="Times New Roman"/>
                  <w:sz w:val="24"/>
                  <w:szCs w:val="24"/>
                </w:rPr>
                <w:t>prudenciālajām</w:t>
              </w:r>
              <w:proofErr w:type="spellEnd"/>
              <w:r>
                <w:rPr>
                  <w:rStyle w:val="Hyperlink"/>
                  <w:rFonts w:ascii="Times New Roman" w:hAnsi="Times New Roman" w:cs="Times New Roman"/>
                  <w:sz w:val="24"/>
                  <w:szCs w:val="24"/>
                </w:rPr>
                <w:t xml:space="preserve"> prasībām attiecībā uz kredītiestādēm, un ar ko groza regulu (ES) Nr. 648/2012</w:t>
              </w:r>
            </w:hyperlink>
            <w:r w:rsidRPr="00BA3B8F">
              <w:rPr>
                <w:rFonts w:ascii="Times New Roman" w:hAnsi="Times New Roman" w:cs="Times New Roman"/>
                <w:sz w:val="24"/>
                <w:szCs w:val="24"/>
              </w:rPr>
              <w:t>.</w:t>
            </w:r>
          </w:p>
          <w:p w14:paraId="79712EF6" w14:textId="4753F54C" w:rsidR="00BA3B8F" w:rsidRDefault="00DF19E1" w:rsidP="00BA3B8F">
            <w:pPr>
              <w:pStyle w:val="ListParagraph"/>
              <w:numPr>
                <w:ilvl w:val="0"/>
                <w:numId w:val="9"/>
              </w:numPr>
              <w:tabs>
                <w:tab w:val="left" w:pos="310"/>
              </w:tabs>
              <w:ind w:left="0" w:firstLine="0"/>
              <w:jc w:val="both"/>
              <w:rPr>
                <w:rFonts w:ascii="Times New Roman" w:hAnsi="Times New Roman" w:cs="Times New Roman"/>
                <w:sz w:val="24"/>
                <w:szCs w:val="24"/>
              </w:rPr>
            </w:pPr>
            <w:hyperlink r:id="rId12" w:history="1">
              <w:r w:rsidRPr="00DF19E1">
                <w:rPr>
                  <w:rStyle w:val="Hyperlink"/>
                  <w:rFonts w:ascii="Times New Roman" w:hAnsi="Times New Roman" w:cs="Times New Roman"/>
                  <w:sz w:val="24"/>
                  <w:szCs w:val="24"/>
                </w:rPr>
                <w:t>Regula</w:t>
              </w:r>
              <w:r w:rsidR="00940C85">
                <w:rPr>
                  <w:rStyle w:val="Hyperlink"/>
                  <w:rFonts w:ascii="Times New Roman" w:hAnsi="Times New Roman" w:cs="Times New Roman"/>
                  <w:sz w:val="24"/>
                  <w:szCs w:val="24"/>
                </w:rPr>
                <w:t> </w:t>
              </w:r>
              <w:r w:rsidRPr="00DF19E1">
                <w:rPr>
                  <w:rStyle w:val="Hyperlink"/>
                  <w:rFonts w:ascii="Times New Roman" w:hAnsi="Times New Roman" w:cs="Times New Roman"/>
                  <w:sz w:val="24"/>
                  <w:szCs w:val="24"/>
                </w:rPr>
                <w:t>2016/1075</w:t>
              </w:r>
            </w:hyperlink>
            <w:r>
              <w:rPr>
                <w:rFonts w:ascii="Times New Roman" w:hAnsi="Times New Roman" w:cs="Times New Roman"/>
                <w:sz w:val="24"/>
                <w:szCs w:val="24"/>
              </w:rPr>
              <w:t>.</w:t>
            </w:r>
          </w:p>
          <w:p w14:paraId="3BDD69B1" w14:textId="53FC44C7" w:rsidR="00DF19E1" w:rsidRDefault="008810F8" w:rsidP="00BA3B8F">
            <w:pPr>
              <w:pStyle w:val="ListParagraph"/>
              <w:numPr>
                <w:ilvl w:val="0"/>
                <w:numId w:val="9"/>
              </w:numPr>
              <w:tabs>
                <w:tab w:val="left" w:pos="310"/>
              </w:tabs>
              <w:ind w:left="0" w:firstLine="0"/>
              <w:jc w:val="both"/>
              <w:rPr>
                <w:rFonts w:ascii="Times New Roman" w:hAnsi="Times New Roman" w:cs="Times New Roman"/>
                <w:sz w:val="24"/>
                <w:szCs w:val="24"/>
              </w:rPr>
            </w:pPr>
            <w:hyperlink r:id="rId13" w:history="1">
              <w:r>
                <w:rPr>
                  <w:rStyle w:val="Hyperlink"/>
                  <w:rFonts w:ascii="Times New Roman" w:hAnsi="Times New Roman" w:cs="Times New Roman"/>
                  <w:sz w:val="24"/>
                  <w:szCs w:val="24"/>
                </w:rPr>
                <w:t>Likums</w:t>
              </w:r>
            </w:hyperlink>
            <w:r w:rsidR="00DF19E1">
              <w:rPr>
                <w:rFonts w:ascii="Times New Roman" w:hAnsi="Times New Roman" w:cs="Times New Roman"/>
                <w:sz w:val="24"/>
                <w:szCs w:val="24"/>
              </w:rPr>
              <w:t>.</w:t>
            </w:r>
          </w:p>
          <w:p w14:paraId="4177A995" w14:textId="28BF8BF5" w:rsidR="00DF19E1" w:rsidRDefault="00DF19E1" w:rsidP="00BA3B8F">
            <w:pPr>
              <w:pStyle w:val="ListParagraph"/>
              <w:numPr>
                <w:ilvl w:val="0"/>
                <w:numId w:val="9"/>
              </w:numPr>
              <w:tabs>
                <w:tab w:val="left" w:pos="310"/>
              </w:tabs>
              <w:ind w:left="0" w:firstLine="0"/>
              <w:jc w:val="both"/>
              <w:rPr>
                <w:rFonts w:ascii="Times New Roman" w:hAnsi="Times New Roman" w:cs="Times New Roman"/>
                <w:sz w:val="24"/>
                <w:szCs w:val="24"/>
              </w:rPr>
            </w:pPr>
            <w:hyperlink r:id="rId14" w:history="1">
              <w:r w:rsidRPr="00DF19E1">
                <w:rPr>
                  <w:rStyle w:val="Hyperlink"/>
                  <w:rFonts w:ascii="Times New Roman" w:hAnsi="Times New Roman" w:cs="Times New Roman"/>
                  <w:sz w:val="24"/>
                  <w:szCs w:val="24"/>
                </w:rPr>
                <w:t>Ieguldījumu brokeru sabiedrību likums</w:t>
              </w:r>
            </w:hyperlink>
            <w:r>
              <w:rPr>
                <w:rFonts w:ascii="Times New Roman" w:hAnsi="Times New Roman" w:cs="Times New Roman"/>
                <w:sz w:val="24"/>
                <w:szCs w:val="24"/>
              </w:rPr>
              <w:t>.</w:t>
            </w:r>
          </w:p>
          <w:p w14:paraId="3AD3BA70" w14:textId="01A6BC87" w:rsidR="00DF19E1" w:rsidRDefault="00DF19E1" w:rsidP="00BA3B8F">
            <w:pPr>
              <w:pStyle w:val="ListParagraph"/>
              <w:numPr>
                <w:ilvl w:val="0"/>
                <w:numId w:val="9"/>
              </w:numPr>
              <w:tabs>
                <w:tab w:val="left" w:pos="310"/>
              </w:tabs>
              <w:ind w:left="0" w:firstLine="0"/>
              <w:jc w:val="both"/>
              <w:rPr>
                <w:rFonts w:ascii="Times New Roman" w:hAnsi="Times New Roman" w:cs="Times New Roman"/>
                <w:sz w:val="24"/>
                <w:szCs w:val="24"/>
              </w:rPr>
            </w:pPr>
            <w:hyperlink r:id="rId15" w:history="1">
              <w:r w:rsidRPr="00DF19E1">
                <w:rPr>
                  <w:rStyle w:val="Hyperlink"/>
                  <w:rFonts w:ascii="Times New Roman" w:hAnsi="Times New Roman" w:cs="Times New Roman"/>
                  <w:sz w:val="24"/>
                  <w:szCs w:val="24"/>
                </w:rPr>
                <w:t>Kredītiestāžu likums</w:t>
              </w:r>
            </w:hyperlink>
            <w:r>
              <w:rPr>
                <w:rFonts w:ascii="Times New Roman" w:hAnsi="Times New Roman" w:cs="Times New Roman"/>
                <w:sz w:val="24"/>
                <w:szCs w:val="24"/>
              </w:rPr>
              <w:t>.</w:t>
            </w:r>
          </w:p>
          <w:p w14:paraId="00C960DD" w14:textId="26706044" w:rsidR="00DF19E1" w:rsidRDefault="00DF19E1" w:rsidP="00BA3B8F">
            <w:pPr>
              <w:pStyle w:val="ListParagraph"/>
              <w:numPr>
                <w:ilvl w:val="0"/>
                <w:numId w:val="9"/>
              </w:numPr>
              <w:tabs>
                <w:tab w:val="left" w:pos="310"/>
              </w:tabs>
              <w:ind w:left="0" w:firstLine="0"/>
              <w:jc w:val="both"/>
              <w:rPr>
                <w:rFonts w:ascii="Times New Roman" w:hAnsi="Times New Roman" w:cs="Times New Roman"/>
                <w:sz w:val="24"/>
                <w:szCs w:val="24"/>
              </w:rPr>
            </w:pPr>
            <w:hyperlink r:id="rId16" w:history="1">
              <w:r w:rsidRPr="00DF19E1">
                <w:rPr>
                  <w:rStyle w:val="Hyperlink"/>
                  <w:rFonts w:ascii="Times New Roman" w:hAnsi="Times New Roman" w:cs="Times New Roman"/>
                  <w:sz w:val="24"/>
                  <w:szCs w:val="24"/>
                </w:rPr>
                <w:t>Pamatnostādnes EBA/GL/2015/17</w:t>
              </w:r>
            </w:hyperlink>
            <w:r>
              <w:rPr>
                <w:rFonts w:ascii="Times New Roman" w:hAnsi="Times New Roman" w:cs="Times New Roman"/>
                <w:sz w:val="24"/>
                <w:szCs w:val="24"/>
              </w:rPr>
              <w:t>.</w:t>
            </w:r>
          </w:p>
          <w:p w14:paraId="4EC74F83" w14:textId="57D030C9" w:rsidR="00DF19E1" w:rsidRDefault="00D8147A" w:rsidP="00BA3B8F">
            <w:pPr>
              <w:pStyle w:val="ListParagraph"/>
              <w:numPr>
                <w:ilvl w:val="0"/>
                <w:numId w:val="9"/>
              </w:numPr>
              <w:tabs>
                <w:tab w:val="left" w:pos="310"/>
              </w:tabs>
              <w:ind w:left="0" w:firstLine="0"/>
              <w:jc w:val="both"/>
              <w:rPr>
                <w:rFonts w:ascii="Times New Roman" w:hAnsi="Times New Roman" w:cs="Times New Roman"/>
                <w:sz w:val="24"/>
                <w:szCs w:val="24"/>
              </w:rPr>
            </w:pPr>
            <w:hyperlink r:id="rId17" w:history="1">
              <w:r w:rsidRPr="00D8147A">
                <w:rPr>
                  <w:rStyle w:val="Hyperlink"/>
                  <w:rFonts w:ascii="Times New Roman" w:hAnsi="Times New Roman" w:cs="Times New Roman"/>
                  <w:sz w:val="24"/>
                  <w:szCs w:val="24"/>
                </w:rPr>
                <w:t>Noteikumi Nr. 107</w:t>
              </w:r>
            </w:hyperlink>
            <w:r>
              <w:rPr>
                <w:rFonts w:ascii="Times New Roman" w:hAnsi="Times New Roman" w:cs="Times New Roman"/>
                <w:sz w:val="24"/>
                <w:szCs w:val="24"/>
              </w:rPr>
              <w:t>.</w:t>
            </w:r>
          </w:p>
          <w:p w14:paraId="6FF68D1E" w14:textId="56EDD144" w:rsidR="007F3732" w:rsidRDefault="007F3732" w:rsidP="007F3732">
            <w:pPr>
              <w:pStyle w:val="ListParagraph"/>
              <w:numPr>
                <w:ilvl w:val="0"/>
                <w:numId w:val="9"/>
              </w:numPr>
              <w:tabs>
                <w:tab w:val="left" w:pos="310"/>
              </w:tabs>
              <w:ind w:left="0" w:firstLine="0"/>
              <w:jc w:val="both"/>
              <w:rPr>
                <w:rFonts w:ascii="Times New Roman" w:hAnsi="Times New Roman" w:cs="Times New Roman"/>
                <w:sz w:val="24"/>
                <w:szCs w:val="24"/>
              </w:rPr>
            </w:pPr>
            <w:hyperlink r:id="rId18" w:history="1">
              <w:r w:rsidRPr="007F3732">
                <w:rPr>
                  <w:rStyle w:val="Hyperlink"/>
                  <w:rFonts w:ascii="Times New Roman" w:hAnsi="Times New Roman" w:cs="Times New Roman"/>
                  <w:sz w:val="24"/>
                  <w:szCs w:val="24"/>
                </w:rPr>
                <w:t>Eiropas Parlamenta un Padomes 2019. gada 20. maija direktīva (ES)</w:t>
              </w:r>
              <w:r w:rsidR="00940C85">
                <w:rPr>
                  <w:rStyle w:val="Hyperlink"/>
                  <w:rFonts w:ascii="Times New Roman" w:hAnsi="Times New Roman" w:cs="Times New Roman"/>
                  <w:sz w:val="24"/>
                  <w:szCs w:val="24"/>
                </w:rPr>
                <w:t> </w:t>
              </w:r>
              <w:r w:rsidRPr="007F3732">
                <w:rPr>
                  <w:rStyle w:val="Hyperlink"/>
                  <w:rFonts w:ascii="Times New Roman" w:hAnsi="Times New Roman" w:cs="Times New Roman"/>
                  <w:sz w:val="24"/>
                  <w:szCs w:val="24"/>
                </w:rPr>
                <w:t>2019/878, ar ko direktīvu</w:t>
              </w:r>
              <w:r w:rsidR="00940C85">
                <w:rPr>
                  <w:rStyle w:val="Hyperlink"/>
                  <w:rFonts w:ascii="Times New Roman" w:hAnsi="Times New Roman" w:cs="Times New Roman"/>
                  <w:sz w:val="24"/>
                  <w:szCs w:val="24"/>
                </w:rPr>
                <w:t> </w:t>
              </w:r>
              <w:r w:rsidRPr="007F3732">
                <w:rPr>
                  <w:rStyle w:val="Hyperlink"/>
                  <w:rFonts w:ascii="Times New Roman" w:hAnsi="Times New Roman" w:cs="Times New Roman"/>
                  <w:sz w:val="24"/>
                  <w:szCs w:val="24"/>
                </w:rPr>
                <w:t xml:space="preserve">2013/36/ES groza attiecībā uz atbrīvotajām sabiedrībām, finanšu </w:t>
              </w:r>
              <w:proofErr w:type="spellStart"/>
              <w:r w:rsidRPr="007F3732">
                <w:rPr>
                  <w:rStyle w:val="Hyperlink"/>
                  <w:rFonts w:ascii="Times New Roman" w:hAnsi="Times New Roman" w:cs="Times New Roman"/>
                  <w:sz w:val="24"/>
                  <w:szCs w:val="24"/>
                </w:rPr>
                <w:t>pārvaldītājsabiedrībām</w:t>
              </w:r>
              <w:proofErr w:type="spellEnd"/>
              <w:r w:rsidRPr="007F3732">
                <w:rPr>
                  <w:rStyle w:val="Hyperlink"/>
                  <w:rFonts w:ascii="Times New Roman" w:hAnsi="Times New Roman" w:cs="Times New Roman"/>
                  <w:sz w:val="24"/>
                  <w:szCs w:val="24"/>
                </w:rPr>
                <w:t xml:space="preserve">, jauktām finanšu </w:t>
              </w:r>
              <w:proofErr w:type="spellStart"/>
              <w:r w:rsidRPr="007F3732">
                <w:rPr>
                  <w:rStyle w:val="Hyperlink"/>
                  <w:rFonts w:ascii="Times New Roman" w:hAnsi="Times New Roman" w:cs="Times New Roman"/>
                  <w:sz w:val="24"/>
                  <w:szCs w:val="24"/>
                </w:rPr>
                <w:t>pārvaldītājsabiedrībām</w:t>
              </w:r>
              <w:proofErr w:type="spellEnd"/>
              <w:r w:rsidRPr="007F3732">
                <w:rPr>
                  <w:rStyle w:val="Hyperlink"/>
                  <w:rFonts w:ascii="Times New Roman" w:hAnsi="Times New Roman" w:cs="Times New Roman"/>
                  <w:sz w:val="24"/>
                  <w:szCs w:val="24"/>
                </w:rPr>
                <w:t>, atalgojumu, uzraudzības pasākumiem un pilnvarām, kā arī kapitāla saglabāšanas pasākumiem</w:t>
              </w:r>
            </w:hyperlink>
            <w:r>
              <w:rPr>
                <w:rFonts w:ascii="Times New Roman" w:hAnsi="Times New Roman" w:cs="Times New Roman"/>
                <w:sz w:val="24"/>
                <w:szCs w:val="24"/>
              </w:rPr>
              <w:t>.</w:t>
            </w:r>
          </w:p>
          <w:p w14:paraId="2C55F282" w14:textId="4AE6B565" w:rsidR="000A7F6F" w:rsidRPr="000A7F6F" w:rsidRDefault="004B6A02" w:rsidP="00940C85">
            <w:pPr>
              <w:pStyle w:val="ListParagraph"/>
              <w:numPr>
                <w:ilvl w:val="0"/>
                <w:numId w:val="9"/>
              </w:numPr>
              <w:tabs>
                <w:tab w:val="left" w:pos="310"/>
              </w:tabs>
              <w:ind w:left="0" w:firstLine="0"/>
              <w:jc w:val="both"/>
              <w:rPr>
                <w:rFonts w:ascii="Times New Roman" w:hAnsi="Times New Roman" w:cs="Times New Roman"/>
                <w:sz w:val="24"/>
                <w:szCs w:val="24"/>
              </w:rPr>
            </w:pPr>
            <w:hyperlink r:id="rId19" w:history="1">
              <w:r w:rsidRPr="004B6A02">
                <w:rPr>
                  <w:rStyle w:val="Hyperlink"/>
                  <w:rFonts w:ascii="Times New Roman" w:hAnsi="Times New Roman" w:cs="Times New Roman"/>
                  <w:sz w:val="24"/>
                  <w:szCs w:val="24"/>
                </w:rPr>
                <w:t>Eiropas Parlamenta un Padomes 2019. gada 27. novembra direktīva (ES)</w:t>
              </w:r>
              <w:r w:rsidR="00940C85">
                <w:rPr>
                  <w:rStyle w:val="Hyperlink"/>
                  <w:rFonts w:ascii="Times New Roman" w:hAnsi="Times New Roman" w:cs="Times New Roman"/>
                  <w:sz w:val="24"/>
                  <w:szCs w:val="24"/>
                </w:rPr>
                <w:t> </w:t>
              </w:r>
              <w:r w:rsidRPr="004B6A02">
                <w:rPr>
                  <w:rStyle w:val="Hyperlink"/>
                  <w:rFonts w:ascii="Times New Roman" w:hAnsi="Times New Roman" w:cs="Times New Roman"/>
                  <w:sz w:val="24"/>
                  <w:szCs w:val="24"/>
                </w:rPr>
                <w:t xml:space="preserve">2019/2034 par ieguldījumu brokeru sabiedrību </w:t>
              </w:r>
              <w:proofErr w:type="spellStart"/>
              <w:r w:rsidRPr="004B6A02">
                <w:rPr>
                  <w:rStyle w:val="Hyperlink"/>
                  <w:rFonts w:ascii="Times New Roman" w:hAnsi="Times New Roman" w:cs="Times New Roman"/>
                  <w:sz w:val="24"/>
                  <w:szCs w:val="24"/>
                </w:rPr>
                <w:t>prudenciālo</w:t>
              </w:r>
              <w:proofErr w:type="spellEnd"/>
              <w:r w:rsidRPr="004B6A02">
                <w:rPr>
                  <w:rStyle w:val="Hyperlink"/>
                  <w:rFonts w:ascii="Times New Roman" w:hAnsi="Times New Roman" w:cs="Times New Roman"/>
                  <w:sz w:val="24"/>
                  <w:szCs w:val="24"/>
                </w:rPr>
                <w:t xml:space="preserve"> uzraudzību un ar ko groza direktīvas</w:t>
              </w:r>
              <w:r w:rsidR="00940C85">
                <w:rPr>
                  <w:rStyle w:val="Hyperlink"/>
                  <w:rFonts w:ascii="Times New Roman" w:hAnsi="Times New Roman" w:cs="Times New Roman"/>
                  <w:sz w:val="24"/>
                  <w:szCs w:val="24"/>
                </w:rPr>
                <w:t> </w:t>
              </w:r>
              <w:r w:rsidRPr="004B6A02">
                <w:rPr>
                  <w:rStyle w:val="Hyperlink"/>
                  <w:rFonts w:ascii="Times New Roman" w:hAnsi="Times New Roman" w:cs="Times New Roman"/>
                  <w:sz w:val="24"/>
                  <w:szCs w:val="24"/>
                </w:rPr>
                <w:t>2002/87/EK, 2009/65/EK, 2011/61/ES, 2013/36/ES, 2014/59/ES un 2014/65/ES</w:t>
              </w:r>
            </w:hyperlink>
            <w:r>
              <w:rPr>
                <w:rFonts w:ascii="Times New Roman" w:hAnsi="Times New Roman" w:cs="Times New Roman"/>
                <w:sz w:val="24"/>
                <w:szCs w:val="24"/>
              </w:rPr>
              <w:t>.</w:t>
            </w:r>
          </w:p>
        </w:tc>
      </w:tr>
      <w:tr w:rsidR="00A61684" w:rsidRPr="00A61684" w14:paraId="6E8D0230" w14:textId="77777777" w:rsidTr="009B620B">
        <w:tc>
          <w:tcPr>
            <w:tcW w:w="1980" w:type="dxa"/>
          </w:tcPr>
          <w:p w14:paraId="36731D0A" w14:textId="167D4F7E" w:rsidR="00ED3376" w:rsidRPr="00A202C9" w:rsidRDefault="009E6A95" w:rsidP="00777358">
            <w:pPr>
              <w:rPr>
                <w:rFonts w:ascii="Times New Roman" w:hAnsi="Times New Roman" w:cs="Times New Roman"/>
                <w:b/>
                <w:bCs/>
                <w:sz w:val="24"/>
                <w:szCs w:val="24"/>
              </w:rPr>
            </w:pPr>
            <w:r w:rsidRPr="00A202C9">
              <w:rPr>
                <w:rFonts w:ascii="Times New Roman" w:hAnsi="Times New Roman" w:cs="Times New Roman"/>
                <w:b/>
                <w:bCs/>
                <w:sz w:val="24"/>
                <w:szCs w:val="24"/>
              </w:rPr>
              <w:lastRenderedPageBreak/>
              <w:t>Saskaņošana ar Eiropas Centrālo banku</w:t>
            </w:r>
          </w:p>
        </w:tc>
        <w:tc>
          <w:tcPr>
            <w:tcW w:w="6379" w:type="dxa"/>
          </w:tcPr>
          <w:p w14:paraId="792DD68E" w14:textId="06AFD14D" w:rsidR="009E6A95" w:rsidRPr="00B40708" w:rsidRDefault="003A7C34" w:rsidP="00CB2ED4">
            <w:pPr>
              <w:jc w:val="both"/>
              <w:rPr>
                <w:rFonts w:ascii="Times New Roman" w:hAnsi="Times New Roman" w:cs="Times New Roman"/>
                <w:sz w:val="24"/>
                <w:szCs w:val="24"/>
              </w:rPr>
            </w:pPr>
            <w:r w:rsidRPr="00B40708">
              <w:rPr>
                <w:rFonts w:ascii="Times New Roman" w:hAnsi="Times New Roman" w:cs="Times New Roman"/>
                <w:sz w:val="24"/>
                <w:szCs w:val="24"/>
              </w:rPr>
              <w:t>Noteikumu</w:t>
            </w:r>
            <w:r w:rsidR="009E6A95" w:rsidRPr="00B40708">
              <w:rPr>
                <w:rFonts w:ascii="Times New Roman" w:hAnsi="Times New Roman" w:cs="Times New Roman"/>
                <w:sz w:val="24"/>
                <w:szCs w:val="24"/>
              </w:rPr>
              <w:t xml:space="preserve"> </w:t>
            </w:r>
            <w:r w:rsidR="00E01603" w:rsidRPr="00B40708">
              <w:rPr>
                <w:rFonts w:ascii="Times New Roman" w:hAnsi="Times New Roman" w:cs="Times New Roman"/>
                <w:sz w:val="24"/>
                <w:szCs w:val="24"/>
              </w:rPr>
              <w:t xml:space="preserve">projekts </w:t>
            </w:r>
            <w:r w:rsidR="009E6A95" w:rsidRPr="00B40708">
              <w:rPr>
                <w:rFonts w:ascii="Times New Roman" w:hAnsi="Times New Roman" w:cs="Times New Roman"/>
                <w:sz w:val="24"/>
                <w:szCs w:val="24"/>
              </w:rPr>
              <w:t xml:space="preserve">nav </w:t>
            </w:r>
            <w:r w:rsidR="00952874" w:rsidRPr="00B40708">
              <w:rPr>
                <w:rFonts w:ascii="Times New Roman" w:hAnsi="Times New Roman" w:cs="Times New Roman"/>
                <w:sz w:val="24"/>
                <w:szCs w:val="24"/>
              </w:rPr>
              <w:t>jā</w:t>
            </w:r>
            <w:r w:rsidR="009E6A95" w:rsidRPr="00B40708">
              <w:rPr>
                <w:rFonts w:ascii="Times New Roman" w:hAnsi="Times New Roman" w:cs="Times New Roman"/>
                <w:sz w:val="24"/>
                <w:szCs w:val="24"/>
              </w:rPr>
              <w:t>saskaņo ar Eiropas Centrālo banku.</w:t>
            </w:r>
          </w:p>
        </w:tc>
      </w:tr>
      <w:tr w:rsidR="00A61684" w:rsidRPr="00A61684" w14:paraId="48DDCC66" w14:textId="77777777" w:rsidTr="009B620B">
        <w:tc>
          <w:tcPr>
            <w:tcW w:w="1980" w:type="dxa"/>
          </w:tcPr>
          <w:p w14:paraId="58FC4ACD" w14:textId="4767453D" w:rsidR="00ED3376" w:rsidRPr="00A202C9" w:rsidRDefault="009E6A95" w:rsidP="00777358">
            <w:pPr>
              <w:rPr>
                <w:rFonts w:ascii="Times New Roman" w:hAnsi="Times New Roman" w:cs="Times New Roman"/>
                <w:b/>
                <w:bCs/>
                <w:sz w:val="24"/>
                <w:szCs w:val="24"/>
              </w:rPr>
            </w:pPr>
            <w:r w:rsidRPr="00A202C9">
              <w:rPr>
                <w:rFonts w:ascii="Times New Roman" w:hAnsi="Times New Roman" w:cs="Times New Roman"/>
                <w:b/>
                <w:bCs/>
                <w:sz w:val="24"/>
                <w:szCs w:val="24"/>
              </w:rPr>
              <w:t>Saskaņošana ar citām publiskām un privātām personām</w:t>
            </w:r>
          </w:p>
        </w:tc>
        <w:tc>
          <w:tcPr>
            <w:tcW w:w="6379" w:type="dxa"/>
          </w:tcPr>
          <w:p w14:paraId="4FBFE1AD" w14:textId="3731CEC4" w:rsidR="00EA0CC6" w:rsidRDefault="00EA0CC6" w:rsidP="00EA0CC6">
            <w:pPr>
              <w:jc w:val="both"/>
              <w:rPr>
                <w:rFonts w:ascii="Times New Roman" w:hAnsi="Times New Roman" w:cs="Times New Roman"/>
                <w:sz w:val="24"/>
                <w:szCs w:val="24"/>
              </w:rPr>
            </w:pPr>
            <w:r w:rsidRPr="00710686">
              <w:rPr>
                <w:rFonts w:ascii="Times New Roman" w:hAnsi="Times New Roman" w:cs="Times New Roman"/>
                <w:sz w:val="24"/>
                <w:szCs w:val="24"/>
              </w:rPr>
              <w:t xml:space="preserve">Noteikumu projekts </w:t>
            </w:r>
            <w:r w:rsidR="00A47708">
              <w:rPr>
                <w:rFonts w:ascii="Times New Roman" w:hAnsi="Times New Roman" w:cs="Times New Roman"/>
                <w:sz w:val="24"/>
                <w:szCs w:val="24"/>
              </w:rPr>
              <w:t>2024. gada 1. oktobrī tika</w:t>
            </w:r>
            <w:r w:rsidRPr="00710686">
              <w:rPr>
                <w:rFonts w:ascii="Times New Roman" w:hAnsi="Times New Roman" w:cs="Times New Roman"/>
                <w:sz w:val="24"/>
                <w:szCs w:val="24"/>
              </w:rPr>
              <w:t xml:space="preserve"> publicēts Latvijas Bankas tīmekļvietnes </w:t>
            </w:r>
            <w:hyperlink r:id="rId20" w:history="1">
              <w:r w:rsidR="007F3732" w:rsidRPr="007F3732">
                <w:rPr>
                  <w:rStyle w:val="Hyperlink"/>
                  <w:rFonts w:ascii="Times New Roman" w:hAnsi="Times New Roman" w:cs="Times New Roman"/>
                  <w:sz w:val="24"/>
                  <w:szCs w:val="24"/>
                </w:rPr>
                <w:t>www.bank.lv</w:t>
              </w:r>
            </w:hyperlink>
            <w:r w:rsidR="00741AE8">
              <w:rPr>
                <w:rFonts w:ascii="Times New Roman" w:hAnsi="Times New Roman" w:cs="Times New Roman"/>
                <w:sz w:val="24"/>
                <w:szCs w:val="24"/>
              </w:rPr>
              <w:t xml:space="preserve"> </w:t>
            </w:r>
            <w:r w:rsidRPr="00710686">
              <w:rPr>
                <w:rFonts w:ascii="Times New Roman" w:hAnsi="Times New Roman" w:cs="Times New Roman"/>
                <w:sz w:val="24"/>
                <w:szCs w:val="24"/>
              </w:rPr>
              <w:t>sadaļ</w:t>
            </w:r>
            <w:r w:rsidR="00696C35">
              <w:rPr>
                <w:rFonts w:ascii="Times New Roman" w:hAnsi="Times New Roman" w:cs="Times New Roman"/>
                <w:sz w:val="24"/>
                <w:szCs w:val="24"/>
              </w:rPr>
              <w:t xml:space="preserve">as "Tiesību akti" </w:t>
            </w:r>
            <w:proofErr w:type="spellStart"/>
            <w:r w:rsidR="00696C35">
              <w:rPr>
                <w:rFonts w:ascii="Times New Roman" w:hAnsi="Times New Roman" w:cs="Times New Roman"/>
                <w:sz w:val="24"/>
                <w:szCs w:val="24"/>
              </w:rPr>
              <w:t>apakšsadaļā</w:t>
            </w:r>
            <w:proofErr w:type="spellEnd"/>
            <w:r w:rsidRPr="00710686">
              <w:rPr>
                <w:rFonts w:ascii="Times New Roman" w:hAnsi="Times New Roman" w:cs="Times New Roman"/>
                <w:sz w:val="24"/>
                <w:szCs w:val="24"/>
              </w:rPr>
              <w:t xml:space="preserve"> "Sabiedrības līdzdalība", un </w:t>
            </w:r>
            <w:r w:rsidR="00A47708">
              <w:rPr>
                <w:rFonts w:ascii="Times New Roman" w:hAnsi="Times New Roman" w:cs="Times New Roman"/>
                <w:sz w:val="24"/>
                <w:szCs w:val="24"/>
              </w:rPr>
              <w:t>līdz 2024. gada 15. oktobrim sabiedrībai bija iespēja iesaistīties tā apspriešanā</w:t>
            </w:r>
            <w:r w:rsidRPr="00710686">
              <w:rPr>
                <w:rFonts w:ascii="Times New Roman" w:hAnsi="Times New Roman" w:cs="Times New Roman"/>
                <w:sz w:val="24"/>
                <w:szCs w:val="24"/>
              </w:rPr>
              <w:t>.</w:t>
            </w:r>
          </w:p>
          <w:p w14:paraId="339AEE8D" w14:textId="77777777" w:rsidR="00595003" w:rsidRPr="00710686" w:rsidRDefault="00595003" w:rsidP="00EA0CC6">
            <w:pPr>
              <w:jc w:val="both"/>
              <w:rPr>
                <w:rFonts w:ascii="Times New Roman" w:hAnsi="Times New Roman" w:cs="Times New Roman"/>
                <w:sz w:val="24"/>
                <w:szCs w:val="24"/>
              </w:rPr>
            </w:pPr>
          </w:p>
          <w:p w14:paraId="61CE77FB" w14:textId="70B94BBA" w:rsidR="002C6D50" w:rsidRPr="00710686" w:rsidRDefault="00EA0CC6" w:rsidP="00A47708">
            <w:pPr>
              <w:jc w:val="both"/>
              <w:rPr>
                <w:rFonts w:ascii="Times New Roman" w:hAnsi="Times New Roman" w:cs="Times New Roman"/>
                <w:sz w:val="24"/>
                <w:szCs w:val="24"/>
              </w:rPr>
            </w:pPr>
            <w:r w:rsidRPr="00710686">
              <w:rPr>
                <w:rFonts w:ascii="Times New Roman" w:hAnsi="Times New Roman" w:cs="Times New Roman"/>
                <w:sz w:val="24"/>
                <w:szCs w:val="24"/>
              </w:rPr>
              <w:t xml:space="preserve">Vienlaikus par </w:t>
            </w:r>
            <w:r w:rsidR="00914B51">
              <w:rPr>
                <w:rFonts w:ascii="Times New Roman" w:hAnsi="Times New Roman" w:cs="Times New Roman"/>
                <w:sz w:val="24"/>
                <w:szCs w:val="24"/>
              </w:rPr>
              <w:t>n</w:t>
            </w:r>
            <w:r w:rsidRPr="00710686">
              <w:rPr>
                <w:rFonts w:ascii="Times New Roman" w:hAnsi="Times New Roman" w:cs="Times New Roman"/>
                <w:sz w:val="24"/>
                <w:szCs w:val="24"/>
              </w:rPr>
              <w:t>oteikumu projektu un notiekošo sabiedrības līdzdalību individuāli tik</w:t>
            </w:r>
            <w:r w:rsidR="00A47708">
              <w:rPr>
                <w:rFonts w:ascii="Times New Roman" w:hAnsi="Times New Roman" w:cs="Times New Roman"/>
                <w:sz w:val="24"/>
                <w:szCs w:val="24"/>
              </w:rPr>
              <w:t>a</w:t>
            </w:r>
            <w:r w:rsidRPr="00710686">
              <w:rPr>
                <w:rFonts w:ascii="Times New Roman" w:hAnsi="Times New Roman" w:cs="Times New Roman"/>
                <w:sz w:val="24"/>
                <w:szCs w:val="24"/>
              </w:rPr>
              <w:t xml:space="preserve"> informēta Latvijas Finanšu nozares asociācija</w:t>
            </w:r>
            <w:r w:rsidR="00905FAA">
              <w:rPr>
                <w:rFonts w:ascii="Times New Roman" w:hAnsi="Times New Roman" w:cs="Times New Roman"/>
                <w:sz w:val="24"/>
                <w:szCs w:val="24"/>
              </w:rPr>
              <w:t xml:space="preserve"> un</w:t>
            </w:r>
            <w:r w:rsidRPr="00710686">
              <w:rPr>
                <w:rFonts w:ascii="Times New Roman" w:hAnsi="Times New Roman" w:cs="Times New Roman"/>
                <w:sz w:val="24"/>
                <w:szCs w:val="24"/>
              </w:rPr>
              <w:t xml:space="preserve"> </w:t>
            </w:r>
            <w:r w:rsidR="003A7C34" w:rsidRPr="00710686">
              <w:rPr>
                <w:rFonts w:ascii="Times New Roman" w:hAnsi="Times New Roman" w:cs="Times New Roman"/>
                <w:sz w:val="24"/>
                <w:szCs w:val="24"/>
              </w:rPr>
              <w:t xml:space="preserve">tās kredītiestādes, </w:t>
            </w:r>
            <w:r w:rsidR="00941193" w:rsidRPr="00710686">
              <w:rPr>
                <w:rFonts w:ascii="Times New Roman" w:hAnsi="Times New Roman" w:cs="Times New Roman"/>
                <w:sz w:val="24"/>
                <w:szCs w:val="24"/>
              </w:rPr>
              <w:t>k</w:t>
            </w:r>
            <w:r w:rsidR="00941193">
              <w:rPr>
                <w:rFonts w:ascii="Times New Roman" w:hAnsi="Times New Roman" w:cs="Times New Roman"/>
                <w:sz w:val="24"/>
                <w:szCs w:val="24"/>
              </w:rPr>
              <w:t>uras</w:t>
            </w:r>
            <w:r w:rsidR="00941193" w:rsidRPr="00710686">
              <w:rPr>
                <w:rFonts w:ascii="Times New Roman" w:hAnsi="Times New Roman" w:cs="Times New Roman"/>
                <w:sz w:val="24"/>
                <w:szCs w:val="24"/>
              </w:rPr>
              <w:t xml:space="preserve"> </w:t>
            </w:r>
            <w:r w:rsidR="003A7C34" w:rsidRPr="00710686">
              <w:rPr>
                <w:rFonts w:ascii="Times New Roman" w:hAnsi="Times New Roman" w:cs="Times New Roman"/>
                <w:sz w:val="24"/>
                <w:szCs w:val="24"/>
              </w:rPr>
              <w:t>nav Latvijas Finanšu nozares asociācijas biedr</w:t>
            </w:r>
            <w:r w:rsidR="00595003">
              <w:rPr>
                <w:rFonts w:ascii="Times New Roman" w:hAnsi="Times New Roman" w:cs="Times New Roman"/>
                <w:sz w:val="24"/>
                <w:szCs w:val="24"/>
              </w:rPr>
              <w:t>es</w:t>
            </w:r>
            <w:r w:rsidR="00921030">
              <w:rPr>
                <w:rFonts w:ascii="Times New Roman" w:hAnsi="Times New Roman" w:cs="Times New Roman"/>
                <w:sz w:val="24"/>
                <w:szCs w:val="24"/>
              </w:rPr>
              <w:t xml:space="preserve">, kā arī </w:t>
            </w:r>
            <w:r w:rsidR="00921030" w:rsidRPr="00921030">
              <w:rPr>
                <w:rFonts w:ascii="Times New Roman" w:hAnsi="Times New Roman" w:cs="Times New Roman"/>
                <w:sz w:val="24"/>
                <w:szCs w:val="24"/>
              </w:rPr>
              <w:t>ieguldījumu brokeru sabiedrības, kuras atbilst Ieguldījumu brokeru sabiedrību likuma 6.</w:t>
            </w:r>
            <w:r w:rsidR="00921030">
              <w:rPr>
                <w:rFonts w:ascii="Times New Roman" w:hAnsi="Times New Roman" w:cs="Times New Roman"/>
                <w:sz w:val="24"/>
                <w:szCs w:val="24"/>
              </w:rPr>
              <w:t> </w:t>
            </w:r>
            <w:r w:rsidR="00921030" w:rsidRPr="00921030">
              <w:rPr>
                <w:rFonts w:ascii="Times New Roman" w:hAnsi="Times New Roman" w:cs="Times New Roman"/>
                <w:sz w:val="24"/>
                <w:szCs w:val="24"/>
              </w:rPr>
              <w:t>panta pirmās daļas 1. vai 2.</w:t>
            </w:r>
            <w:r w:rsidR="00921030">
              <w:rPr>
                <w:rFonts w:ascii="Times New Roman" w:hAnsi="Times New Roman" w:cs="Times New Roman"/>
                <w:sz w:val="24"/>
                <w:szCs w:val="24"/>
              </w:rPr>
              <w:t> </w:t>
            </w:r>
            <w:r w:rsidR="00921030" w:rsidRPr="00921030">
              <w:rPr>
                <w:rFonts w:ascii="Times New Roman" w:hAnsi="Times New Roman" w:cs="Times New Roman"/>
                <w:sz w:val="24"/>
                <w:szCs w:val="24"/>
              </w:rPr>
              <w:t>punkta prasībām</w:t>
            </w:r>
            <w:r w:rsidRPr="00710686">
              <w:rPr>
                <w:rFonts w:ascii="Times New Roman" w:hAnsi="Times New Roman" w:cs="Times New Roman"/>
                <w:sz w:val="24"/>
                <w:szCs w:val="24"/>
              </w:rPr>
              <w:t>.</w:t>
            </w:r>
          </w:p>
        </w:tc>
      </w:tr>
      <w:tr w:rsidR="00FC38CB" w:rsidRPr="00A61684" w14:paraId="69C6D010" w14:textId="77777777" w:rsidTr="009B620B">
        <w:tc>
          <w:tcPr>
            <w:tcW w:w="1980" w:type="dxa"/>
          </w:tcPr>
          <w:p w14:paraId="19ED627F" w14:textId="0049A799" w:rsidR="00ED3376" w:rsidRPr="003A7C34" w:rsidRDefault="00FC38CB" w:rsidP="00FC38CB">
            <w:pPr>
              <w:jc w:val="both"/>
              <w:rPr>
                <w:rFonts w:ascii="Times New Roman" w:hAnsi="Times New Roman" w:cs="Times New Roman"/>
                <w:sz w:val="24"/>
                <w:szCs w:val="24"/>
              </w:rPr>
            </w:pPr>
            <w:r w:rsidRPr="00A202C9">
              <w:rPr>
                <w:rFonts w:ascii="Times New Roman" w:eastAsia="Times New Roman" w:hAnsi="Times New Roman" w:cs="Times New Roman"/>
                <w:b/>
                <w:bCs/>
                <w:sz w:val="24"/>
                <w:szCs w:val="24"/>
                <w:lang w:eastAsia="lv-LV"/>
              </w:rPr>
              <w:t>Saskaņošanas</w:t>
            </w:r>
            <w:r w:rsidRPr="003A7C34">
              <w:rPr>
                <w:rFonts w:ascii="Times New Roman" w:eastAsia="Times New Roman" w:hAnsi="Times New Roman" w:cs="Times New Roman"/>
                <w:sz w:val="24"/>
                <w:szCs w:val="24"/>
                <w:lang w:eastAsia="lv-LV"/>
              </w:rPr>
              <w:t xml:space="preserve"> </w:t>
            </w:r>
            <w:r w:rsidRPr="00A202C9">
              <w:rPr>
                <w:rFonts w:ascii="Times New Roman" w:eastAsia="Times New Roman" w:hAnsi="Times New Roman" w:cs="Times New Roman"/>
                <w:b/>
                <w:bCs/>
                <w:sz w:val="24"/>
                <w:szCs w:val="24"/>
                <w:lang w:eastAsia="lv-LV"/>
              </w:rPr>
              <w:t>rezultāti</w:t>
            </w:r>
          </w:p>
        </w:tc>
        <w:tc>
          <w:tcPr>
            <w:tcW w:w="6379" w:type="dxa"/>
          </w:tcPr>
          <w:p w14:paraId="42E86DBD" w14:textId="5783DE11" w:rsidR="00FC38CB" w:rsidRPr="00710686" w:rsidRDefault="00A47708" w:rsidP="00FC38CB">
            <w:pPr>
              <w:jc w:val="both"/>
              <w:rPr>
                <w:rFonts w:ascii="Times New Roman" w:hAnsi="Times New Roman" w:cs="Times New Roman"/>
                <w:sz w:val="24"/>
                <w:szCs w:val="24"/>
              </w:rPr>
            </w:pPr>
            <w:r>
              <w:rPr>
                <w:rFonts w:ascii="Times New Roman" w:eastAsia="Times New Roman" w:hAnsi="Times New Roman" w:cs="Times New Roman"/>
                <w:bCs/>
                <w:sz w:val="24"/>
                <w:szCs w:val="24"/>
                <w:lang w:eastAsia="lv-LV"/>
              </w:rPr>
              <w:t>S</w:t>
            </w:r>
            <w:r w:rsidRPr="00A47708">
              <w:rPr>
                <w:rFonts w:ascii="Times New Roman" w:eastAsia="Times New Roman" w:hAnsi="Times New Roman" w:cs="Times New Roman"/>
                <w:bCs/>
                <w:sz w:val="24"/>
                <w:szCs w:val="24"/>
                <w:lang w:eastAsia="lv-LV"/>
              </w:rPr>
              <w:t>abiedrības līdzdalības rezultātā par noteikumu projektu netika saņemti priekšlikumi vai iebildumi. Līdz ar to noteikumu projekts ir saskaņots bez priekšlikumiem vai iebildumiem.</w:t>
            </w:r>
          </w:p>
        </w:tc>
      </w:tr>
    </w:tbl>
    <w:p w14:paraId="37E2A4CD" w14:textId="40409C4A" w:rsidR="004D7D20" w:rsidRPr="00741AE8" w:rsidRDefault="004D7D20" w:rsidP="00CB2ED4">
      <w:pPr>
        <w:jc w:val="both"/>
      </w:pPr>
    </w:p>
    <w:sectPr w:rsidR="004D7D20" w:rsidRPr="00741AE8" w:rsidSect="00F55EC3">
      <w:headerReference w:type="default" r:id="rId21"/>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563256" w14:textId="77777777" w:rsidR="00C0092D" w:rsidRDefault="00C0092D" w:rsidP="004D7D20">
      <w:pPr>
        <w:spacing w:after="0" w:line="240" w:lineRule="auto"/>
      </w:pPr>
      <w:r>
        <w:separator/>
      </w:r>
    </w:p>
  </w:endnote>
  <w:endnote w:type="continuationSeparator" w:id="0">
    <w:p w14:paraId="2A4E4AF8" w14:textId="77777777" w:rsidR="00C0092D" w:rsidRDefault="00C0092D" w:rsidP="004D7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87E8EA" w14:textId="77777777" w:rsidR="00C0092D" w:rsidRDefault="00C0092D" w:rsidP="004D7D20">
      <w:pPr>
        <w:spacing w:after="0" w:line="240" w:lineRule="auto"/>
      </w:pPr>
      <w:r>
        <w:separator/>
      </w:r>
    </w:p>
  </w:footnote>
  <w:footnote w:type="continuationSeparator" w:id="0">
    <w:p w14:paraId="67049D6A" w14:textId="77777777" w:rsidR="00C0092D" w:rsidRDefault="00C0092D" w:rsidP="004D7D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57450493"/>
      <w:docPartObj>
        <w:docPartGallery w:val="Page Numbers (Top of Page)"/>
        <w:docPartUnique/>
      </w:docPartObj>
    </w:sdtPr>
    <w:sdtEndPr>
      <w:rPr>
        <w:rFonts w:ascii="Times New Roman" w:hAnsi="Times New Roman" w:cs="Times New Roman"/>
        <w:sz w:val="24"/>
        <w:szCs w:val="24"/>
      </w:rPr>
    </w:sdtEndPr>
    <w:sdtContent>
      <w:p w14:paraId="6AB3F191" w14:textId="6907065D" w:rsidR="001F4EF1" w:rsidRPr="0018184F" w:rsidRDefault="001F4EF1">
        <w:pPr>
          <w:pStyle w:val="Header"/>
          <w:jc w:val="center"/>
          <w:rPr>
            <w:rFonts w:ascii="Times New Roman" w:hAnsi="Times New Roman" w:cs="Times New Roman"/>
            <w:sz w:val="24"/>
            <w:szCs w:val="24"/>
          </w:rPr>
        </w:pPr>
        <w:r w:rsidRPr="0018184F">
          <w:rPr>
            <w:rFonts w:ascii="Times New Roman" w:hAnsi="Times New Roman" w:cs="Times New Roman"/>
            <w:sz w:val="24"/>
            <w:szCs w:val="24"/>
          </w:rPr>
          <w:fldChar w:fldCharType="begin"/>
        </w:r>
        <w:r w:rsidRPr="0018184F">
          <w:rPr>
            <w:rFonts w:ascii="Times New Roman" w:hAnsi="Times New Roman" w:cs="Times New Roman"/>
            <w:sz w:val="24"/>
            <w:szCs w:val="24"/>
          </w:rPr>
          <w:instrText>PAGE   \* MERGEFORMAT</w:instrText>
        </w:r>
        <w:r w:rsidRPr="0018184F">
          <w:rPr>
            <w:rFonts w:ascii="Times New Roman" w:hAnsi="Times New Roman" w:cs="Times New Roman"/>
            <w:sz w:val="24"/>
            <w:szCs w:val="24"/>
          </w:rPr>
          <w:fldChar w:fldCharType="separate"/>
        </w:r>
        <w:r w:rsidRPr="0018184F">
          <w:rPr>
            <w:rFonts w:ascii="Times New Roman" w:hAnsi="Times New Roman" w:cs="Times New Roman"/>
            <w:sz w:val="24"/>
            <w:szCs w:val="24"/>
          </w:rPr>
          <w:t>2</w:t>
        </w:r>
        <w:r w:rsidRPr="0018184F">
          <w:rPr>
            <w:rFonts w:ascii="Times New Roman" w:hAnsi="Times New Roman" w:cs="Times New Roman"/>
            <w:sz w:val="24"/>
            <w:szCs w:val="24"/>
          </w:rPr>
          <w:fldChar w:fldCharType="end"/>
        </w:r>
      </w:p>
    </w:sdtContent>
  </w:sdt>
  <w:p w14:paraId="4713B36F" w14:textId="77777777" w:rsidR="00914B51" w:rsidRDefault="00914B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97DA4"/>
    <w:multiLevelType w:val="hybridMultilevel"/>
    <w:tmpl w:val="7E1C7CC2"/>
    <w:lvl w:ilvl="0" w:tplc="7BF4D016">
      <w:start w:val="1"/>
      <w:numFmt w:val="decimal"/>
      <w:lvlText w:val="%1)"/>
      <w:lvlJc w:val="left"/>
      <w:pPr>
        <w:ind w:left="730" w:hanging="37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4FD113C"/>
    <w:multiLevelType w:val="hybridMultilevel"/>
    <w:tmpl w:val="2334DF7C"/>
    <w:lvl w:ilvl="0" w:tplc="49800120">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A503F61"/>
    <w:multiLevelType w:val="hybridMultilevel"/>
    <w:tmpl w:val="5F0AA10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E462498"/>
    <w:multiLevelType w:val="hybridMultilevel"/>
    <w:tmpl w:val="427E457E"/>
    <w:lvl w:ilvl="0" w:tplc="ED0EDB0E">
      <w:start w:val="2023"/>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58F611BD"/>
    <w:multiLevelType w:val="hybridMultilevel"/>
    <w:tmpl w:val="B336C4A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59D1651A"/>
    <w:multiLevelType w:val="hybridMultilevel"/>
    <w:tmpl w:val="BE7A036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0EC1126"/>
    <w:multiLevelType w:val="hybridMultilevel"/>
    <w:tmpl w:val="B0A40654"/>
    <w:lvl w:ilvl="0" w:tplc="FFFFFFFF">
      <w:start w:val="1"/>
      <w:numFmt w:val="decimal"/>
      <w:lvlText w:val="%1)"/>
      <w:lvlJc w:val="left"/>
      <w:pPr>
        <w:ind w:left="720"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2564912"/>
    <w:multiLevelType w:val="hybridMultilevel"/>
    <w:tmpl w:val="05D6270A"/>
    <w:lvl w:ilvl="0" w:tplc="EC947CEA">
      <w:start w:val="1"/>
      <w:numFmt w:val="decimal"/>
      <w:lvlText w:val="%1)"/>
      <w:lvlJc w:val="left"/>
      <w:pPr>
        <w:ind w:left="720" w:hanging="360"/>
      </w:pPr>
    </w:lvl>
    <w:lvl w:ilvl="1" w:tplc="831A1694">
      <w:start w:val="1"/>
      <w:numFmt w:val="decimal"/>
      <w:lvlText w:val="%2)"/>
      <w:lvlJc w:val="left"/>
      <w:pPr>
        <w:ind w:left="720" w:hanging="360"/>
      </w:pPr>
    </w:lvl>
    <w:lvl w:ilvl="2" w:tplc="B434C43C">
      <w:start w:val="1"/>
      <w:numFmt w:val="decimal"/>
      <w:lvlText w:val="%3)"/>
      <w:lvlJc w:val="left"/>
      <w:pPr>
        <w:ind w:left="720" w:hanging="360"/>
      </w:pPr>
    </w:lvl>
    <w:lvl w:ilvl="3" w:tplc="D7904E48">
      <w:start w:val="1"/>
      <w:numFmt w:val="decimal"/>
      <w:lvlText w:val="%4)"/>
      <w:lvlJc w:val="left"/>
      <w:pPr>
        <w:ind w:left="720" w:hanging="360"/>
      </w:pPr>
    </w:lvl>
    <w:lvl w:ilvl="4" w:tplc="847E651C">
      <w:start w:val="1"/>
      <w:numFmt w:val="decimal"/>
      <w:lvlText w:val="%5)"/>
      <w:lvlJc w:val="left"/>
      <w:pPr>
        <w:ind w:left="720" w:hanging="360"/>
      </w:pPr>
    </w:lvl>
    <w:lvl w:ilvl="5" w:tplc="4C4C9740">
      <w:start w:val="1"/>
      <w:numFmt w:val="decimal"/>
      <w:lvlText w:val="%6)"/>
      <w:lvlJc w:val="left"/>
      <w:pPr>
        <w:ind w:left="720" w:hanging="360"/>
      </w:pPr>
    </w:lvl>
    <w:lvl w:ilvl="6" w:tplc="03E494DA">
      <w:start w:val="1"/>
      <w:numFmt w:val="decimal"/>
      <w:lvlText w:val="%7)"/>
      <w:lvlJc w:val="left"/>
      <w:pPr>
        <w:ind w:left="720" w:hanging="360"/>
      </w:pPr>
    </w:lvl>
    <w:lvl w:ilvl="7" w:tplc="1674E760">
      <w:start w:val="1"/>
      <w:numFmt w:val="decimal"/>
      <w:lvlText w:val="%8)"/>
      <w:lvlJc w:val="left"/>
      <w:pPr>
        <w:ind w:left="720" w:hanging="360"/>
      </w:pPr>
    </w:lvl>
    <w:lvl w:ilvl="8" w:tplc="E892F004">
      <w:start w:val="1"/>
      <w:numFmt w:val="decimal"/>
      <w:lvlText w:val="%9)"/>
      <w:lvlJc w:val="left"/>
      <w:pPr>
        <w:ind w:left="720" w:hanging="360"/>
      </w:pPr>
    </w:lvl>
  </w:abstractNum>
  <w:abstractNum w:abstractNumId="8" w15:restartNumberingAfterBreak="0">
    <w:nsid w:val="71FC1AEB"/>
    <w:multiLevelType w:val="hybridMultilevel"/>
    <w:tmpl w:val="CF268FC0"/>
    <w:lvl w:ilvl="0" w:tplc="C59EEEB8">
      <w:start w:val="1"/>
      <w:numFmt w:val="decimal"/>
      <w:lvlText w:val="%1."/>
      <w:lvlJc w:val="left"/>
      <w:pPr>
        <w:ind w:left="397" w:hanging="360"/>
      </w:pPr>
      <w:rPr>
        <w:rFonts w:hint="default"/>
      </w:rPr>
    </w:lvl>
    <w:lvl w:ilvl="1" w:tplc="04260019" w:tentative="1">
      <w:start w:val="1"/>
      <w:numFmt w:val="lowerLetter"/>
      <w:lvlText w:val="%2."/>
      <w:lvlJc w:val="left"/>
      <w:pPr>
        <w:ind w:left="1117" w:hanging="360"/>
      </w:pPr>
    </w:lvl>
    <w:lvl w:ilvl="2" w:tplc="0426001B" w:tentative="1">
      <w:start w:val="1"/>
      <w:numFmt w:val="lowerRoman"/>
      <w:lvlText w:val="%3."/>
      <w:lvlJc w:val="right"/>
      <w:pPr>
        <w:ind w:left="1837" w:hanging="180"/>
      </w:pPr>
    </w:lvl>
    <w:lvl w:ilvl="3" w:tplc="0426000F" w:tentative="1">
      <w:start w:val="1"/>
      <w:numFmt w:val="decimal"/>
      <w:lvlText w:val="%4."/>
      <w:lvlJc w:val="left"/>
      <w:pPr>
        <w:ind w:left="2557" w:hanging="360"/>
      </w:pPr>
    </w:lvl>
    <w:lvl w:ilvl="4" w:tplc="04260019" w:tentative="1">
      <w:start w:val="1"/>
      <w:numFmt w:val="lowerLetter"/>
      <w:lvlText w:val="%5."/>
      <w:lvlJc w:val="left"/>
      <w:pPr>
        <w:ind w:left="3277" w:hanging="360"/>
      </w:pPr>
    </w:lvl>
    <w:lvl w:ilvl="5" w:tplc="0426001B" w:tentative="1">
      <w:start w:val="1"/>
      <w:numFmt w:val="lowerRoman"/>
      <w:lvlText w:val="%6."/>
      <w:lvlJc w:val="right"/>
      <w:pPr>
        <w:ind w:left="3997" w:hanging="180"/>
      </w:pPr>
    </w:lvl>
    <w:lvl w:ilvl="6" w:tplc="0426000F" w:tentative="1">
      <w:start w:val="1"/>
      <w:numFmt w:val="decimal"/>
      <w:lvlText w:val="%7."/>
      <w:lvlJc w:val="left"/>
      <w:pPr>
        <w:ind w:left="4717" w:hanging="360"/>
      </w:pPr>
    </w:lvl>
    <w:lvl w:ilvl="7" w:tplc="04260019" w:tentative="1">
      <w:start w:val="1"/>
      <w:numFmt w:val="lowerLetter"/>
      <w:lvlText w:val="%8."/>
      <w:lvlJc w:val="left"/>
      <w:pPr>
        <w:ind w:left="5437" w:hanging="360"/>
      </w:pPr>
    </w:lvl>
    <w:lvl w:ilvl="8" w:tplc="0426001B" w:tentative="1">
      <w:start w:val="1"/>
      <w:numFmt w:val="lowerRoman"/>
      <w:lvlText w:val="%9."/>
      <w:lvlJc w:val="right"/>
      <w:pPr>
        <w:ind w:left="6157" w:hanging="180"/>
      </w:pPr>
    </w:lvl>
  </w:abstractNum>
  <w:num w:numId="1" w16cid:durableId="2020741383">
    <w:abstractNumId w:val="3"/>
  </w:num>
  <w:num w:numId="2" w16cid:durableId="219558385">
    <w:abstractNumId w:val="2"/>
  </w:num>
  <w:num w:numId="3" w16cid:durableId="253784293">
    <w:abstractNumId w:val="5"/>
  </w:num>
  <w:num w:numId="4" w16cid:durableId="1561595583">
    <w:abstractNumId w:val="4"/>
  </w:num>
  <w:num w:numId="5" w16cid:durableId="1733966821">
    <w:abstractNumId w:val="1"/>
  </w:num>
  <w:num w:numId="6" w16cid:durableId="479614518">
    <w:abstractNumId w:val="6"/>
  </w:num>
  <w:num w:numId="7" w16cid:durableId="680812784">
    <w:abstractNumId w:val="7"/>
  </w:num>
  <w:num w:numId="8" w16cid:durableId="1325476210">
    <w:abstractNumId w:val="0"/>
  </w:num>
  <w:num w:numId="9" w16cid:durableId="17874328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D20"/>
    <w:rsid w:val="000021E7"/>
    <w:rsid w:val="000050EA"/>
    <w:rsid w:val="00005D3B"/>
    <w:rsid w:val="00007E48"/>
    <w:rsid w:val="00013443"/>
    <w:rsid w:val="0001442B"/>
    <w:rsid w:val="000151B7"/>
    <w:rsid w:val="00021F1A"/>
    <w:rsid w:val="00024967"/>
    <w:rsid w:val="0003590D"/>
    <w:rsid w:val="000375CF"/>
    <w:rsid w:val="000434F8"/>
    <w:rsid w:val="00052B8F"/>
    <w:rsid w:val="00061BAB"/>
    <w:rsid w:val="000620CA"/>
    <w:rsid w:val="000642B7"/>
    <w:rsid w:val="00070518"/>
    <w:rsid w:val="000711B5"/>
    <w:rsid w:val="000721E1"/>
    <w:rsid w:val="00072FC0"/>
    <w:rsid w:val="000754BB"/>
    <w:rsid w:val="00083B07"/>
    <w:rsid w:val="00084683"/>
    <w:rsid w:val="00093104"/>
    <w:rsid w:val="00094025"/>
    <w:rsid w:val="000A091B"/>
    <w:rsid w:val="000A0EE9"/>
    <w:rsid w:val="000A360D"/>
    <w:rsid w:val="000A3708"/>
    <w:rsid w:val="000A49BC"/>
    <w:rsid w:val="000A7F6F"/>
    <w:rsid w:val="000B0418"/>
    <w:rsid w:val="000B0F0C"/>
    <w:rsid w:val="000B18AB"/>
    <w:rsid w:val="000B1C7D"/>
    <w:rsid w:val="000B329F"/>
    <w:rsid w:val="000B491E"/>
    <w:rsid w:val="000B4A2E"/>
    <w:rsid w:val="000B4B85"/>
    <w:rsid w:val="000C4902"/>
    <w:rsid w:val="000C76AC"/>
    <w:rsid w:val="000D1AA3"/>
    <w:rsid w:val="000D1B33"/>
    <w:rsid w:val="000D6E98"/>
    <w:rsid w:val="000D7B1E"/>
    <w:rsid w:val="000E1D27"/>
    <w:rsid w:val="000E5859"/>
    <w:rsid w:val="000E6700"/>
    <w:rsid w:val="000F36D5"/>
    <w:rsid w:val="00100A93"/>
    <w:rsid w:val="0010496E"/>
    <w:rsid w:val="00105FB9"/>
    <w:rsid w:val="0011303F"/>
    <w:rsid w:val="001133A1"/>
    <w:rsid w:val="001224F0"/>
    <w:rsid w:val="00123692"/>
    <w:rsid w:val="00133FB0"/>
    <w:rsid w:val="00135993"/>
    <w:rsid w:val="00142783"/>
    <w:rsid w:val="00147132"/>
    <w:rsid w:val="00147622"/>
    <w:rsid w:val="0015367A"/>
    <w:rsid w:val="00156609"/>
    <w:rsid w:val="00161FB8"/>
    <w:rsid w:val="00170221"/>
    <w:rsid w:val="00171022"/>
    <w:rsid w:val="001756F8"/>
    <w:rsid w:val="001800E3"/>
    <w:rsid w:val="0018184F"/>
    <w:rsid w:val="001827C1"/>
    <w:rsid w:val="00185485"/>
    <w:rsid w:val="00185BFE"/>
    <w:rsid w:val="00187CEB"/>
    <w:rsid w:val="0019384E"/>
    <w:rsid w:val="00195C8F"/>
    <w:rsid w:val="001A2F7D"/>
    <w:rsid w:val="001A77AD"/>
    <w:rsid w:val="001B4534"/>
    <w:rsid w:val="001C03E8"/>
    <w:rsid w:val="001C24C1"/>
    <w:rsid w:val="001D0779"/>
    <w:rsid w:val="001D7E24"/>
    <w:rsid w:val="001E0325"/>
    <w:rsid w:val="001E045D"/>
    <w:rsid w:val="001E0BB0"/>
    <w:rsid w:val="001E34F2"/>
    <w:rsid w:val="001E4BB0"/>
    <w:rsid w:val="001E4DCD"/>
    <w:rsid w:val="001E701B"/>
    <w:rsid w:val="001F4EF1"/>
    <w:rsid w:val="001F60BD"/>
    <w:rsid w:val="001F61C1"/>
    <w:rsid w:val="001F6CE3"/>
    <w:rsid w:val="0020468E"/>
    <w:rsid w:val="0020634D"/>
    <w:rsid w:val="00210B1F"/>
    <w:rsid w:val="002113FD"/>
    <w:rsid w:val="00211D34"/>
    <w:rsid w:val="002126D1"/>
    <w:rsid w:val="00212A26"/>
    <w:rsid w:val="0021670E"/>
    <w:rsid w:val="00220B6E"/>
    <w:rsid w:val="00220EB4"/>
    <w:rsid w:val="0022165C"/>
    <w:rsid w:val="00221D44"/>
    <w:rsid w:val="0022614E"/>
    <w:rsid w:val="002273BD"/>
    <w:rsid w:val="0023270E"/>
    <w:rsid w:val="00232AB3"/>
    <w:rsid w:val="002346B0"/>
    <w:rsid w:val="002408A7"/>
    <w:rsid w:val="00242E4C"/>
    <w:rsid w:val="0024500E"/>
    <w:rsid w:val="00251046"/>
    <w:rsid w:val="0025244D"/>
    <w:rsid w:val="00255F29"/>
    <w:rsid w:val="002621A4"/>
    <w:rsid w:val="00262A34"/>
    <w:rsid w:val="0027276E"/>
    <w:rsid w:val="00283B21"/>
    <w:rsid w:val="00283D41"/>
    <w:rsid w:val="00291BE1"/>
    <w:rsid w:val="002963A3"/>
    <w:rsid w:val="002A1E72"/>
    <w:rsid w:val="002A3BD9"/>
    <w:rsid w:val="002A6CA2"/>
    <w:rsid w:val="002B07DA"/>
    <w:rsid w:val="002B2E47"/>
    <w:rsid w:val="002B7AEB"/>
    <w:rsid w:val="002C2B98"/>
    <w:rsid w:val="002C3875"/>
    <w:rsid w:val="002C6295"/>
    <w:rsid w:val="002C640D"/>
    <w:rsid w:val="002C6CCF"/>
    <w:rsid w:val="002C6D50"/>
    <w:rsid w:val="002D3FFE"/>
    <w:rsid w:val="002D4A37"/>
    <w:rsid w:val="002E1327"/>
    <w:rsid w:val="002E5FC9"/>
    <w:rsid w:val="002E635F"/>
    <w:rsid w:val="002F10D7"/>
    <w:rsid w:val="002F1C0C"/>
    <w:rsid w:val="002F2A40"/>
    <w:rsid w:val="002F4925"/>
    <w:rsid w:val="002F6B5A"/>
    <w:rsid w:val="00300178"/>
    <w:rsid w:val="00304AD5"/>
    <w:rsid w:val="0030749C"/>
    <w:rsid w:val="00312CED"/>
    <w:rsid w:val="00313DCA"/>
    <w:rsid w:val="00316937"/>
    <w:rsid w:val="00316B11"/>
    <w:rsid w:val="00317F16"/>
    <w:rsid w:val="00321062"/>
    <w:rsid w:val="00324765"/>
    <w:rsid w:val="003260EC"/>
    <w:rsid w:val="00326F2F"/>
    <w:rsid w:val="003311CD"/>
    <w:rsid w:val="00331694"/>
    <w:rsid w:val="003340A7"/>
    <w:rsid w:val="00343634"/>
    <w:rsid w:val="003442A2"/>
    <w:rsid w:val="003502E8"/>
    <w:rsid w:val="003514E7"/>
    <w:rsid w:val="00351880"/>
    <w:rsid w:val="003528D3"/>
    <w:rsid w:val="003604DF"/>
    <w:rsid w:val="00361DD9"/>
    <w:rsid w:val="00363615"/>
    <w:rsid w:val="0036658F"/>
    <w:rsid w:val="00366CC3"/>
    <w:rsid w:val="00371040"/>
    <w:rsid w:val="003770FF"/>
    <w:rsid w:val="003876A6"/>
    <w:rsid w:val="003912A6"/>
    <w:rsid w:val="003934A3"/>
    <w:rsid w:val="003A1547"/>
    <w:rsid w:val="003A7C34"/>
    <w:rsid w:val="003B01FF"/>
    <w:rsid w:val="003B0F31"/>
    <w:rsid w:val="003B33BA"/>
    <w:rsid w:val="003B5091"/>
    <w:rsid w:val="003B5C31"/>
    <w:rsid w:val="003B7C70"/>
    <w:rsid w:val="003C0EE6"/>
    <w:rsid w:val="003C2B3E"/>
    <w:rsid w:val="003D1C04"/>
    <w:rsid w:val="003E0020"/>
    <w:rsid w:val="003E04EB"/>
    <w:rsid w:val="003E559F"/>
    <w:rsid w:val="003F20B8"/>
    <w:rsid w:val="003F2BDA"/>
    <w:rsid w:val="0040095C"/>
    <w:rsid w:val="0040205E"/>
    <w:rsid w:val="00404CD6"/>
    <w:rsid w:val="00407E67"/>
    <w:rsid w:val="0041058E"/>
    <w:rsid w:val="00417F80"/>
    <w:rsid w:val="00422A7C"/>
    <w:rsid w:val="0042473F"/>
    <w:rsid w:val="00426B2C"/>
    <w:rsid w:val="00430443"/>
    <w:rsid w:val="00430A44"/>
    <w:rsid w:val="00437266"/>
    <w:rsid w:val="00441B3E"/>
    <w:rsid w:val="00442614"/>
    <w:rsid w:val="00442D3E"/>
    <w:rsid w:val="00442D8A"/>
    <w:rsid w:val="0044564D"/>
    <w:rsid w:val="004463D3"/>
    <w:rsid w:val="0045084D"/>
    <w:rsid w:val="00450C86"/>
    <w:rsid w:val="00452D04"/>
    <w:rsid w:val="004544D3"/>
    <w:rsid w:val="00454BE5"/>
    <w:rsid w:val="00456FAA"/>
    <w:rsid w:val="0046451C"/>
    <w:rsid w:val="00465DD0"/>
    <w:rsid w:val="00472FFC"/>
    <w:rsid w:val="004772FB"/>
    <w:rsid w:val="004816A5"/>
    <w:rsid w:val="00483FEF"/>
    <w:rsid w:val="00484852"/>
    <w:rsid w:val="00486007"/>
    <w:rsid w:val="00494F09"/>
    <w:rsid w:val="004A560C"/>
    <w:rsid w:val="004A5D40"/>
    <w:rsid w:val="004A6F4E"/>
    <w:rsid w:val="004B3BBE"/>
    <w:rsid w:val="004B6A02"/>
    <w:rsid w:val="004B6B4B"/>
    <w:rsid w:val="004C63C6"/>
    <w:rsid w:val="004C7F14"/>
    <w:rsid w:val="004D1EB8"/>
    <w:rsid w:val="004D4654"/>
    <w:rsid w:val="004D5218"/>
    <w:rsid w:val="004D63C1"/>
    <w:rsid w:val="004D7821"/>
    <w:rsid w:val="004D7D20"/>
    <w:rsid w:val="004E0F0D"/>
    <w:rsid w:val="004E53F4"/>
    <w:rsid w:val="004E638F"/>
    <w:rsid w:val="004F068C"/>
    <w:rsid w:val="004F07D0"/>
    <w:rsid w:val="004F0FE1"/>
    <w:rsid w:val="004F226D"/>
    <w:rsid w:val="004F4693"/>
    <w:rsid w:val="004F5C09"/>
    <w:rsid w:val="00501A43"/>
    <w:rsid w:val="005028D8"/>
    <w:rsid w:val="0050352A"/>
    <w:rsid w:val="00507C56"/>
    <w:rsid w:val="00511C5E"/>
    <w:rsid w:val="00512479"/>
    <w:rsid w:val="00520B95"/>
    <w:rsid w:val="005227B6"/>
    <w:rsid w:val="005322CF"/>
    <w:rsid w:val="00533A17"/>
    <w:rsid w:val="00533C38"/>
    <w:rsid w:val="005364B7"/>
    <w:rsid w:val="0055187E"/>
    <w:rsid w:val="00561840"/>
    <w:rsid w:val="00561E4F"/>
    <w:rsid w:val="00563073"/>
    <w:rsid w:val="005673EC"/>
    <w:rsid w:val="00567DEF"/>
    <w:rsid w:val="00571F5D"/>
    <w:rsid w:val="005721A2"/>
    <w:rsid w:val="0057686D"/>
    <w:rsid w:val="00577222"/>
    <w:rsid w:val="00580783"/>
    <w:rsid w:val="0059070B"/>
    <w:rsid w:val="00590EF4"/>
    <w:rsid w:val="00592E64"/>
    <w:rsid w:val="00593C7F"/>
    <w:rsid w:val="00593EB6"/>
    <w:rsid w:val="005945BA"/>
    <w:rsid w:val="00595003"/>
    <w:rsid w:val="005A2587"/>
    <w:rsid w:val="005A2AB1"/>
    <w:rsid w:val="005A371C"/>
    <w:rsid w:val="005A41AB"/>
    <w:rsid w:val="005B0D79"/>
    <w:rsid w:val="005B38B3"/>
    <w:rsid w:val="005B4E58"/>
    <w:rsid w:val="005B73FE"/>
    <w:rsid w:val="005B7F87"/>
    <w:rsid w:val="005C249B"/>
    <w:rsid w:val="005C477A"/>
    <w:rsid w:val="005C6710"/>
    <w:rsid w:val="005C6F27"/>
    <w:rsid w:val="005C7A4E"/>
    <w:rsid w:val="005E2284"/>
    <w:rsid w:val="005E3086"/>
    <w:rsid w:val="005E3B80"/>
    <w:rsid w:val="005E3F53"/>
    <w:rsid w:val="005E64B3"/>
    <w:rsid w:val="005F36CC"/>
    <w:rsid w:val="005F6090"/>
    <w:rsid w:val="0060153E"/>
    <w:rsid w:val="00601D56"/>
    <w:rsid w:val="00603D98"/>
    <w:rsid w:val="00606810"/>
    <w:rsid w:val="00606FCF"/>
    <w:rsid w:val="00621993"/>
    <w:rsid w:val="00621B68"/>
    <w:rsid w:val="00624CE8"/>
    <w:rsid w:val="00626732"/>
    <w:rsid w:val="006307A1"/>
    <w:rsid w:val="00630FA7"/>
    <w:rsid w:val="00633269"/>
    <w:rsid w:val="00633E46"/>
    <w:rsid w:val="0063607A"/>
    <w:rsid w:val="0063654A"/>
    <w:rsid w:val="00642BC4"/>
    <w:rsid w:val="0064657E"/>
    <w:rsid w:val="00650410"/>
    <w:rsid w:val="00651479"/>
    <w:rsid w:val="006525D1"/>
    <w:rsid w:val="00653039"/>
    <w:rsid w:val="00653960"/>
    <w:rsid w:val="00656FF8"/>
    <w:rsid w:val="00657769"/>
    <w:rsid w:val="00665CAD"/>
    <w:rsid w:val="00667B34"/>
    <w:rsid w:val="00673281"/>
    <w:rsid w:val="00680E40"/>
    <w:rsid w:val="0068263E"/>
    <w:rsid w:val="006827F2"/>
    <w:rsid w:val="00682FA5"/>
    <w:rsid w:val="0068372E"/>
    <w:rsid w:val="0068380B"/>
    <w:rsid w:val="00685A05"/>
    <w:rsid w:val="00686149"/>
    <w:rsid w:val="00686B6E"/>
    <w:rsid w:val="00690E9C"/>
    <w:rsid w:val="006926A6"/>
    <w:rsid w:val="00696C35"/>
    <w:rsid w:val="006A3B94"/>
    <w:rsid w:val="006A4445"/>
    <w:rsid w:val="006A6073"/>
    <w:rsid w:val="006A70EB"/>
    <w:rsid w:val="006C44C9"/>
    <w:rsid w:val="006C532D"/>
    <w:rsid w:val="006C564A"/>
    <w:rsid w:val="006D077B"/>
    <w:rsid w:val="006D0B7A"/>
    <w:rsid w:val="006D0C5C"/>
    <w:rsid w:val="006D1A02"/>
    <w:rsid w:val="006D5F36"/>
    <w:rsid w:val="006D6D82"/>
    <w:rsid w:val="006F5239"/>
    <w:rsid w:val="007048E4"/>
    <w:rsid w:val="00710686"/>
    <w:rsid w:val="00710DA5"/>
    <w:rsid w:val="0071625E"/>
    <w:rsid w:val="0071733C"/>
    <w:rsid w:val="007200D7"/>
    <w:rsid w:val="00721BEA"/>
    <w:rsid w:val="0072304B"/>
    <w:rsid w:val="00731A18"/>
    <w:rsid w:val="0073254C"/>
    <w:rsid w:val="007331DF"/>
    <w:rsid w:val="00736400"/>
    <w:rsid w:val="00736D49"/>
    <w:rsid w:val="00737059"/>
    <w:rsid w:val="00741AE8"/>
    <w:rsid w:val="007437A8"/>
    <w:rsid w:val="00745C0D"/>
    <w:rsid w:val="007539DC"/>
    <w:rsid w:val="00760EAA"/>
    <w:rsid w:val="0076100E"/>
    <w:rsid w:val="007657EB"/>
    <w:rsid w:val="007672B8"/>
    <w:rsid w:val="00770DDA"/>
    <w:rsid w:val="007719B2"/>
    <w:rsid w:val="007747FE"/>
    <w:rsid w:val="00777358"/>
    <w:rsid w:val="007824EB"/>
    <w:rsid w:val="00786B14"/>
    <w:rsid w:val="00787487"/>
    <w:rsid w:val="00797204"/>
    <w:rsid w:val="00797917"/>
    <w:rsid w:val="007A4EB3"/>
    <w:rsid w:val="007A6C4D"/>
    <w:rsid w:val="007C3713"/>
    <w:rsid w:val="007C60B7"/>
    <w:rsid w:val="007C7BCD"/>
    <w:rsid w:val="007D3FB7"/>
    <w:rsid w:val="007E15C8"/>
    <w:rsid w:val="007E4E5C"/>
    <w:rsid w:val="007F0C14"/>
    <w:rsid w:val="007F3732"/>
    <w:rsid w:val="00800221"/>
    <w:rsid w:val="00800B4C"/>
    <w:rsid w:val="00802B37"/>
    <w:rsid w:val="00802CE3"/>
    <w:rsid w:val="008038C0"/>
    <w:rsid w:val="008051E4"/>
    <w:rsid w:val="008061DF"/>
    <w:rsid w:val="00815F3D"/>
    <w:rsid w:val="00817418"/>
    <w:rsid w:val="00821405"/>
    <w:rsid w:val="00822E71"/>
    <w:rsid w:val="00825D1F"/>
    <w:rsid w:val="00826283"/>
    <w:rsid w:val="00830037"/>
    <w:rsid w:val="0083376C"/>
    <w:rsid w:val="00834471"/>
    <w:rsid w:val="00835821"/>
    <w:rsid w:val="00835D81"/>
    <w:rsid w:val="00836D64"/>
    <w:rsid w:val="0084323D"/>
    <w:rsid w:val="00845440"/>
    <w:rsid w:val="00845C27"/>
    <w:rsid w:val="00851C5D"/>
    <w:rsid w:val="00853301"/>
    <w:rsid w:val="00854E07"/>
    <w:rsid w:val="00861A27"/>
    <w:rsid w:val="0086383F"/>
    <w:rsid w:val="008642EF"/>
    <w:rsid w:val="00866469"/>
    <w:rsid w:val="00871F76"/>
    <w:rsid w:val="008740A8"/>
    <w:rsid w:val="00877C44"/>
    <w:rsid w:val="008803FC"/>
    <w:rsid w:val="008810F8"/>
    <w:rsid w:val="00883734"/>
    <w:rsid w:val="008839BC"/>
    <w:rsid w:val="0089023F"/>
    <w:rsid w:val="008929BA"/>
    <w:rsid w:val="00894B59"/>
    <w:rsid w:val="008950CA"/>
    <w:rsid w:val="00897242"/>
    <w:rsid w:val="008B03F7"/>
    <w:rsid w:val="008B2BC6"/>
    <w:rsid w:val="008B4769"/>
    <w:rsid w:val="008B4C29"/>
    <w:rsid w:val="008B75D0"/>
    <w:rsid w:val="008B7C5A"/>
    <w:rsid w:val="008C0B17"/>
    <w:rsid w:val="008C18C8"/>
    <w:rsid w:val="008C500E"/>
    <w:rsid w:val="008D0C81"/>
    <w:rsid w:val="008D1AFB"/>
    <w:rsid w:val="008D76DE"/>
    <w:rsid w:val="008E09D5"/>
    <w:rsid w:val="008E292D"/>
    <w:rsid w:val="008F10D3"/>
    <w:rsid w:val="008F15D4"/>
    <w:rsid w:val="008F19FB"/>
    <w:rsid w:val="008F270E"/>
    <w:rsid w:val="008F7432"/>
    <w:rsid w:val="008F759A"/>
    <w:rsid w:val="009008D8"/>
    <w:rsid w:val="009051B9"/>
    <w:rsid w:val="00905C0A"/>
    <w:rsid w:val="00905FAA"/>
    <w:rsid w:val="009063AF"/>
    <w:rsid w:val="00906B10"/>
    <w:rsid w:val="00910227"/>
    <w:rsid w:val="009119A9"/>
    <w:rsid w:val="00912565"/>
    <w:rsid w:val="0091404B"/>
    <w:rsid w:val="00914189"/>
    <w:rsid w:val="00914420"/>
    <w:rsid w:val="00914B51"/>
    <w:rsid w:val="00914D5A"/>
    <w:rsid w:val="00921030"/>
    <w:rsid w:val="00926807"/>
    <w:rsid w:val="00927070"/>
    <w:rsid w:val="00931484"/>
    <w:rsid w:val="009335D5"/>
    <w:rsid w:val="00940C85"/>
    <w:rsid w:val="00941193"/>
    <w:rsid w:val="0094205C"/>
    <w:rsid w:val="009500E7"/>
    <w:rsid w:val="009509A4"/>
    <w:rsid w:val="0095203D"/>
    <w:rsid w:val="00952874"/>
    <w:rsid w:val="00954061"/>
    <w:rsid w:val="00960B48"/>
    <w:rsid w:val="00963458"/>
    <w:rsid w:val="0096351E"/>
    <w:rsid w:val="00964FB9"/>
    <w:rsid w:val="00965373"/>
    <w:rsid w:val="00977615"/>
    <w:rsid w:val="009822D4"/>
    <w:rsid w:val="00983442"/>
    <w:rsid w:val="00984050"/>
    <w:rsid w:val="00987987"/>
    <w:rsid w:val="00993909"/>
    <w:rsid w:val="009959DD"/>
    <w:rsid w:val="0099611F"/>
    <w:rsid w:val="00996D7D"/>
    <w:rsid w:val="009A0657"/>
    <w:rsid w:val="009A5CC3"/>
    <w:rsid w:val="009B0544"/>
    <w:rsid w:val="009B1075"/>
    <w:rsid w:val="009B4AC9"/>
    <w:rsid w:val="009B6162"/>
    <w:rsid w:val="009B620B"/>
    <w:rsid w:val="009C3525"/>
    <w:rsid w:val="009C3909"/>
    <w:rsid w:val="009D1970"/>
    <w:rsid w:val="009D53DE"/>
    <w:rsid w:val="009D5E6B"/>
    <w:rsid w:val="009E425D"/>
    <w:rsid w:val="009E69EA"/>
    <w:rsid w:val="009E6A95"/>
    <w:rsid w:val="009F0B6E"/>
    <w:rsid w:val="009F2D2F"/>
    <w:rsid w:val="009F5A05"/>
    <w:rsid w:val="00A10986"/>
    <w:rsid w:val="00A11EBC"/>
    <w:rsid w:val="00A136B9"/>
    <w:rsid w:val="00A16630"/>
    <w:rsid w:val="00A202C9"/>
    <w:rsid w:val="00A23583"/>
    <w:rsid w:val="00A4254A"/>
    <w:rsid w:val="00A46015"/>
    <w:rsid w:val="00A46872"/>
    <w:rsid w:val="00A4717C"/>
    <w:rsid w:val="00A47708"/>
    <w:rsid w:val="00A551E7"/>
    <w:rsid w:val="00A61684"/>
    <w:rsid w:val="00A7205F"/>
    <w:rsid w:val="00A77246"/>
    <w:rsid w:val="00A80B5A"/>
    <w:rsid w:val="00A85BEA"/>
    <w:rsid w:val="00A969C9"/>
    <w:rsid w:val="00A9721F"/>
    <w:rsid w:val="00AA195C"/>
    <w:rsid w:val="00AB3B6E"/>
    <w:rsid w:val="00AB4AF8"/>
    <w:rsid w:val="00AC2934"/>
    <w:rsid w:val="00AC5CF5"/>
    <w:rsid w:val="00AC77DE"/>
    <w:rsid w:val="00AD2183"/>
    <w:rsid w:val="00AD392C"/>
    <w:rsid w:val="00AE1C96"/>
    <w:rsid w:val="00AF06BE"/>
    <w:rsid w:val="00AF37B5"/>
    <w:rsid w:val="00AF3B0F"/>
    <w:rsid w:val="00AF5404"/>
    <w:rsid w:val="00AF5C57"/>
    <w:rsid w:val="00AF7C4C"/>
    <w:rsid w:val="00B01E24"/>
    <w:rsid w:val="00B02D3A"/>
    <w:rsid w:val="00B124CD"/>
    <w:rsid w:val="00B13592"/>
    <w:rsid w:val="00B202DB"/>
    <w:rsid w:val="00B2040A"/>
    <w:rsid w:val="00B20F58"/>
    <w:rsid w:val="00B27B70"/>
    <w:rsid w:val="00B305D2"/>
    <w:rsid w:val="00B30615"/>
    <w:rsid w:val="00B32AF1"/>
    <w:rsid w:val="00B353B7"/>
    <w:rsid w:val="00B35D22"/>
    <w:rsid w:val="00B3777E"/>
    <w:rsid w:val="00B40708"/>
    <w:rsid w:val="00B40CC0"/>
    <w:rsid w:val="00B43382"/>
    <w:rsid w:val="00B43E2A"/>
    <w:rsid w:val="00B45F9D"/>
    <w:rsid w:val="00B5670E"/>
    <w:rsid w:val="00B626DA"/>
    <w:rsid w:val="00B67A09"/>
    <w:rsid w:val="00B718A7"/>
    <w:rsid w:val="00B821A5"/>
    <w:rsid w:val="00B82618"/>
    <w:rsid w:val="00B833B5"/>
    <w:rsid w:val="00B84167"/>
    <w:rsid w:val="00B87BDC"/>
    <w:rsid w:val="00B90C07"/>
    <w:rsid w:val="00B91AFC"/>
    <w:rsid w:val="00B91D57"/>
    <w:rsid w:val="00B922C6"/>
    <w:rsid w:val="00B975C0"/>
    <w:rsid w:val="00BA3686"/>
    <w:rsid w:val="00BA3B8F"/>
    <w:rsid w:val="00BA64F9"/>
    <w:rsid w:val="00BA7659"/>
    <w:rsid w:val="00BB6E66"/>
    <w:rsid w:val="00BC0110"/>
    <w:rsid w:val="00BC3468"/>
    <w:rsid w:val="00BC411D"/>
    <w:rsid w:val="00BE22D3"/>
    <w:rsid w:val="00BE3010"/>
    <w:rsid w:val="00BE3D09"/>
    <w:rsid w:val="00BF0AFB"/>
    <w:rsid w:val="00BF209C"/>
    <w:rsid w:val="00BF2932"/>
    <w:rsid w:val="00BF572D"/>
    <w:rsid w:val="00BF5BB6"/>
    <w:rsid w:val="00C0092D"/>
    <w:rsid w:val="00C07599"/>
    <w:rsid w:val="00C079C4"/>
    <w:rsid w:val="00C11DFC"/>
    <w:rsid w:val="00C12CF8"/>
    <w:rsid w:val="00C1739D"/>
    <w:rsid w:val="00C217B9"/>
    <w:rsid w:val="00C246CB"/>
    <w:rsid w:val="00C3120B"/>
    <w:rsid w:val="00C31C47"/>
    <w:rsid w:val="00C36164"/>
    <w:rsid w:val="00C36F5E"/>
    <w:rsid w:val="00C41B8C"/>
    <w:rsid w:val="00C519B1"/>
    <w:rsid w:val="00C52D72"/>
    <w:rsid w:val="00C56AB3"/>
    <w:rsid w:val="00C57D77"/>
    <w:rsid w:val="00C61E53"/>
    <w:rsid w:val="00C62E90"/>
    <w:rsid w:val="00C65457"/>
    <w:rsid w:val="00C65592"/>
    <w:rsid w:val="00C660F7"/>
    <w:rsid w:val="00C774DB"/>
    <w:rsid w:val="00C77D1C"/>
    <w:rsid w:val="00C833B0"/>
    <w:rsid w:val="00C85B44"/>
    <w:rsid w:val="00C91D59"/>
    <w:rsid w:val="00C9333A"/>
    <w:rsid w:val="00C94171"/>
    <w:rsid w:val="00C95193"/>
    <w:rsid w:val="00C952EC"/>
    <w:rsid w:val="00CA0E4F"/>
    <w:rsid w:val="00CA3C0C"/>
    <w:rsid w:val="00CA4A7A"/>
    <w:rsid w:val="00CA5AD7"/>
    <w:rsid w:val="00CA6589"/>
    <w:rsid w:val="00CA67B3"/>
    <w:rsid w:val="00CA7D59"/>
    <w:rsid w:val="00CB29D1"/>
    <w:rsid w:val="00CB2ED4"/>
    <w:rsid w:val="00CB36F6"/>
    <w:rsid w:val="00CB5D37"/>
    <w:rsid w:val="00CB67BA"/>
    <w:rsid w:val="00CC035C"/>
    <w:rsid w:val="00CC4A55"/>
    <w:rsid w:val="00CC70C1"/>
    <w:rsid w:val="00CD31E2"/>
    <w:rsid w:val="00CD37E5"/>
    <w:rsid w:val="00CE18CE"/>
    <w:rsid w:val="00CE7E34"/>
    <w:rsid w:val="00CF0C5C"/>
    <w:rsid w:val="00CF1BA0"/>
    <w:rsid w:val="00CF6ED5"/>
    <w:rsid w:val="00D05249"/>
    <w:rsid w:val="00D06984"/>
    <w:rsid w:val="00D10CD9"/>
    <w:rsid w:val="00D34E4F"/>
    <w:rsid w:val="00D36BD8"/>
    <w:rsid w:val="00D417CA"/>
    <w:rsid w:val="00D430B7"/>
    <w:rsid w:val="00D53004"/>
    <w:rsid w:val="00D57B18"/>
    <w:rsid w:val="00D67D2E"/>
    <w:rsid w:val="00D70FDF"/>
    <w:rsid w:val="00D71FB4"/>
    <w:rsid w:val="00D720FB"/>
    <w:rsid w:val="00D738B1"/>
    <w:rsid w:val="00D8147A"/>
    <w:rsid w:val="00D84FB8"/>
    <w:rsid w:val="00D85C28"/>
    <w:rsid w:val="00D87F65"/>
    <w:rsid w:val="00D90B21"/>
    <w:rsid w:val="00D91C56"/>
    <w:rsid w:val="00D93195"/>
    <w:rsid w:val="00D96AA6"/>
    <w:rsid w:val="00DA2007"/>
    <w:rsid w:val="00DA32E6"/>
    <w:rsid w:val="00DB75E1"/>
    <w:rsid w:val="00DC0200"/>
    <w:rsid w:val="00DC0682"/>
    <w:rsid w:val="00DC329B"/>
    <w:rsid w:val="00DC58C2"/>
    <w:rsid w:val="00DD59EA"/>
    <w:rsid w:val="00DE1D4F"/>
    <w:rsid w:val="00DE54D0"/>
    <w:rsid w:val="00DF19E1"/>
    <w:rsid w:val="00DF425D"/>
    <w:rsid w:val="00E01603"/>
    <w:rsid w:val="00E02C21"/>
    <w:rsid w:val="00E0471F"/>
    <w:rsid w:val="00E0655E"/>
    <w:rsid w:val="00E20DE8"/>
    <w:rsid w:val="00E20F19"/>
    <w:rsid w:val="00E222DF"/>
    <w:rsid w:val="00E22880"/>
    <w:rsid w:val="00E2293F"/>
    <w:rsid w:val="00E263A3"/>
    <w:rsid w:val="00E337E7"/>
    <w:rsid w:val="00E349E3"/>
    <w:rsid w:val="00E366A0"/>
    <w:rsid w:val="00E42EA1"/>
    <w:rsid w:val="00E4484D"/>
    <w:rsid w:val="00E45F88"/>
    <w:rsid w:val="00E47C44"/>
    <w:rsid w:val="00E5686B"/>
    <w:rsid w:val="00E63B84"/>
    <w:rsid w:val="00E65511"/>
    <w:rsid w:val="00E657DE"/>
    <w:rsid w:val="00E67036"/>
    <w:rsid w:val="00E67EA0"/>
    <w:rsid w:val="00E737AC"/>
    <w:rsid w:val="00E73DEF"/>
    <w:rsid w:val="00E82790"/>
    <w:rsid w:val="00E829A1"/>
    <w:rsid w:val="00E83577"/>
    <w:rsid w:val="00E83B23"/>
    <w:rsid w:val="00E85A18"/>
    <w:rsid w:val="00E87461"/>
    <w:rsid w:val="00E9559F"/>
    <w:rsid w:val="00E97E14"/>
    <w:rsid w:val="00EA061E"/>
    <w:rsid w:val="00EA0CC6"/>
    <w:rsid w:val="00EA2EB2"/>
    <w:rsid w:val="00EA3C17"/>
    <w:rsid w:val="00EB5590"/>
    <w:rsid w:val="00EB6818"/>
    <w:rsid w:val="00EC0B1D"/>
    <w:rsid w:val="00EC27B8"/>
    <w:rsid w:val="00EC34DC"/>
    <w:rsid w:val="00EC44FD"/>
    <w:rsid w:val="00EC45A5"/>
    <w:rsid w:val="00ED228E"/>
    <w:rsid w:val="00ED3376"/>
    <w:rsid w:val="00EE014A"/>
    <w:rsid w:val="00EE426C"/>
    <w:rsid w:val="00EE61B4"/>
    <w:rsid w:val="00EF14CB"/>
    <w:rsid w:val="00EF2B72"/>
    <w:rsid w:val="00EF64CC"/>
    <w:rsid w:val="00EF78EF"/>
    <w:rsid w:val="00F00555"/>
    <w:rsid w:val="00F0440B"/>
    <w:rsid w:val="00F07888"/>
    <w:rsid w:val="00F11EC5"/>
    <w:rsid w:val="00F1508E"/>
    <w:rsid w:val="00F22887"/>
    <w:rsid w:val="00F235E3"/>
    <w:rsid w:val="00F23BC2"/>
    <w:rsid w:val="00F23FE0"/>
    <w:rsid w:val="00F24CF6"/>
    <w:rsid w:val="00F26E81"/>
    <w:rsid w:val="00F2777F"/>
    <w:rsid w:val="00F30344"/>
    <w:rsid w:val="00F31808"/>
    <w:rsid w:val="00F32B6E"/>
    <w:rsid w:val="00F3350F"/>
    <w:rsid w:val="00F36222"/>
    <w:rsid w:val="00F40D1D"/>
    <w:rsid w:val="00F41E0D"/>
    <w:rsid w:val="00F45E93"/>
    <w:rsid w:val="00F51E6A"/>
    <w:rsid w:val="00F52256"/>
    <w:rsid w:val="00F55EC3"/>
    <w:rsid w:val="00F575D8"/>
    <w:rsid w:val="00F57A0E"/>
    <w:rsid w:val="00F60D95"/>
    <w:rsid w:val="00F622F3"/>
    <w:rsid w:val="00F640B4"/>
    <w:rsid w:val="00F65661"/>
    <w:rsid w:val="00F6715F"/>
    <w:rsid w:val="00F701EA"/>
    <w:rsid w:val="00F7682B"/>
    <w:rsid w:val="00F84334"/>
    <w:rsid w:val="00F84D42"/>
    <w:rsid w:val="00F85D18"/>
    <w:rsid w:val="00F8796E"/>
    <w:rsid w:val="00F910CC"/>
    <w:rsid w:val="00F96434"/>
    <w:rsid w:val="00F9654E"/>
    <w:rsid w:val="00F96A4F"/>
    <w:rsid w:val="00FA0D6A"/>
    <w:rsid w:val="00FA3BAB"/>
    <w:rsid w:val="00FA57FC"/>
    <w:rsid w:val="00FB112C"/>
    <w:rsid w:val="00FB465B"/>
    <w:rsid w:val="00FC0BBE"/>
    <w:rsid w:val="00FC0EB4"/>
    <w:rsid w:val="00FC1BCE"/>
    <w:rsid w:val="00FC2E36"/>
    <w:rsid w:val="00FC38CB"/>
    <w:rsid w:val="00FC4C67"/>
    <w:rsid w:val="00FC692D"/>
    <w:rsid w:val="00FC6B3E"/>
    <w:rsid w:val="00FD0CE5"/>
    <w:rsid w:val="00FD3D93"/>
    <w:rsid w:val="00FE651D"/>
    <w:rsid w:val="00FF05EA"/>
    <w:rsid w:val="00FF13B2"/>
    <w:rsid w:val="00FF19C3"/>
    <w:rsid w:val="00FF1CBC"/>
    <w:rsid w:val="00FF345E"/>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CFB681"/>
  <w15:docId w15:val="{2FCABF7B-984B-4A85-B6F0-4B516849C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D7D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E6A95"/>
    <w:rPr>
      <w:sz w:val="16"/>
      <w:szCs w:val="16"/>
    </w:rPr>
  </w:style>
  <w:style w:type="paragraph" w:styleId="CommentText">
    <w:name w:val="annotation text"/>
    <w:basedOn w:val="Normal"/>
    <w:link w:val="CommentTextChar"/>
    <w:uiPriority w:val="99"/>
    <w:unhideWhenUsed/>
    <w:rsid w:val="009E6A95"/>
    <w:pPr>
      <w:spacing w:line="240" w:lineRule="auto"/>
    </w:pPr>
    <w:rPr>
      <w:sz w:val="20"/>
      <w:szCs w:val="20"/>
    </w:rPr>
  </w:style>
  <w:style w:type="character" w:customStyle="1" w:styleId="CommentTextChar">
    <w:name w:val="Comment Text Char"/>
    <w:basedOn w:val="DefaultParagraphFont"/>
    <w:link w:val="CommentText"/>
    <w:uiPriority w:val="99"/>
    <w:rsid w:val="009E6A95"/>
    <w:rPr>
      <w:sz w:val="20"/>
      <w:szCs w:val="20"/>
    </w:rPr>
  </w:style>
  <w:style w:type="paragraph" w:styleId="CommentSubject">
    <w:name w:val="annotation subject"/>
    <w:basedOn w:val="CommentText"/>
    <w:next w:val="CommentText"/>
    <w:link w:val="CommentSubjectChar"/>
    <w:uiPriority w:val="99"/>
    <w:semiHidden/>
    <w:unhideWhenUsed/>
    <w:rsid w:val="009E6A95"/>
    <w:rPr>
      <w:b/>
      <w:bCs/>
    </w:rPr>
  </w:style>
  <w:style w:type="character" w:customStyle="1" w:styleId="CommentSubjectChar">
    <w:name w:val="Comment Subject Char"/>
    <w:basedOn w:val="CommentTextChar"/>
    <w:link w:val="CommentSubject"/>
    <w:uiPriority w:val="99"/>
    <w:semiHidden/>
    <w:rsid w:val="009E6A95"/>
    <w:rPr>
      <w:b/>
      <w:bCs/>
      <w:sz w:val="20"/>
      <w:szCs w:val="20"/>
    </w:rPr>
  </w:style>
  <w:style w:type="paragraph" w:styleId="ListParagraph">
    <w:name w:val="List Paragraph"/>
    <w:basedOn w:val="Normal"/>
    <w:uiPriority w:val="34"/>
    <w:qFormat/>
    <w:rsid w:val="00210B1F"/>
    <w:pPr>
      <w:ind w:left="720"/>
      <w:contextualSpacing/>
    </w:pPr>
  </w:style>
  <w:style w:type="character" w:styleId="Hyperlink">
    <w:name w:val="Hyperlink"/>
    <w:basedOn w:val="DefaultParagraphFont"/>
    <w:uiPriority w:val="99"/>
    <w:unhideWhenUsed/>
    <w:rsid w:val="000C4902"/>
    <w:rPr>
      <w:color w:val="0563C1"/>
      <w:u w:val="single"/>
    </w:rPr>
  </w:style>
  <w:style w:type="character" w:styleId="UnresolvedMention">
    <w:name w:val="Unresolved Mention"/>
    <w:basedOn w:val="DefaultParagraphFont"/>
    <w:uiPriority w:val="99"/>
    <w:semiHidden/>
    <w:unhideWhenUsed/>
    <w:rsid w:val="009B0544"/>
    <w:rPr>
      <w:color w:val="605E5C"/>
      <w:shd w:val="clear" w:color="auto" w:fill="E1DFDD"/>
    </w:rPr>
  </w:style>
  <w:style w:type="paragraph" w:styleId="Revision">
    <w:name w:val="Revision"/>
    <w:hidden/>
    <w:uiPriority w:val="99"/>
    <w:semiHidden/>
    <w:rsid w:val="00324765"/>
    <w:pPr>
      <w:spacing w:after="0" w:line="240" w:lineRule="auto"/>
    </w:pPr>
  </w:style>
  <w:style w:type="paragraph" w:styleId="FootnoteText">
    <w:name w:val="footnote text"/>
    <w:basedOn w:val="Normal"/>
    <w:link w:val="FootnoteTextChar"/>
    <w:uiPriority w:val="99"/>
    <w:unhideWhenUsed/>
    <w:rsid w:val="00665CAD"/>
    <w:pPr>
      <w:spacing w:after="0" w:line="240" w:lineRule="auto"/>
    </w:pPr>
    <w:rPr>
      <w:sz w:val="20"/>
      <w:szCs w:val="20"/>
      <w:lang w:val="ru-RU"/>
    </w:rPr>
  </w:style>
  <w:style w:type="character" w:customStyle="1" w:styleId="FootnoteTextChar">
    <w:name w:val="Footnote Text Char"/>
    <w:basedOn w:val="DefaultParagraphFont"/>
    <w:link w:val="FootnoteText"/>
    <w:uiPriority w:val="99"/>
    <w:rsid w:val="00665CAD"/>
    <w:rPr>
      <w:sz w:val="20"/>
      <w:szCs w:val="20"/>
      <w:lang w:val="ru-RU"/>
    </w:rPr>
  </w:style>
  <w:style w:type="character" w:styleId="FootnoteReference">
    <w:name w:val="footnote reference"/>
    <w:basedOn w:val="DefaultParagraphFont"/>
    <w:uiPriority w:val="99"/>
    <w:unhideWhenUsed/>
    <w:rsid w:val="00665CAD"/>
    <w:rPr>
      <w:vertAlign w:val="superscript"/>
    </w:rPr>
  </w:style>
  <w:style w:type="paragraph" w:styleId="Header">
    <w:name w:val="header"/>
    <w:basedOn w:val="Normal"/>
    <w:link w:val="HeaderChar"/>
    <w:uiPriority w:val="99"/>
    <w:unhideWhenUsed/>
    <w:rsid w:val="00914B51"/>
    <w:pPr>
      <w:tabs>
        <w:tab w:val="center" w:pos="4153"/>
        <w:tab w:val="right" w:pos="8306"/>
      </w:tabs>
      <w:spacing w:after="0" w:line="240" w:lineRule="auto"/>
    </w:pPr>
  </w:style>
  <w:style w:type="character" w:customStyle="1" w:styleId="HeaderChar">
    <w:name w:val="Header Char"/>
    <w:basedOn w:val="DefaultParagraphFont"/>
    <w:link w:val="Header"/>
    <w:uiPriority w:val="99"/>
    <w:rsid w:val="00914B51"/>
  </w:style>
  <w:style w:type="paragraph" w:styleId="Footer">
    <w:name w:val="footer"/>
    <w:basedOn w:val="Normal"/>
    <w:link w:val="FooterChar"/>
    <w:uiPriority w:val="99"/>
    <w:unhideWhenUsed/>
    <w:rsid w:val="00914B51"/>
    <w:pPr>
      <w:tabs>
        <w:tab w:val="center" w:pos="4153"/>
        <w:tab w:val="right" w:pos="8306"/>
      </w:tabs>
      <w:spacing w:after="0" w:line="240" w:lineRule="auto"/>
    </w:pPr>
  </w:style>
  <w:style w:type="character" w:customStyle="1" w:styleId="FooterChar">
    <w:name w:val="Footer Char"/>
    <w:basedOn w:val="DefaultParagraphFont"/>
    <w:link w:val="Footer"/>
    <w:uiPriority w:val="99"/>
    <w:rsid w:val="00914B51"/>
  </w:style>
  <w:style w:type="character" w:styleId="FollowedHyperlink">
    <w:name w:val="FollowedHyperlink"/>
    <w:basedOn w:val="DefaultParagraphFont"/>
    <w:uiPriority w:val="99"/>
    <w:semiHidden/>
    <w:unhideWhenUsed/>
    <w:rsid w:val="002346B0"/>
    <w:rPr>
      <w:color w:val="954F72" w:themeColor="followedHyperlink"/>
      <w:u w:val="single"/>
    </w:rPr>
  </w:style>
  <w:style w:type="paragraph" w:customStyle="1" w:styleId="pf0">
    <w:name w:val="pf0"/>
    <w:basedOn w:val="Normal"/>
    <w:rsid w:val="009F0B6E"/>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cf01">
    <w:name w:val="cf01"/>
    <w:basedOn w:val="DefaultParagraphFont"/>
    <w:rsid w:val="009F0B6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8994292">
      <w:bodyDiv w:val="1"/>
      <w:marLeft w:val="0"/>
      <w:marRight w:val="0"/>
      <w:marTop w:val="0"/>
      <w:marBottom w:val="0"/>
      <w:divBdr>
        <w:top w:val="none" w:sz="0" w:space="0" w:color="auto"/>
        <w:left w:val="none" w:sz="0" w:space="0" w:color="auto"/>
        <w:bottom w:val="none" w:sz="0" w:space="0" w:color="auto"/>
        <w:right w:val="none" w:sz="0" w:space="0" w:color="auto"/>
      </w:divBdr>
    </w:div>
    <w:div w:id="462969927">
      <w:bodyDiv w:val="1"/>
      <w:marLeft w:val="0"/>
      <w:marRight w:val="0"/>
      <w:marTop w:val="0"/>
      <w:marBottom w:val="0"/>
      <w:divBdr>
        <w:top w:val="none" w:sz="0" w:space="0" w:color="auto"/>
        <w:left w:val="none" w:sz="0" w:space="0" w:color="auto"/>
        <w:bottom w:val="none" w:sz="0" w:space="0" w:color="auto"/>
        <w:right w:val="none" w:sz="0" w:space="0" w:color="auto"/>
      </w:divBdr>
    </w:div>
    <w:div w:id="474447218">
      <w:bodyDiv w:val="1"/>
      <w:marLeft w:val="0"/>
      <w:marRight w:val="0"/>
      <w:marTop w:val="0"/>
      <w:marBottom w:val="0"/>
      <w:divBdr>
        <w:top w:val="none" w:sz="0" w:space="0" w:color="auto"/>
        <w:left w:val="none" w:sz="0" w:space="0" w:color="auto"/>
        <w:bottom w:val="none" w:sz="0" w:space="0" w:color="auto"/>
        <w:right w:val="none" w:sz="0" w:space="0" w:color="auto"/>
      </w:divBdr>
    </w:div>
    <w:div w:id="784156918">
      <w:bodyDiv w:val="1"/>
      <w:marLeft w:val="0"/>
      <w:marRight w:val="0"/>
      <w:marTop w:val="0"/>
      <w:marBottom w:val="0"/>
      <w:divBdr>
        <w:top w:val="none" w:sz="0" w:space="0" w:color="auto"/>
        <w:left w:val="none" w:sz="0" w:space="0" w:color="auto"/>
        <w:bottom w:val="none" w:sz="0" w:space="0" w:color="auto"/>
        <w:right w:val="none" w:sz="0" w:space="0" w:color="auto"/>
      </w:divBdr>
    </w:div>
    <w:div w:id="981930715">
      <w:bodyDiv w:val="1"/>
      <w:marLeft w:val="0"/>
      <w:marRight w:val="0"/>
      <w:marTop w:val="0"/>
      <w:marBottom w:val="0"/>
      <w:divBdr>
        <w:top w:val="none" w:sz="0" w:space="0" w:color="auto"/>
        <w:left w:val="none" w:sz="0" w:space="0" w:color="auto"/>
        <w:bottom w:val="none" w:sz="0" w:space="0" w:color="auto"/>
        <w:right w:val="none" w:sz="0" w:space="0" w:color="auto"/>
      </w:divBdr>
    </w:div>
    <w:div w:id="1403719383">
      <w:bodyDiv w:val="1"/>
      <w:marLeft w:val="0"/>
      <w:marRight w:val="0"/>
      <w:marTop w:val="0"/>
      <w:marBottom w:val="0"/>
      <w:divBdr>
        <w:top w:val="none" w:sz="0" w:space="0" w:color="auto"/>
        <w:left w:val="none" w:sz="0" w:space="0" w:color="auto"/>
        <w:bottom w:val="none" w:sz="0" w:space="0" w:color="auto"/>
        <w:right w:val="none" w:sz="0" w:space="0" w:color="auto"/>
      </w:divBdr>
    </w:div>
    <w:div w:id="20157621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kumi.lv/ta/id/275045-kreditiestazu-un-ieguldijumu-brokeru-sabiedribu-darbibas-atjaunosanas-un-noregulejuma-likums" TargetMode="External"/><Relationship Id="rId18" Type="http://schemas.openxmlformats.org/officeDocument/2006/relationships/hyperlink" Target="https://eur-lex.europa.eu/legal-content/LV/TXT/PDF/?uri=CELEX:02019L0878-20201228"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eur-lex.europa.eu/legal-content/LV/TXT/PDF/?uri=CELEX:32016R1075" TargetMode="External"/><Relationship Id="rId17" Type="http://schemas.openxmlformats.org/officeDocument/2006/relationships/hyperlink" Target="https://likumi.lv/ta/id/316372-finansiala-atbalsta-sniegsanas-nosacijumu-izpildes-izvertesanas-normativie-noteikumi" TargetMode="External"/><Relationship Id="rId2" Type="http://schemas.openxmlformats.org/officeDocument/2006/relationships/customXml" Target="../customXml/item2.xml"/><Relationship Id="rId16" Type="http://schemas.openxmlformats.org/officeDocument/2006/relationships/hyperlink" Target="https://www.eba.europa.eu/sites/default/files/documents/10180/1137032/d1dacc3a-dca4-49d0-9722-e648a4b3bd6b/EBA-GL-2015-17%20GLs%20on%20financial%20support_LV.pdf" TargetMode="External"/><Relationship Id="rId20" Type="http://schemas.openxmlformats.org/officeDocument/2006/relationships/hyperlink" Target="http://www.bank.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LV/TXT/PDF/?uri=CELEX:02013R0575-20240709" TargetMode="External"/><Relationship Id="rId5" Type="http://schemas.openxmlformats.org/officeDocument/2006/relationships/numbering" Target="numbering.xml"/><Relationship Id="rId15" Type="http://schemas.openxmlformats.org/officeDocument/2006/relationships/hyperlink" Target="https://likumi.lv/ta/id/37426-kreditiestazu-likums,%2520P%01rejas%2520noteikumi,%252056.%2520punkt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ur-lex.europa.eu/legal-content/LV/TXT/PDF/?uri=CELEX:02019L2034-20240109"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ikumi.lv/ta/id/332418-ieguldijumu-brokeru-sabiedribu-likums" TargetMode="External"/><Relationship Id="rId22"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E828A5-75A6-40F1-857E-E2ED37AC05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D88E76C-957A-4E3B-97D0-C4F62E546F1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ACE6A7A-868C-4ACF-B4A5-561D6042EDC5}">
  <ds:schemaRefs>
    <ds:schemaRef ds:uri="http://schemas.openxmlformats.org/officeDocument/2006/bibliography"/>
  </ds:schemaRefs>
</ds:datastoreItem>
</file>

<file path=customXml/itemProps4.xml><?xml version="1.0" encoding="utf-8"?>
<ds:datastoreItem xmlns:ds="http://schemas.openxmlformats.org/officeDocument/2006/customXml" ds:itemID="{26E1010F-DB22-44E1-A48B-7B8376DB2A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8082</Words>
  <Characters>4608</Characters>
  <Application>Microsoft Office Word</Application>
  <DocSecurity>0</DocSecurity>
  <Lines>38</Lines>
  <Paragraphs>25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Ivars Avotiņš</dc:creator>
  <cp:keywords/>
  <dc:description/>
  <cp:lastModifiedBy>Inga Jermoloviča</cp:lastModifiedBy>
  <cp:revision>3</cp:revision>
  <cp:lastPrinted>2023-11-14T10:41:00Z</cp:lastPrinted>
  <dcterms:created xsi:type="dcterms:W3CDTF">2024-10-18T05:25:00Z</dcterms:created>
  <dcterms:modified xsi:type="dcterms:W3CDTF">2024-10-18T05:30:00Z</dcterms:modified>
</cp:coreProperties>
</file>