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BD890" w14:textId="64A4DE65" w:rsidR="003B481B" w:rsidRPr="000B4E0A" w:rsidRDefault="00CA28AB" w:rsidP="005F56C6">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0E254B" w:rsidRPr="000E254B">
        <w:rPr>
          <w:rFonts w:ascii="Times New Roman" w:hAnsi="Times New Roman" w:cs="Times New Roman"/>
          <w:b/>
          <w:bCs/>
          <w:sz w:val="24"/>
          <w:szCs w:val="24"/>
        </w:rPr>
        <w:t>"</w:t>
      </w:r>
      <w:r w:rsidR="00845298">
        <w:rPr>
          <w:rFonts w:ascii="Times New Roman" w:hAnsi="Times New Roman" w:cs="Times New Roman"/>
          <w:b/>
          <w:bCs/>
          <w:sz w:val="24"/>
          <w:szCs w:val="24"/>
        </w:rPr>
        <w:t>P</w:t>
      </w:r>
      <w:r w:rsidR="00582C97" w:rsidRPr="00582C97">
        <w:rPr>
          <w:rFonts w:ascii="Times New Roman" w:hAnsi="Times New Roman" w:cs="Times New Roman"/>
          <w:b/>
          <w:bCs/>
          <w:sz w:val="24"/>
          <w:szCs w:val="24"/>
        </w:rPr>
        <w:t>rasīb</w:t>
      </w:r>
      <w:r w:rsidR="00845298">
        <w:rPr>
          <w:rFonts w:ascii="Times New Roman" w:hAnsi="Times New Roman" w:cs="Times New Roman"/>
          <w:b/>
          <w:bCs/>
          <w:sz w:val="24"/>
          <w:szCs w:val="24"/>
        </w:rPr>
        <w:t>as</w:t>
      </w:r>
      <w:r w:rsidR="00582C97" w:rsidRPr="00582C97">
        <w:rPr>
          <w:rFonts w:ascii="Times New Roman" w:hAnsi="Times New Roman" w:cs="Times New Roman"/>
          <w:b/>
          <w:bCs/>
          <w:sz w:val="24"/>
          <w:szCs w:val="24"/>
        </w:rPr>
        <w:t xml:space="preserve"> noregulējamības </w:t>
      </w:r>
      <w:r w:rsidR="00AD60D7" w:rsidRPr="00582C97">
        <w:rPr>
          <w:rFonts w:ascii="Times New Roman" w:hAnsi="Times New Roman" w:cs="Times New Roman"/>
          <w:b/>
          <w:bCs/>
          <w:sz w:val="24"/>
          <w:szCs w:val="24"/>
        </w:rPr>
        <w:t xml:space="preserve">novērtējumam </w:t>
      </w:r>
      <w:r w:rsidR="00AD60D7">
        <w:rPr>
          <w:rFonts w:ascii="Times New Roman" w:hAnsi="Times New Roman" w:cs="Times New Roman"/>
          <w:b/>
          <w:bCs/>
          <w:sz w:val="24"/>
          <w:szCs w:val="24"/>
        </w:rPr>
        <w:t xml:space="preserve">un </w:t>
      </w:r>
      <w:r w:rsidR="00582C97" w:rsidRPr="00582C97">
        <w:rPr>
          <w:rFonts w:ascii="Times New Roman" w:hAnsi="Times New Roman" w:cs="Times New Roman"/>
          <w:b/>
          <w:bCs/>
          <w:sz w:val="24"/>
          <w:szCs w:val="24"/>
        </w:rPr>
        <w:t>uzlabošanai</w:t>
      </w:r>
      <w:r w:rsidR="000E254B" w:rsidRPr="000E254B">
        <w:rPr>
          <w:rFonts w:ascii="Times New Roman" w:hAnsi="Times New Roman" w:cs="Times New Roman"/>
          <w:b/>
          <w:bCs/>
          <w:sz w:val="24"/>
          <w:szCs w:val="24"/>
        </w:rPr>
        <w:t>"</w:t>
      </w:r>
      <w:r w:rsidR="00582C97" w:rsidRPr="00582C97" w:rsidDel="00582C97">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236FE195" w14:textId="77777777" w:rsidR="003B481B" w:rsidRPr="000B4E0A" w:rsidRDefault="003B481B" w:rsidP="00AD60D7">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055941C" w14:textId="77777777" w:rsidTr="00E253DA">
        <w:trPr>
          <w:trHeight w:val="567"/>
        </w:trPr>
        <w:tc>
          <w:tcPr>
            <w:tcW w:w="1796" w:type="pct"/>
            <w:shd w:val="clear" w:color="auto" w:fill="auto"/>
            <w:hideMark/>
          </w:tcPr>
          <w:p w14:paraId="162DDFBB"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8ECD129"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2115FF" w14:textId="33773ED3" w:rsidR="00E53DE9" w:rsidRPr="000C19D9" w:rsidRDefault="00845298" w:rsidP="00AD60D7">
            <w:pPr>
              <w:spacing w:after="0" w:line="240" w:lineRule="auto"/>
              <w:jc w:val="both"/>
              <w:rPr>
                <w:rFonts w:ascii="Times New Roman" w:eastAsia="Times New Roman" w:hAnsi="Times New Roman" w:cs="Times New Roman"/>
                <w:sz w:val="24"/>
                <w:szCs w:val="24"/>
                <w:lang w:eastAsia="lv-LV"/>
              </w:rPr>
            </w:pPr>
            <w:r w:rsidRPr="00845298">
              <w:rPr>
                <w:rFonts w:ascii="Times New Roman" w:eastAsia="Times New Roman" w:hAnsi="Times New Roman" w:cs="Times New Roman"/>
                <w:sz w:val="24"/>
                <w:szCs w:val="24"/>
                <w:lang w:eastAsia="lv-LV"/>
              </w:rPr>
              <w:t>Prasības noregulējamības novērtējumam un uzlabošanai</w:t>
            </w:r>
          </w:p>
        </w:tc>
      </w:tr>
      <w:tr w:rsidR="000B4E0A" w:rsidRPr="000B4E0A" w14:paraId="18D347B2" w14:textId="77777777" w:rsidTr="00E253DA">
        <w:trPr>
          <w:trHeight w:val="567"/>
        </w:trPr>
        <w:tc>
          <w:tcPr>
            <w:tcW w:w="1796" w:type="pct"/>
            <w:shd w:val="clear" w:color="auto" w:fill="auto"/>
            <w:hideMark/>
          </w:tcPr>
          <w:p w14:paraId="6E1F99AF"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D57D286"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D3441F6" w14:textId="41EEE7B5" w:rsidR="00E53DE9" w:rsidRPr="00944D1B" w:rsidRDefault="00944D1B" w:rsidP="00AD60D7">
            <w:pPr>
              <w:spacing w:after="0" w:line="240" w:lineRule="auto"/>
              <w:rPr>
                <w:rFonts w:ascii="Times New Roman" w:eastAsia="Times New Roman" w:hAnsi="Times New Roman" w:cs="Times New Roman"/>
                <w:sz w:val="24"/>
                <w:szCs w:val="24"/>
                <w:lang w:eastAsia="lv-LV"/>
              </w:rPr>
            </w:pPr>
            <w:r w:rsidRPr="00944D1B">
              <w:rPr>
                <w:rFonts w:ascii="Times New Roman" w:eastAsia="Times New Roman" w:hAnsi="Times New Roman" w:cs="Times New Roman"/>
                <w:sz w:val="24"/>
                <w:szCs w:val="24"/>
                <w:lang w:eastAsia="lv-LV"/>
              </w:rPr>
              <w:t>Latvijas Bankas noteikumi</w:t>
            </w:r>
          </w:p>
        </w:tc>
      </w:tr>
      <w:tr w:rsidR="000B4E0A" w:rsidRPr="000B4E0A" w14:paraId="31F6A216" w14:textId="77777777" w:rsidTr="00E253DA">
        <w:trPr>
          <w:trHeight w:val="567"/>
        </w:trPr>
        <w:tc>
          <w:tcPr>
            <w:tcW w:w="1796" w:type="pct"/>
            <w:shd w:val="clear" w:color="auto" w:fill="auto"/>
            <w:hideMark/>
          </w:tcPr>
          <w:p w14:paraId="7C723C85"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4588B7BF"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8FDF6ED" w14:textId="4EC919A7" w:rsidR="00944D1B" w:rsidRPr="009B27BE" w:rsidRDefault="00944D1B" w:rsidP="00AD60D7">
            <w:pPr>
              <w:spacing w:after="0" w:line="240" w:lineRule="auto"/>
              <w:jc w:val="both"/>
              <w:rPr>
                <w:rFonts w:ascii="Times New Roman" w:eastAsia="Times New Roman" w:hAnsi="Times New Roman" w:cs="Times New Roman"/>
                <w:i/>
                <w:iCs/>
                <w:sz w:val="24"/>
                <w:szCs w:val="24"/>
                <w:lang w:eastAsia="lv-LV"/>
              </w:rPr>
            </w:pPr>
            <w:r w:rsidRPr="00944D1B">
              <w:rPr>
                <w:rFonts w:ascii="Times New Roman" w:eastAsia="Times New Roman" w:hAnsi="Times New Roman" w:cs="Times New Roman"/>
                <w:sz w:val="24"/>
                <w:szCs w:val="24"/>
                <w:lang w:eastAsia="lv-LV"/>
              </w:rPr>
              <w:t>Kredītiestāžu un ieguldījumu brokeru sabiedrību</w:t>
            </w:r>
            <w:r w:rsidR="00CF1BA4">
              <w:rPr>
                <w:rFonts w:ascii="Times New Roman" w:eastAsia="Times New Roman" w:hAnsi="Times New Roman" w:cs="Times New Roman"/>
                <w:sz w:val="24"/>
                <w:szCs w:val="24"/>
                <w:lang w:eastAsia="lv-LV"/>
              </w:rPr>
              <w:t xml:space="preserve"> </w:t>
            </w:r>
            <w:r w:rsidRPr="00944D1B">
              <w:rPr>
                <w:rFonts w:ascii="Times New Roman" w:eastAsia="Times New Roman" w:hAnsi="Times New Roman" w:cs="Times New Roman"/>
                <w:sz w:val="24"/>
                <w:szCs w:val="24"/>
                <w:lang w:eastAsia="lv-LV"/>
              </w:rPr>
              <w:t xml:space="preserve">darbības atjaunošanas un noregulējuma likuma </w:t>
            </w:r>
            <w:r w:rsidR="00707BED">
              <w:rPr>
                <w:rFonts w:ascii="Times New Roman" w:eastAsia="Times New Roman" w:hAnsi="Times New Roman" w:cs="Times New Roman"/>
                <w:sz w:val="24"/>
                <w:szCs w:val="24"/>
                <w:lang w:eastAsia="lv-LV"/>
              </w:rPr>
              <w:t xml:space="preserve">(turpmāk – Likums) </w:t>
            </w:r>
            <w:r w:rsidRPr="00944D1B">
              <w:rPr>
                <w:rFonts w:ascii="Times New Roman" w:eastAsia="Times New Roman" w:hAnsi="Times New Roman" w:cs="Times New Roman"/>
                <w:sz w:val="24"/>
                <w:szCs w:val="24"/>
                <w:lang w:eastAsia="lv-LV"/>
              </w:rPr>
              <w:t>3.</w:t>
            </w:r>
            <w:r w:rsidR="00582C97">
              <w:rPr>
                <w:rFonts w:ascii="Times New Roman" w:eastAsia="Times New Roman" w:hAnsi="Times New Roman" w:cs="Times New Roman"/>
                <w:sz w:val="24"/>
                <w:szCs w:val="24"/>
                <w:lang w:eastAsia="lv-LV"/>
              </w:rPr>
              <w:t> </w:t>
            </w:r>
            <w:r w:rsidRPr="00944D1B">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944D1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944D1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944D1B">
              <w:rPr>
                <w:rFonts w:ascii="Times New Roman" w:eastAsia="Times New Roman" w:hAnsi="Times New Roman" w:cs="Times New Roman"/>
                <w:sz w:val="24"/>
                <w:szCs w:val="24"/>
                <w:lang w:eastAsia="lv-LV"/>
              </w:rPr>
              <w:t>17.</w:t>
            </w:r>
            <w:r w:rsidR="00582C97">
              <w:rPr>
                <w:rFonts w:ascii="Times New Roman" w:eastAsia="Times New Roman" w:hAnsi="Times New Roman" w:cs="Times New Roman"/>
                <w:sz w:val="24"/>
                <w:szCs w:val="24"/>
                <w:lang w:eastAsia="lv-LV"/>
              </w:rPr>
              <w:t> </w:t>
            </w:r>
            <w:r w:rsidRPr="00944D1B">
              <w:rPr>
                <w:rFonts w:ascii="Times New Roman" w:eastAsia="Times New Roman" w:hAnsi="Times New Roman" w:cs="Times New Roman"/>
                <w:sz w:val="24"/>
                <w:szCs w:val="24"/>
                <w:lang w:eastAsia="lv-LV"/>
              </w:rPr>
              <w:t>panta 2.</w:t>
            </w:r>
            <w:r w:rsidRPr="00944D1B">
              <w:rPr>
                <w:rFonts w:ascii="Times New Roman" w:eastAsia="Times New Roman" w:hAnsi="Times New Roman" w:cs="Times New Roman"/>
                <w:sz w:val="24"/>
                <w:szCs w:val="24"/>
                <w:vertAlign w:val="superscript"/>
                <w:lang w:eastAsia="lv-LV"/>
              </w:rPr>
              <w:t>1</w:t>
            </w:r>
            <w:r w:rsidR="00582C97">
              <w:rPr>
                <w:rFonts w:ascii="Times New Roman" w:eastAsia="Times New Roman" w:hAnsi="Times New Roman" w:cs="Times New Roman"/>
                <w:sz w:val="24"/>
                <w:szCs w:val="24"/>
                <w:lang w:eastAsia="lv-LV"/>
              </w:rPr>
              <w:t> </w:t>
            </w:r>
            <w:r w:rsidRPr="00944D1B">
              <w:rPr>
                <w:rFonts w:ascii="Times New Roman" w:eastAsia="Times New Roman" w:hAnsi="Times New Roman" w:cs="Times New Roman"/>
                <w:sz w:val="24"/>
                <w:szCs w:val="24"/>
                <w:lang w:eastAsia="lv-LV"/>
              </w:rPr>
              <w:t>daļ</w:t>
            </w:r>
            <w:r>
              <w:rPr>
                <w:rFonts w:ascii="Times New Roman" w:eastAsia="Times New Roman" w:hAnsi="Times New Roman" w:cs="Times New Roman"/>
                <w:sz w:val="24"/>
                <w:szCs w:val="24"/>
                <w:lang w:eastAsia="lv-LV"/>
              </w:rPr>
              <w:t>a</w:t>
            </w:r>
            <w:r w:rsidRPr="00944D1B">
              <w:rPr>
                <w:rFonts w:ascii="Times New Roman" w:eastAsia="Times New Roman" w:hAnsi="Times New Roman" w:cs="Times New Roman"/>
                <w:sz w:val="24"/>
                <w:szCs w:val="24"/>
                <w:lang w:eastAsia="lv-LV"/>
              </w:rPr>
              <w:t xml:space="preserve"> un 18.</w:t>
            </w:r>
            <w:r w:rsidR="00582C97">
              <w:rPr>
                <w:rFonts w:ascii="Times New Roman" w:eastAsia="Times New Roman" w:hAnsi="Times New Roman" w:cs="Times New Roman"/>
                <w:sz w:val="24"/>
                <w:szCs w:val="24"/>
                <w:lang w:eastAsia="lv-LV"/>
              </w:rPr>
              <w:t> </w:t>
            </w:r>
            <w:r w:rsidRPr="00944D1B">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944D1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a, </w:t>
            </w:r>
            <w:r w:rsidRPr="00944D1B">
              <w:rPr>
                <w:rFonts w:ascii="Times New Roman" w:eastAsia="Times New Roman" w:hAnsi="Times New Roman" w:cs="Times New Roman"/>
                <w:sz w:val="24"/>
                <w:szCs w:val="24"/>
                <w:lang w:eastAsia="lv-LV"/>
              </w:rPr>
              <w:t>Latvijas</w:t>
            </w:r>
            <w:r>
              <w:rPr>
                <w:rFonts w:ascii="Times New Roman" w:eastAsia="Times New Roman" w:hAnsi="Times New Roman" w:cs="Times New Roman"/>
                <w:sz w:val="24"/>
                <w:szCs w:val="24"/>
                <w:lang w:eastAsia="lv-LV"/>
              </w:rPr>
              <w:t xml:space="preserve"> </w:t>
            </w:r>
            <w:r w:rsidRPr="00944D1B">
              <w:rPr>
                <w:rFonts w:ascii="Times New Roman" w:eastAsia="Times New Roman" w:hAnsi="Times New Roman" w:cs="Times New Roman"/>
                <w:sz w:val="24"/>
                <w:szCs w:val="24"/>
                <w:lang w:eastAsia="lv-LV"/>
              </w:rPr>
              <w:t>Bankas likuma pārejas noteikumu 3. punkts</w:t>
            </w:r>
          </w:p>
        </w:tc>
      </w:tr>
      <w:tr w:rsidR="000B4E0A" w:rsidRPr="000B4E0A" w14:paraId="379F0F55" w14:textId="77777777" w:rsidTr="00E253DA">
        <w:trPr>
          <w:trHeight w:val="567"/>
        </w:trPr>
        <w:tc>
          <w:tcPr>
            <w:tcW w:w="1796" w:type="pct"/>
            <w:shd w:val="clear" w:color="auto" w:fill="auto"/>
            <w:hideMark/>
          </w:tcPr>
          <w:p w14:paraId="5DB5047A"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4799809"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9BEADBE" w14:textId="6F644E6C" w:rsidR="00707BED" w:rsidRPr="005A6E1A" w:rsidRDefault="00707BED" w:rsidP="00E53509">
            <w:pPr>
              <w:spacing w:after="120" w:line="240" w:lineRule="auto"/>
              <w:jc w:val="both"/>
              <w:rPr>
                <w:rFonts w:ascii="Times New Roman" w:hAnsi="Times New Roman" w:cs="Times New Roman"/>
                <w:sz w:val="24"/>
                <w:szCs w:val="24"/>
              </w:rPr>
            </w:pPr>
            <w:r w:rsidRPr="006A5CC2">
              <w:rPr>
                <w:rFonts w:ascii="Times New Roman" w:hAnsi="Times New Roman" w:cs="Times New Roman"/>
                <w:sz w:val="24"/>
                <w:szCs w:val="24"/>
              </w:rPr>
              <w:t>Saskaņā ar Latvijas Bankas likuma pārejas noteikumu 3. 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FADF0D2" w14:textId="13E9ED7E" w:rsidR="00707BED" w:rsidRDefault="00707BED" w:rsidP="00E5350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Ņemot vērā minēto, </w:t>
            </w:r>
            <w:r w:rsidR="00944D1B" w:rsidRPr="00CF1BA4">
              <w:rPr>
                <w:rFonts w:ascii="Times New Roman" w:eastAsia="Times New Roman" w:hAnsi="Times New Roman" w:cs="Times New Roman"/>
                <w:sz w:val="24"/>
                <w:szCs w:val="24"/>
                <w:lang w:eastAsia="lv-LV"/>
              </w:rPr>
              <w:t>Latvijas Banka ir izstrādājusi noteikumu projektu "</w:t>
            </w:r>
            <w:r w:rsidR="00845298" w:rsidRPr="00845298">
              <w:rPr>
                <w:rFonts w:ascii="Times New Roman" w:eastAsia="Times New Roman" w:hAnsi="Times New Roman" w:cs="Times New Roman"/>
                <w:sz w:val="24"/>
                <w:szCs w:val="24"/>
                <w:lang w:eastAsia="lv-LV"/>
              </w:rPr>
              <w:t>Prasības noregulējamības novērtējumam un uzlabošanai</w:t>
            </w:r>
            <w:r w:rsidR="00944D1B" w:rsidRPr="00D33353">
              <w:rPr>
                <w:rFonts w:ascii="Times New Roman" w:eastAsia="Times New Roman" w:hAnsi="Times New Roman" w:cs="Times New Roman"/>
                <w:sz w:val="24"/>
                <w:szCs w:val="24"/>
                <w:lang w:eastAsia="lv-LV"/>
              </w:rPr>
              <w:t>"</w:t>
            </w:r>
            <w:r w:rsidR="00CF1BA4" w:rsidRPr="00D33353">
              <w:rPr>
                <w:rFonts w:ascii="Times New Roman" w:eastAsia="Times New Roman" w:hAnsi="Times New Roman" w:cs="Times New Roman"/>
                <w:sz w:val="24"/>
                <w:szCs w:val="24"/>
                <w:lang w:eastAsia="lv-LV"/>
              </w:rPr>
              <w:t xml:space="preserve"> </w:t>
            </w:r>
            <w:r w:rsidR="00944D1B" w:rsidRPr="00D33353">
              <w:rPr>
                <w:rFonts w:ascii="Times New Roman" w:eastAsia="Times New Roman" w:hAnsi="Times New Roman" w:cs="Times New Roman"/>
                <w:sz w:val="24"/>
                <w:szCs w:val="24"/>
                <w:lang w:eastAsia="lv-LV"/>
              </w:rPr>
              <w:t xml:space="preserve">(turpmāk – noteikumu projekts), </w:t>
            </w:r>
            <w:r>
              <w:rPr>
                <w:rFonts w:ascii="Times New Roman" w:eastAsia="Times New Roman" w:hAnsi="Times New Roman" w:cs="Times New Roman"/>
                <w:sz w:val="24"/>
                <w:szCs w:val="24"/>
                <w:lang w:eastAsia="lv-LV"/>
              </w:rPr>
              <w:t>kas</w:t>
            </w:r>
            <w:r w:rsidRPr="00CF1BA4">
              <w:rPr>
                <w:rFonts w:ascii="Times New Roman" w:eastAsia="Times New Roman" w:hAnsi="Times New Roman" w:cs="Times New Roman"/>
                <w:sz w:val="24"/>
                <w:szCs w:val="24"/>
                <w:lang w:eastAsia="lv-LV"/>
              </w:rPr>
              <w:t xml:space="preserve"> aizstās Finanšu un kapitāla tirgus komisijas 2022.</w:t>
            </w:r>
            <w:r w:rsidR="00582C97">
              <w:rPr>
                <w:rFonts w:ascii="Times New Roman" w:eastAsia="Times New Roman" w:hAnsi="Times New Roman" w:cs="Times New Roman"/>
                <w:sz w:val="24"/>
                <w:szCs w:val="24"/>
                <w:lang w:eastAsia="lv-LV"/>
              </w:rPr>
              <w:t> </w:t>
            </w:r>
            <w:r w:rsidRPr="00CF1BA4">
              <w:rPr>
                <w:rFonts w:ascii="Times New Roman" w:eastAsia="Times New Roman" w:hAnsi="Times New Roman" w:cs="Times New Roman"/>
                <w:sz w:val="24"/>
                <w:szCs w:val="24"/>
                <w:lang w:eastAsia="lv-LV"/>
              </w:rPr>
              <w:t>gada 29.</w:t>
            </w:r>
            <w:r w:rsidR="00582C97">
              <w:rPr>
                <w:rFonts w:ascii="Times New Roman" w:eastAsia="Times New Roman" w:hAnsi="Times New Roman" w:cs="Times New Roman"/>
                <w:sz w:val="24"/>
                <w:szCs w:val="24"/>
                <w:lang w:eastAsia="lv-LV"/>
              </w:rPr>
              <w:t> </w:t>
            </w:r>
            <w:r w:rsidRPr="00CF1BA4">
              <w:rPr>
                <w:rFonts w:ascii="Times New Roman" w:eastAsia="Times New Roman" w:hAnsi="Times New Roman" w:cs="Times New Roman"/>
                <w:sz w:val="24"/>
                <w:szCs w:val="24"/>
                <w:lang w:eastAsia="lv-LV"/>
              </w:rPr>
              <w:t>marta normatīvos noteikumus Nr.</w:t>
            </w:r>
            <w:r w:rsidR="00582C97">
              <w:rPr>
                <w:rFonts w:ascii="Times New Roman" w:eastAsia="Times New Roman" w:hAnsi="Times New Roman" w:cs="Times New Roman"/>
                <w:sz w:val="24"/>
                <w:szCs w:val="24"/>
                <w:lang w:eastAsia="lv-LV"/>
              </w:rPr>
              <w:t> </w:t>
            </w:r>
            <w:r w:rsidRPr="00CF1BA4">
              <w:rPr>
                <w:rFonts w:ascii="Times New Roman" w:eastAsia="Times New Roman" w:hAnsi="Times New Roman" w:cs="Times New Roman"/>
                <w:sz w:val="24"/>
                <w:szCs w:val="24"/>
                <w:lang w:eastAsia="lv-LV"/>
              </w:rPr>
              <w:t>37 "Normatīvie noteikumi par iestādes vai finanšu sabiedrības noregulējuma plāna izstrādei un iestādes vai grupas noregulējamības novērtējumam nepieciešamo informāciju" (turpmāk</w:t>
            </w:r>
            <w:r w:rsidR="00582C97">
              <w:rPr>
                <w:rFonts w:ascii="Times New Roman" w:eastAsia="Times New Roman" w:hAnsi="Times New Roman" w:cs="Times New Roman"/>
                <w:sz w:val="24"/>
                <w:szCs w:val="24"/>
                <w:lang w:eastAsia="lv-LV"/>
              </w:rPr>
              <w:t> </w:t>
            </w:r>
            <w:r w:rsidRPr="00CF1BA4">
              <w:rPr>
                <w:rFonts w:ascii="Times New Roman" w:eastAsia="Times New Roman" w:hAnsi="Times New Roman" w:cs="Times New Roman"/>
                <w:sz w:val="24"/>
                <w:szCs w:val="24"/>
                <w:lang w:eastAsia="lv-LV"/>
              </w:rPr>
              <w:t>– Noteikumi Nr.</w:t>
            </w:r>
            <w:r w:rsidR="00582C97">
              <w:rPr>
                <w:rFonts w:ascii="Times New Roman" w:eastAsia="Times New Roman" w:hAnsi="Times New Roman" w:cs="Times New Roman"/>
                <w:sz w:val="24"/>
                <w:szCs w:val="24"/>
                <w:lang w:eastAsia="lv-LV"/>
              </w:rPr>
              <w:t> </w:t>
            </w:r>
            <w:r w:rsidRPr="00CF1BA4">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7</w:t>
            </w:r>
            <w:r w:rsidRPr="00CF1BA4">
              <w:rPr>
                <w:rFonts w:ascii="Times New Roman" w:eastAsia="Times New Roman" w:hAnsi="Times New Roman" w:cs="Times New Roman"/>
                <w:sz w:val="24"/>
                <w:szCs w:val="24"/>
                <w:lang w:eastAsia="lv-LV"/>
              </w:rPr>
              <w:t>).</w:t>
            </w:r>
          </w:p>
          <w:p w14:paraId="0DC6B2CE" w14:textId="3949F0BA" w:rsidR="00DB3A09" w:rsidRDefault="00707BED" w:rsidP="00E53509">
            <w:pPr>
              <w:spacing w:after="12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 xml:space="preserve">Noteikumu projekta </w:t>
            </w:r>
            <w:r w:rsidR="00944D1B" w:rsidRPr="00D33353">
              <w:rPr>
                <w:rFonts w:ascii="Times New Roman" w:eastAsia="Times New Roman" w:hAnsi="Times New Roman" w:cs="Times New Roman"/>
                <w:sz w:val="24"/>
                <w:szCs w:val="24"/>
                <w:lang w:eastAsia="lv-LV"/>
              </w:rPr>
              <w:t xml:space="preserve">mērķis ir noteikt </w:t>
            </w:r>
            <w:r w:rsidR="00740043" w:rsidRPr="00D33353">
              <w:rPr>
                <w:rFonts w:ascii="Times New Roman" w:eastAsia="Times New Roman" w:hAnsi="Times New Roman" w:cs="Times New Roman"/>
                <w:sz w:val="24"/>
                <w:szCs w:val="24"/>
                <w:lang w:eastAsia="lv-LV"/>
              </w:rPr>
              <w:t>kredītiestādēm un ieguldījumu brokeru sabiedrībām (turpmāk</w:t>
            </w:r>
            <w:r w:rsidR="00740043">
              <w:rPr>
                <w:rFonts w:ascii="Times New Roman" w:eastAsia="Times New Roman" w:hAnsi="Times New Roman" w:cs="Times New Roman"/>
                <w:sz w:val="24"/>
                <w:szCs w:val="24"/>
                <w:lang w:eastAsia="lv-LV"/>
              </w:rPr>
              <w:t> </w:t>
            </w:r>
            <w:r w:rsidR="00AD60D7">
              <w:rPr>
                <w:rFonts w:ascii="Times New Roman" w:eastAsia="Times New Roman" w:hAnsi="Times New Roman" w:cs="Times New Roman"/>
                <w:sz w:val="24"/>
                <w:szCs w:val="24"/>
                <w:lang w:eastAsia="lv-LV"/>
              </w:rPr>
              <w:t>kopā </w:t>
            </w:r>
            <w:r w:rsidR="00740043" w:rsidRPr="00D33353">
              <w:rPr>
                <w:rFonts w:ascii="Times New Roman" w:eastAsia="Times New Roman" w:hAnsi="Times New Roman" w:cs="Times New Roman"/>
                <w:sz w:val="24"/>
                <w:szCs w:val="24"/>
                <w:lang w:eastAsia="lv-LV"/>
              </w:rPr>
              <w:t>– iestāde)</w:t>
            </w:r>
            <w:r w:rsidR="00740043">
              <w:rPr>
                <w:rFonts w:ascii="Times New Roman" w:eastAsia="Times New Roman" w:hAnsi="Times New Roman" w:cs="Times New Roman"/>
                <w:sz w:val="24"/>
                <w:szCs w:val="24"/>
                <w:lang w:eastAsia="lv-LV"/>
              </w:rPr>
              <w:t xml:space="preserve">, </w:t>
            </w:r>
            <w:r w:rsidR="00740043" w:rsidRPr="00740043">
              <w:rPr>
                <w:rFonts w:ascii="Times New Roman" w:eastAsia="Times New Roman" w:hAnsi="Times New Roman" w:cs="Times New Roman"/>
                <w:sz w:val="24"/>
                <w:szCs w:val="24"/>
                <w:lang w:eastAsia="lv-LV"/>
              </w:rPr>
              <w:t>uz kurām attiec</w:t>
            </w:r>
            <w:r w:rsidR="00AD60D7">
              <w:rPr>
                <w:rFonts w:ascii="Times New Roman" w:eastAsia="Times New Roman" w:hAnsi="Times New Roman" w:cs="Times New Roman"/>
                <w:sz w:val="24"/>
                <w:szCs w:val="24"/>
                <w:lang w:eastAsia="lv-LV"/>
              </w:rPr>
              <w:t>a</w:t>
            </w:r>
            <w:r w:rsidR="00740043" w:rsidRPr="00740043">
              <w:rPr>
                <w:rFonts w:ascii="Times New Roman" w:eastAsia="Times New Roman" w:hAnsi="Times New Roman" w:cs="Times New Roman"/>
                <w:sz w:val="24"/>
                <w:szCs w:val="24"/>
                <w:lang w:eastAsia="lv-LV"/>
              </w:rPr>
              <w:t xml:space="preserve">s </w:t>
            </w:r>
            <w:r w:rsidR="00740043">
              <w:rPr>
                <w:rFonts w:ascii="Times New Roman" w:eastAsia="Times New Roman" w:hAnsi="Times New Roman" w:cs="Times New Roman"/>
                <w:sz w:val="24"/>
                <w:szCs w:val="24"/>
                <w:lang w:eastAsia="lv-LV"/>
              </w:rPr>
              <w:t xml:space="preserve">Likums, </w:t>
            </w:r>
            <w:r w:rsidR="00437798" w:rsidRPr="00437798">
              <w:rPr>
                <w:rFonts w:ascii="Times New Roman" w:eastAsia="Times New Roman" w:hAnsi="Times New Roman" w:cs="Times New Roman"/>
                <w:sz w:val="24"/>
                <w:szCs w:val="24"/>
                <w:lang w:eastAsia="lv-LV"/>
              </w:rPr>
              <w:t xml:space="preserve">prasības iestādes un grupas noregulējamības novērtējumam, tai skaitā minimālo </w:t>
            </w:r>
            <w:r w:rsidR="00162606">
              <w:rPr>
                <w:rFonts w:ascii="Times New Roman" w:eastAsia="Times New Roman" w:hAnsi="Times New Roman" w:cs="Times New Roman"/>
                <w:sz w:val="24"/>
                <w:szCs w:val="24"/>
                <w:lang w:eastAsia="lv-LV"/>
              </w:rPr>
              <w:t xml:space="preserve">no iestādēm pieprasāmo </w:t>
            </w:r>
            <w:r w:rsidR="00437798" w:rsidRPr="00437798">
              <w:rPr>
                <w:rFonts w:ascii="Times New Roman" w:eastAsia="Times New Roman" w:hAnsi="Times New Roman" w:cs="Times New Roman"/>
                <w:sz w:val="24"/>
                <w:szCs w:val="24"/>
                <w:lang w:eastAsia="lv-LV"/>
              </w:rPr>
              <w:t>informāciju noregulējuma plāna izstrādei un aktualizēšanai</w:t>
            </w:r>
            <w:r w:rsidR="00437798">
              <w:rPr>
                <w:rFonts w:ascii="Times New Roman" w:eastAsia="Times New Roman" w:hAnsi="Times New Roman" w:cs="Times New Roman"/>
                <w:sz w:val="24"/>
                <w:szCs w:val="24"/>
                <w:lang w:eastAsia="lv-LV"/>
              </w:rPr>
              <w:t xml:space="preserve">, kā arī </w:t>
            </w:r>
            <w:r w:rsidR="00437798" w:rsidRPr="00437798">
              <w:rPr>
                <w:rFonts w:ascii="Times New Roman" w:eastAsia="Times New Roman" w:hAnsi="Times New Roman" w:cs="Times New Roman"/>
                <w:sz w:val="24"/>
                <w:szCs w:val="24"/>
                <w:lang w:eastAsia="lv-LV"/>
              </w:rPr>
              <w:t>prasības noregulējamības uzlabošanai saistībā ar noregulējamības novērtējumu.</w:t>
            </w:r>
          </w:p>
          <w:p w14:paraId="47CA5155" w14:textId="12CD1172" w:rsidR="000D7500" w:rsidRPr="004374A1" w:rsidRDefault="00944D1B" w:rsidP="00E53509">
            <w:pPr>
              <w:spacing w:after="120" w:line="240" w:lineRule="auto"/>
              <w:jc w:val="both"/>
              <w:rPr>
                <w:rFonts w:ascii="Times New Roman" w:eastAsia="Times New Roman" w:hAnsi="Times New Roman" w:cs="Times New Roman"/>
                <w:sz w:val="24"/>
                <w:szCs w:val="24"/>
                <w:lang w:eastAsia="lv-LV"/>
              </w:rPr>
            </w:pPr>
            <w:r w:rsidRPr="00CF1BA4">
              <w:rPr>
                <w:rFonts w:ascii="Times New Roman" w:eastAsia="Times New Roman" w:hAnsi="Times New Roman" w:cs="Times New Roman"/>
                <w:sz w:val="24"/>
                <w:szCs w:val="24"/>
                <w:lang w:eastAsia="lv-LV"/>
              </w:rPr>
              <w:t xml:space="preserve">Salīdzinot ar </w:t>
            </w:r>
            <w:r w:rsidRPr="00DB3A09">
              <w:rPr>
                <w:rFonts w:ascii="Times New Roman" w:eastAsia="Times New Roman" w:hAnsi="Times New Roman" w:cs="Times New Roman"/>
                <w:sz w:val="24"/>
                <w:szCs w:val="24"/>
                <w:lang w:eastAsia="lv-LV"/>
              </w:rPr>
              <w:t>Noteikumiem Nr.</w:t>
            </w:r>
            <w:r w:rsidR="00582C97">
              <w:rPr>
                <w:rFonts w:ascii="Times New Roman" w:eastAsia="Times New Roman" w:hAnsi="Times New Roman" w:cs="Times New Roman"/>
                <w:sz w:val="24"/>
                <w:szCs w:val="24"/>
                <w:lang w:eastAsia="lv-LV"/>
              </w:rPr>
              <w:t> </w:t>
            </w:r>
            <w:r w:rsidRPr="00DB3A09">
              <w:rPr>
                <w:rFonts w:ascii="Times New Roman" w:eastAsia="Times New Roman" w:hAnsi="Times New Roman" w:cs="Times New Roman"/>
                <w:sz w:val="24"/>
                <w:szCs w:val="24"/>
                <w:lang w:eastAsia="lv-LV"/>
              </w:rPr>
              <w:t>3</w:t>
            </w:r>
            <w:r w:rsidR="00CF1BA4" w:rsidRPr="00DB3A09">
              <w:rPr>
                <w:rFonts w:ascii="Times New Roman" w:eastAsia="Times New Roman" w:hAnsi="Times New Roman" w:cs="Times New Roman"/>
                <w:sz w:val="24"/>
                <w:szCs w:val="24"/>
                <w:lang w:eastAsia="lv-LV"/>
              </w:rPr>
              <w:t>7</w:t>
            </w:r>
            <w:r w:rsidRPr="00DB3A09">
              <w:rPr>
                <w:rFonts w:ascii="Times New Roman" w:eastAsia="Times New Roman" w:hAnsi="Times New Roman" w:cs="Times New Roman"/>
                <w:sz w:val="24"/>
                <w:szCs w:val="24"/>
                <w:lang w:eastAsia="lv-LV"/>
              </w:rPr>
              <w:t xml:space="preserve">, noteikumu projekts </w:t>
            </w:r>
            <w:r w:rsidR="00CF1BA4" w:rsidRPr="00DB3A09">
              <w:rPr>
                <w:rFonts w:ascii="Times New Roman" w:eastAsia="Times New Roman" w:hAnsi="Times New Roman" w:cs="Times New Roman"/>
                <w:sz w:val="24"/>
                <w:szCs w:val="24"/>
                <w:lang w:eastAsia="lv-LV"/>
              </w:rPr>
              <w:t>papildināts ar</w:t>
            </w:r>
            <w:r w:rsidRPr="00DB3A09">
              <w:rPr>
                <w:rFonts w:ascii="Times New Roman" w:eastAsia="Times New Roman" w:hAnsi="Times New Roman" w:cs="Times New Roman"/>
                <w:sz w:val="24"/>
                <w:szCs w:val="24"/>
                <w:lang w:eastAsia="lv-LV"/>
              </w:rPr>
              <w:t xml:space="preserve"> prasīb</w:t>
            </w:r>
            <w:r w:rsidR="00CF1BA4" w:rsidRPr="00DB3A09">
              <w:rPr>
                <w:rFonts w:ascii="Times New Roman" w:eastAsia="Times New Roman" w:hAnsi="Times New Roman" w:cs="Times New Roman"/>
                <w:sz w:val="24"/>
                <w:szCs w:val="24"/>
                <w:lang w:eastAsia="lv-LV"/>
              </w:rPr>
              <w:t>ām, kas izriet no</w:t>
            </w:r>
            <w:r w:rsidR="00DB3A09" w:rsidRPr="00DB3A09">
              <w:rPr>
                <w:rFonts w:ascii="Times New Roman" w:eastAsia="Times New Roman" w:hAnsi="Times New Roman" w:cs="Times New Roman"/>
                <w:sz w:val="24"/>
                <w:szCs w:val="24"/>
                <w:lang w:eastAsia="lv-LV"/>
              </w:rPr>
              <w:t xml:space="preserve"> tr</w:t>
            </w:r>
            <w:r w:rsidR="00AD60D7">
              <w:rPr>
                <w:rFonts w:ascii="Times New Roman" w:eastAsia="Times New Roman" w:hAnsi="Times New Roman" w:cs="Times New Roman"/>
                <w:sz w:val="24"/>
                <w:szCs w:val="24"/>
                <w:lang w:eastAsia="lv-LV"/>
              </w:rPr>
              <w:t>īs</w:t>
            </w:r>
            <w:r w:rsidR="00DB3A09" w:rsidRPr="00DB3A09">
              <w:rPr>
                <w:rFonts w:ascii="Times New Roman" w:eastAsia="Times New Roman" w:hAnsi="Times New Roman" w:cs="Times New Roman"/>
                <w:sz w:val="24"/>
                <w:szCs w:val="24"/>
                <w:lang w:eastAsia="lv-LV"/>
              </w:rPr>
              <w:t xml:space="preserve"> Eiropas Banku iestādes pamatnostādnēm par noregulējamības uzlabošanu, novērtējumu un testēšanu</w:t>
            </w:r>
            <w:r w:rsidR="00131F45" w:rsidRPr="00DB3A09">
              <w:rPr>
                <w:rFonts w:ascii="Times New Roman" w:eastAsia="Times New Roman" w:hAnsi="Times New Roman" w:cs="Times New Roman"/>
                <w:sz w:val="24"/>
                <w:szCs w:val="24"/>
                <w:lang w:eastAsia="lv-LV"/>
              </w:rPr>
              <w:t>.</w:t>
            </w:r>
            <w:r w:rsidR="001E5E18">
              <w:rPr>
                <w:rFonts w:ascii="Times New Roman" w:eastAsia="Times New Roman" w:hAnsi="Times New Roman" w:cs="Times New Roman"/>
                <w:sz w:val="24"/>
                <w:szCs w:val="24"/>
                <w:lang w:eastAsia="lv-LV"/>
              </w:rPr>
              <w:t xml:space="preserve"> Šo pamatnostādņu </w:t>
            </w:r>
            <w:r w:rsidR="00860F06">
              <w:rPr>
                <w:rFonts w:ascii="Times New Roman" w:eastAsia="Times New Roman" w:hAnsi="Times New Roman" w:cs="Times New Roman"/>
                <w:sz w:val="24"/>
                <w:szCs w:val="24"/>
                <w:lang w:eastAsia="lv-LV"/>
              </w:rPr>
              <w:t>prasības</w:t>
            </w:r>
            <w:r w:rsidR="001E5E18">
              <w:rPr>
                <w:rFonts w:ascii="Times New Roman" w:eastAsia="Times New Roman" w:hAnsi="Times New Roman" w:cs="Times New Roman"/>
                <w:sz w:val="24"/>
                <w:szCs w:val="24"/>
                <w:lang w:eastAsia="lv-LV"/>
              </w:rPr>
              <w:t xml:space="preserve"> attiec</w:t>
            </w:r>
            <w:r w:rsidR="00AD60D7">
              <w:rPr>
                <w:rFonts w:ascii="Times New Roman" w:eastAsia="Times New Roman" w:hAnsi="Times New Roman" w:cs="Times New Roman"/>
                <w:sz w:val="24"/>
                <w:szCs w:val="24"/>
                <w:lang w:eastAsia="lv-LV"/>
              </w:rPr>
              <w:t>a</w:t>
            </w:r>
            <w:r w:rsidR="001E5E18">
              <w:rPr>
                <w:rFonts w:ascii="Times New Roman" w:eastAsia="Times New Roman" w:hAnsi="Times New Roman" w:cs="Times New Roman"/>
                <w:sz w:val="24"/>
                <w:szCs w:val="24"/>
                <w:lang w:eastAsia="lv-LV"/>
              </w:rPr>
              <w:t xml:space="preserve">s uz </w:t>
            </w:r>
            <w:r w:rsidR="001E5E18" w:rsidRPr="001E5E18">
              <w:rPr>
                <w:rFonts w:ascii="Times New Roman" w:eastAsia="Times New Roman" w:hAnsi="Times New Roman" w:cs="Times New Roman"/>
                <w:sz w:val="24"/>
                <w:szCs w:val="24"/>
                <w:lang w:eastAsia="lv-LV"/>
              </w:rPr>
              <w:t>iestādēm</w:t>
            </w:r>
            <w:r w:rsidR="001E5E18">
              <w:rPr>
                <w:rFonts w:ascii="Times New Roman" w:eastAsia="Times New Roman" w:hAnsi="Times New Roman" w:cs="Times New Roman"/>
                <w:sz w:val="24"/>
                <w:szCs w:val="24"/>
                <w:lang w:eastAsia="lv-LV"/>
              </w:rPr>
              <w:t xml:space="preserve">, </w:t>
            </w:r>
            <w:r w:rsidR="001E5E18" w:rsidRPr="001E5E18">
              <w:rPr>
                <w:rFonts w:ascii="Times New Roman" w:eastAsia="Times New Roman" w:hAnsi="Times New Roman" w:cs="Times New Roman"/>
                <w:sz w:val="24"/>
                <w:szCs w:val="24"/>
                <w:lang w:eastAsia="lv-LV"/>
              </w:rPr>
              <w:t>kurām noregulējuma plānā ir paredzēta noregulējuma darbība</w:t>
            </w:r>
            <w:r w:rsidR="001E5E18">
              <w:rPr>
                <w:rFonts w:ascii="Times New Roman" w:eastAsia="Times New Roman" w:hAnsi="Times New Roman" w:cs="Times New Roman"/>
                <w:sz w:val="24"/>
                <w:szCs w:val="24"/>
                <w:lang w:eastAsia="lv-LV"/>
              </w:rPr>
              <w:t>.</w:t>
            </w:r>
            <w:r w:rsidR="00CB5FAA">
              <w:rPr>
                <w:rFonts w:ascii="Times New Roman" w:eastAsia="Times New Roman" w:hAnsi="Times New Roman" w:cs="Times New Roman"/>
                <w:sz w:val="24"/>
                <w:szCs w:val="24"/>
                <w:lang w:eastAsia="lv-LV"/>
              </w:rPr>
              <w:t xml:space="preserve"> </w:t>
            </w:r>
            <w:r w:rsidR="001E5E18" w:rsidRPr="001E5E18">
              <w:rPr>
                <w:rFonts w:ascii="Times New Roman" w:eastAsia="Times New Roman" w:hAnsi="Times New Roman" w:cs="Times New Roman"/>
                <w:sz w:val="24"/>
                <w:szCs w:val="24"/>
                <w:lang w:eastAsia="lv-LV"/>
              </w:rPr>
              <w:t>Eiropas Banku iestādes 2022.</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gada 13.</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janvāra pamatnostādnes EBA/GL/2022/01 "Pamatnostādnes par noregulējamības uzlabošanu iestādēm un noregulējuma iestādēm" (turpmāk</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 Noregulējamības pamatnostādnes)</w:t>
            </w:r>
            <w:r w:rsidR="00B91BC1">
              <w:rPr>
                <w:rFonts w:ascii="Times New Roman" w:eastAsia="Times New Roman" w:hAnsi="Times New Roman" w:cs="Times New Roman"/>
                <w:sz w:val="24"/>
                <w:szCs w:val="24"/>
                <w:lang w:eastAsia="lv-LV"/>
              </w:rPr>
              <w:t xml:space="preserve"> nosaka minimālās prasības, lai noregulējuma laikā </w:t>
            </w:r>
            <w:r w:rsidR="00B91BC1" w:rsidRPr="00B91BC1">
              <w:rPr>
                <w:rFonts w:ascii="Times New Roman" w:eastAsia="Times New Roman" w:hAnsi="Times New Roman" w:cs="Times New Roman"/>
                <w:sz w:val="24"/>
                <w:szCs w:val="24"/>
                <w:lang w:eastAsia="lv-LV"/>
              </w:rPr>
              <w:t>nodrošinātu darbības nepārtrauktību un piekļuvi finanšu tirgus infrastruktūrām, finansējumu un likviditāti</w:t>
            </w:r>
            <w:r w:rsidR="005F56C6">
              <w:rPr>
                <w:rFonts w:ascii="Times New Roman" w:eastAsia="Times New Roman" w:hAnsi="Times New Roman" w:cs="Times New Roman"/>
                <w:sz w:val="24"/>
                <w:szCs w:val="24"/>
                <w:lang w:eastAsia="lv-LV"/>
              </w:rPr>
              <w:t xml:space="preserve"> un</w:t>
            </w:r>
            <w:r w:rsidR="001A78D0">
              <w:rPr>
                <w:rFonts w:ascii="Times New Roman" w:eastAsia="Times New Roman" w:hAnsi="Times New Roman" w:cs="Times New Roman"/>
                <w:sz w:val="24"/>
                <w:szCs w:val="24"/>
                <w:lang w:eastAsia="lv-LV"/>
              </w:rPr>
              <w:t xml:space="preserve"> </w:t>
            </w:r>
            <w:r w:rsidR="00B91BC1" w:rsidRPr="00B91BC1">
              <w:rPr>
                <w:rFonts w:ascii="Times New Roman" w:eastAsia="Times New Roman" w:hAnsi="Times New Roman" w:cs="Times New Roman"/>
                <w:sz w:val="24"/>
                <w:szCs w:val="24"/>
                <w:lang w:eastAsia="lv-LV"/>
              </w:rPr>
              <w:t>visas noregulējuma īstenošanai nepieciešamas informācijas savlaicīgu pieejamību</w:t>
            </w:r>
            <w:r w:rsidR="00AD60D7">
              <w:rPr>
                <w:rFonts w:ascii="Times New Roman" w:eastAsia="Times New Roman" w:hAnsi="Times New Roman" w:cs="Times New Roman"/>
                <w:sz w:val="24"/>
                <w:szCs w:val="24"/>
                <w:lang w:eastAsia="lv-LV"/>
              </w:rPr>
              <w:t>. Noregulējamības</w:t>
            </w:r>
            <w:r w:rsidR="001A78D0">
              <w:rPr>
                <w:rFonts w:ascii="Times New Roman" w:eastAsia="Times New Roman" w:hAnsi="Times New Roman" w:cs="Times New Roman"/>
                <w:sz w:val="24"/>
                <w:szCs w:val="24"/>
                <w:lang w:eastAsia="lv-LV"/>
              </w:rPr>
              <w:t xml:space="preserve"> pamatnostādnēs</w:t>
            </w:r>
            <w:r w:rsidR="001A78D0" w:rsidRPr="001A78D0">
              <w:rPr>
                <w:rFonts w:ascii="Times New Roman" w:eastAsia="Times New Roman" w:hAnsi="Times New Roman" w:cs="Times New Roman"/>
                <w:sz w:val="24"/>
                <w:szCs w:val="24"/>
                <w:lang w:eastAsia="lv-LV"/>
              </w:rPr>
              <w:t xml:space="preserve"> ir </w:t>
            </w:r>
            <w:r w:rsidR="00AD60D7">
              <w:rPr>
                <w:rFonts w:ascii="Times New Roman" w:eastAsia="Times New Roman" w:hAnsi="Times New Roman" w:cs="Times New Roman"/>
                <w:sz w:val="24"/>
                <w:szCs w:val="24"/>
                <w:lang w:eastAsia="lv-LV"/>
              </w:rPr>
              <w:t>iekļautas</w:t>
            </w:r>
            <w:r w:rsidR="00AD60D7" w:rsidRPr="001A78D0">
              <w:rPr>
                <w:rFonts w:ascii="Times New Roman" w:eastAsia="Times New Roman" w:hAnsi="Times New Roman" w:cs="Times New Roman"/>
                <w:sz w:val="24"/>
                <w:szCs w:val="24"/>
                <w:lang w:eastAsia="lv-LV"/>
              </w:rPr>
              <w:t xml:space="preserve"> </w:t>
            </w:r>
            <w:r w:rsidR="005F56C6">
              <w:rPr>
                <w:rFonts w:ascii="Times New Roman" w:eastAsia="Times New Roman" w:hAnsi="Times New Roman" w:cs="Times New Roman"/>
                <w:sz w:val="24"/>
                <w:szCs w:val="24"/>
                <w:lang w:eastAsia="lv-LV"/>
              </w:rPr>
              <w:lastRenderedPageBreak/>
              <w:t xml:space="preserve">arī </w:t>
            </w:r>
            <w:r w:rsidR="001A78D0" w:rsidRPr="001A78D0">
              <w:rPr>
                <w:rFonts w:ascii="Times New Roman" w:eastAsia="Times New Roman" w:hAnsi="Times New Roman" w:cs="Times New Roman"/>
                <w:sz w:val="24"/>
                <w:szCs w:val="24"/>
                <w:lang w:eastAsia="lv-LV"/>
              </w:rPr>
              <w:t xml:space="preserve">vadlīnijas </w:t>
            </w:r>
            <w:r w:rsidR="005F56C6">
              <w:rPr>
                <w:rFonts w:ascii="Times New Roman" w:eastAsia="Times New Roman" w:hAnsi="Times New Roman" w:cs="Times New Roman"/>
                <w:sz w:val="24"/>
                <w:szCs w:val="24"/>
                <w:lang w:eastAsia="lv-LV"/>
              </w:rPr>
              <w:t xml:space="preserve">attiecībā uz </w:t>
            </w:r>
            <w:r w:rsidR="001A78D0" w:rsidRPr="001A78D0">
              <w:rPr>
                <w:rFonts w:ascii="Times New Roman" w:eastAsia="Times New Roman" w:hAnsi="Times New Roman" w:cs="Times New Roman"/>
                <w:sz w:val="24"/>
                <w:szCs w:val="24"/>
                <w:lang w:eastAsia="lv-LV"/>
              </w:rPr>
              <w:t>iestādes iekšējiem normatīv</w:t>
            </w:r>
            <w:r w:rsidR="005032FF">
              <w:rPr>
                <w:rFonts w:ascii="Times New Roman" w:eastAsia="Times New Roman" w:hAnsi="Times New Roman" w:cs="Times New Roman"/>
                <w:sz w:val="24"/>
                <w:szCs w:val="24"/>
                <w:lang w:eastAsia="lv-LV"/>
              </w:rPr>
              <w:t>ajie</w:t>
            </w:r>
            <w:r w:rsidR="001A78D0" w:rsidRPr="001A78D0">
              <w:rPr>
                <w:rFonts w:ascii="Times New Roman" w:eastAsia="Times New Roman" w:hAnsi="Times New Roman" w:cs="Times New Roman"/>
                <w:sz w:val="24"/>
                <w:szCs w:val="24"/>
                <w:lang w:eastAsia="lv-LV"/>
              </w:rPr>
              <w:t>m dokumentiem</w:t>
            </w:r>
            <w:r w:rsidR="001A78D0">
              <w:rPr>
                <w:rFonts w:ascii="Times New Roman" w:eastAsia="Times New Roman" w:hAnsi="Times New Roman" w:cs="Times New Roman"/>
                <w:sz w:val="24"/>
                <w:szCs w:val="24"/>
                <w:lang w:eastAsia="lv-LV"/>
              </w:rPr>
              <w:t>,</w:t>
            </w:r>
            <w:r w:rsidR="001A78D0" w:rsidRPr="001A78D0">
              <w:rPr>
                <w:rFonts w:ascii="Times New Roman" w:eastAsia="Times New Roman" w:hAnsi="Times New Roman" w:cs="Times New Roman"/>
                <w:sz w:val="24"/>
                <w:szCs w:val="24"/>
                <w:lang w:eastAsia="lv-LV"/>
              </w:rPr>
              <w:t xml:space="preserve"> kur</w:t>
            </w:r>
            <w:r w:rsidR="007F136C">
              <w:rPr>
                <w:rFonts w:ascii="Times New Roman" w:eastAsia="Times New Roman" w:hAnsi="Times New Roman" w:cs="Times New Roman"/>
                <w:sz w:val="24"/>
                <w:szCs w:val="24"/>
                <w:lang w:eastAsia="lv-LV"/>
              </w:rPr>
              <w:t>os</w:t>
            </w:r>
            <w:r w:rsidR="001A78D0" w:rsidRPr="001A78D0">
              <w:rPr>
                <w:rFonts w:ascii="Times New Roman" w:eastAsia="Times New Roman" w:hAnsi="Times New Roman" w:cs="Times New Roman"/>
                <w:sz w:val="24"/>
                <w:szCs w:val="24"/>
                <w:lang w:eastAsia="lv-LV"/>
              </w:rPr>
              <w:t xml:space="preserve"> iestādes apraksta visus noregulējuma stratēģijas darbības aspektus un operatīvos pasākumus </w:t>
            </w:r>
            <w:r w:rsidR="005F56C6">
              <w:rPr>
                <w:rFonts w:ascii="Times New Roman" w:eastAsia="Times New Roman" w:hAnsi="Times New Roman" w:cs="Times New Roman"/>
                <w:sz w:val="24"/>
                <w:szCs w:val="24"/>
                <w:lang w:eastAsia="lv-LV"/>
              </w:rPr>
              <w:t>saistībā ar</w:t>
            </w:r>
            <w:r w:rsidR="001A78D0" w:rsidRPr="001A78D0">
              <w:rPr>
                <w:rFonts w:ascii="Times New Roman" w:eastAsia="Times New Roman" w:hAnsi="Times New Roman" w:cs="Times New Roman"/>
                <w:sz w:val="24"/>
                <w:szCs w:val="24"/>
                <w:lang w:eastAsia="lv-LV"/>
              </w:rPr>
              <w:t xml:space="preserve"> iekšējās rekapitalizācijas mehānisma izpildi un uzņēmējdarbības reorganizāciju,</w:t>
            </w:r>
            <w:r w:rsidR="001A78D0">
              <w:rPr>
                <w:rFonts w:ascii="Times New Roman" w:eastAsia="Times New Roman" w:hAnsi="Times New Roman" w:cs="Times New Roman"/>
                <w:sz w:val="24"/>
                <w:szCs w:val="24"/>
                <w:lang w:eastAsia="lv-LV"/>
              </w:rPr>
              <w:t xml:space="preserve"> kā arī</w:t>
            </w:r>
            <w:r w:rsidR="001A78D0" w:rsidRPr="001A78D0">
              <w:rPr>
                <w:rFonts w:ascii="Times New Roman" w:eastAsia="Times New Roman" w:hAnsi="Times New Roman" w:cs="Times New Roman"/>
                <w:sz w:val="24"/>
                <w:szCs w:val="24"/>
                <w:lang w:eastAsia="lv-LV"/>
              </w:rPr>
              <w:t xml:space="preserve"> pārvaldību noregulējuma īstenošanā</w:t>
            </w:r>
            <w:r w:rsidR="001A78D0">
              <w:rPr>
                <w:rFonts w:ascii="Times New Roman" w:eastAsia="Times New Roman" w:hAnsi="Times New Roman" w:cs="Times New Roman"/>
                <w:sz w:val="24"/>
                <w:szCs w:val="24"/>
                <w:lang w:eastAsia="lv-LV"/>
              </w:rPr>
              <w:t xml:space="preserve">. </w:t>
            </w:r>
            <w:r w:rsidR="001A78D0" w:rsidRPr="001A78D0">
              <w:rPr>
                <w:rFonts w:ascii="Times New Roman" w:eastAsia="Times New Roman" w:hAnsi="Times New Roman" w:cs="Times New Roman"/>
                <w:sz w:val="24"/>
                <w:szCs w:val="24"/>
                <w:lang w:eastAsia="lv-LV"/>
              </w:rPr>
              <w:t>Eiropas Banku iestādes 2022.</w:t>
            </w:r>
            <w:r w:rsidR="00AD60D7">
              <w:rPr>
                <w:rFonts w:ascii="Times New Roman" w:eastAsia="Times New Roman" w:hAnsi="Times New Roman" w:cs="Times New Roman"/>
                <w:sz w:val="24"/>
                <w:szCs w:val="24"/>
                <w:lang w:eastAsia="lv-LV"/>
              </w:rPr>
              <w:t> </w:t>
            </w:r>
            <w:r w:rsidR="001A78D0" w:rsidRPr="001A78D0">
              <w:rPr>
                <w:rFonts w:ascii="Times New Roman" w:eastAsia="Times New Roman" w:hAnsi="Times New Roman" w:cs="Times New Roman"/>
                <w:sz w:val="24"/>
                <w:szCs w:val="24"/>
                <w:lang w:eastAsia="lv-LV"/>
              </w:rPr>
              <w:t>gada 26.</w:t>
            </w:r>
            <w:r w:rsidR="00AD60D7">
              <w:rPr>
                <w:rFonts w:ascii="Times New Roman" w:eastAsia="Times New Roman" w:hAnsi="Times New Roman" w:cs="Times New Roman"/>
                <w:sz w:val="24"/>
                <w:szCs w:val="24"/>
                <w:lang w:eastAsia="lv-LV"/>
              </w:rPr>
              <w:t> </w:t>
            </w:r>
            <w:r w:rsidR="001A78D0" w:rsidRPr="001A78D0">
              <w:rPr>
                <w:rFonts w:ascii="Times New Roman" w:eastAsia="Times New Roman" w:hAnsi="Times New Roman" w:cs="Times New Roman"/>
                <w:sz w:val="24"/>
                <w:szCs w:val="24"/>
                <w:lang w:eastAsia="lv-LV"/>
              </w:rPr>
              <w:t>septembra pamatnostādnes EBA/GL/2022/11 "Pamatnostādnes par nododamību, lai papildinātu noregulējamības novērtējumu attiecībā uz nodošanas stratēģijām" (turpmāk</w:t>
            </w:r>
            <w:r w:rsidR="00AD60D7">
              <w:rPr>
                <w:rFonts w:ascii="Times New Roman" w:eastAsia="Times New Roman" w:hAnsi="Times New Roman" w:cs="Times New Roman"/>
                <w:sz w:val="24"/>
                <w:szCs w:val="24"/>
                <w:lang w:eastAsia="lv-LV"/>
              </w:rPr>
              <w:t> </w:t>
            </w:r>
            <w:r w:rsidR="001A78D0" w:rsidRPr="001A78D0">
              <w:rPr>
                <w:rFonts w:ascii="Times New Roman" w:eastAsia="Times New Roman" w:hAnsi="Times New Roman" w:cs="Times New Roman"/>
                <w:sz w:val="24"/>
                <w:szCs w:val="24"/>
                <w:lang w:eastAsia="lv-LV"/>
              </w:rPr>
              <w:t>– Nododamības pamatnostādnes)</w:t>
            </w:r>
            <w:r w:rsidR="001A78D0">
              <w:rPr>
                <w:rFonts w:ascii="Times New Roman" w:eastAsia="Times New Roman" w:hAnsi="Times New Roman" w:cs="Times New Roman"/>
                <w:sz w:val="24"/>
                <w:szCs w:val="24"/>
                <w:lang w:eastAsia="lv-LV"/>
              </w:rPr>
              <w:t xml:space="preserve"> </w:t>
            </w:r>
            <w:r w:rsidR="000D7500">
              <w:rPr>
                <w:rFonts w:ascii="Times New Roman" w:eastAsia="Times New Roman" w:hAnsi="Times New Roman" w:cs="Times New Roman"/>
                <w:sz w:val="24"/>
                <w:szCs w:val="24"/>
                <w:lang w:eastAsia="lv-LV"/>
              </w:rPr>
              <w:t xml:space="preserve">nosaka </w:t>
            </w:r>
            <w:r w:rsidR="000D7500" w:rsidRPr="000D7500">
              <w:rPr>
                <w:rFonts w:ascii="Times New Roman" w:eastAsia="Times New Roman" w:hAnsi="Times New Roman" w:cs="Times New Roman"/>
                <w:sz w:val="24"/>
                <w:szCs w:val="24"/>
                <w:lang w:eastAsia="lv-LV"/>
              </w:rPr>
              <w:t>prasības</w:t>
            </w:r>
            <w:r w:rsidR="00B218EC">
              <w:rPr>
                <w:rFonts w:ascii="Times New Roman" w:eastAsia="Times New Roman" w:hAnsi="Times New Roman" w:cs="Times New Roman"/>
                <w:sz w:val="24"/>
                <w:szCs w:val="24"/>
                <w:lang w:eastAsia="lv-LV"/>
              </w:rPr>
              <w:t xml:space="preserve"> </w:t>
            </w:r>
            <w:r w:rsidR="00B218EC" w:rsidRPr="00B218EC">
              <w:rPr>
                <w:rFonts w:ascii="Times New Roman" w:eastAsia="Times New Roman" w:hAnsi="Times New Roman" w:cs="Times New Roman"/>
                <w:sz w:val="24"/>
                <w:szCs w:val="24"/>
                <w:lang w:eastAsia="lv-LV"/>
              </w:rPr>
              <w:t>nodošanai paredzēt</w:t>
            </w:r>
            <w:r w:rsidR="00B218EC">
              <w:rPr>
                <w:rFonts w:ascii="Times New Roman" w:eastAsia="Times New Roman" w:hAnsi="Times New Roman" w:cs="Times New Roman"/>
                <w:sz w:val="24"/>
                <w:szCs w:val="24"/>
                <w:lang w:eastAsia="lv-LV"/>
              </w:rPr>
              <w:t>o</w:t>
            </w:r>
            <w:r w:rsidR="00B218EC" w:rsidRPr="00B218EC">
              <w:rPr>
                <w:rFonts w:ascii="Times New Roman" w:eastAsia="Times New Roman" w:hAnsi="Times New Roman" w:cs="Times New Roman"/>
                <w:sz w:val="24"/>
                <w:szCs w:val="24"/>
                <w:lang w:eastAsia="lv-LV"/>
              </w:rPr>
              <w:t xml:space="preserve"> aktīv</w:t>
            </w:r>
            <w:r w:rsidR="00B218EC">
              <w:rPr>
                <w:rFonts w:ascii="Times New Roman" w:eastAsia="Times New Roman" w:hAnsi="Times New Roman" w:cs="Times New Roman"/>
                <w:sz w:val="24"/>
                <w:szCs w:val="24"/>
                <w:lang w:eastAsia="lv-LV"/>
              </w:rPr>
              <w:t>u</w:t>
            </w:r>
            <w:r w:rsidR="00B218EC" w:rsidRPr="00B218EC">
              <w:rPr>
                <w:rFonts w:ascii="Times New Roman" w:eastAsia="Times New Roman" w:hAnsi="Times New Roman" w:cs="Times New Roman"/>
                <w:sz w:val="24"/>
                <w:szCs w:val="24"/>
                <w:lang w:eastAsia="lv-LV"/>
              </w:rPr>
              <w:t>, tiesīb</w:t>
            </w:r>
            <w:r w:rsidR="00B218EC">
              <w:rPr>
                <w:rFonts w:ascii="Times New Roman" w:eastAsia="Times New Roman" w:hAnsi="Times New Roman" w:cs="Times New Roman"/>
                <w:sz w:val="24"/>
                <w:szCs w:val="24"/>
                <w:lang w:eastAsia="lv-LV"/>
              </w:rPr>
              <w:t>u</w:t>
            </w:r>
            <w:r w:rsidR="00B218EC" w:rsidRPr="00B218EC">
              <w:rPr>
                <w:rFonts w:ascii="Times New Roman" w:eastAsia="Times New Roman" w:hAnsi="Times New Roman" w:cs="Times New Roman"/>
                <w:sz w:val="24"/>
                <w:szCs w:val="24"/>
                <w:lang w:eastAsia="lv-LV"/>
              </w:rPr>
              <w:t xml:space="preserve"> vai saistīb</w:t>
            </w:r>
            <w:r w:rsidR="00B218EC">
              <w:rPr>
                <w:rFonts w:ascii="Times New Roman" w:eastAsia="Times New Roman" w:hAnsi="Times New Roman" w:cs="Times New Roman"/>
                <w:sz w:val="24"/>
                <w:szCs w:val="24"/>
                <w:lang w:eastAsia="lv-LV"/>
              </w:rPr>
              <w:t>u</w:t>
            </w:r>
            <w:r w:rsidR="000D7500" w:rsidRPr="000D7500">
              <w:rPr>
                <w:rFonts w:ascii="Times New Roman" w:eastAsia="Times New Roman" w:hAnsi="Times New Roman" w:cs="Times New Roman"/>
                <w:sz w:val="24"/>
                <w:szCs w:val="24"/>
                <w:lang w:eastAsia="lv-LV"/>
              </w:rPr>
              <w:t xml:space="preserve"> apmēra noteikšanai</w:t>
            </w:r>
            <w:r w:rsidR="000D7500">
              <w:rPr>
                <w:rFonts w:ascii="Times New Roman" w:eastAsia="Times New Roman" w:hAnsi="Times New Roman" w:cs="Times New Roman"/>
                <w:sz w:val="24"/>
                <w:szCs w:val="24"/>
                <w:lang w:eastAsia="lv-LV"/>
              </w:rPr>
              <w:t xml:space="preserve"> un </w:t>
            </w:r>
            <w:r w:rsidR="000D7500" w:rsidRPr="000D7500">
              <w:rPr>
                <w:rFonts w:ascii="Times New Roman" w:eastAsia="Times New Roman" w:hAnsi="Times New Roman" w:cs="Times New Roman"/>
                <w:sz w:val="24"/>
                <w:szCs w:val="24"/>
                <w:lang w:eastAsia="lv-LV"/>
              </w:rPr>
              <w:t>operacionālās nodošanas nodrošināšanai</w:t>
            </w:r>
            <w:r w:rsidR="000D7500">
              <w:rPr>
                <w:rFonts w:ascii="Times New Roman" w:eastAsia="Times New Roman" w:hAnsi="Times New Roman" w:cs="Times New Roman"/>
                <w:sz w:val="24"/>
                <w:szCs w:val="24"/>
                <w:lang w:eastAsia="lv-LV"/>
              </w:rPr>
              <w:t xml:space="preserve">. </w:t>
            </w:r>
            <w:r w:rsidR="001E5E18" w:rsidRPr="001E5E18">
              <w:rPr>
                <w:rFonts w:ascii="Times New Roman" w:eastAsia="Times New Roman" w:hAnsi="Times New Roman" w:cs="Times New Roman"/>
                <w:sz w:val="24"/>
                <w:szCs w:val="24"/>
                <w:lang w:eastAsia="lv-LV"/>
              </w:rPr>
              <w:t>Eiropas Banku iestādes 2023.</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gada 13.</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jūnija pamatnostādnes EBA/GL/2023/05 "Pamatnostādnes, ar ko groza Pamatnostādnes EBA/GL/2022/01 par noregulējamības uzlabošanu iestādēm un noregulējuma iestādēm saskaņā ar Direktīvas 2014/59/ES 15. un 16.</w:t>
            </w:r>
            <w:r w:rsidR="00AD60D7">
              <w:rPr>
                <w:rFonts w:ascii="Times New Roman" w:eastAsia="Times New Roman" w:hAnsi="Times New Roman" w:cs="Times New Roman"/>
                <w:sz w:val="24"/>
                <w:szCs w:val="24"/>
                <w:lang w:eastAsia="lv-LV"/>
              </w:rPr>
              <w:t> </w:t>
            </w:r>
            <w:r w:rsidR="001E5E18" w:rsidRPr="001E5E18">
              <w:rPr>
                <w:rFonts w:ascii="Times New Roman" w:eastAsia="Times New Roman" w:hAnsi="Times New Roman" w:cs="Times New Roman"/>
                <w:sz w:val="24"/>
                <w:szCs w:val="24"/>
                <w:lang w:eastAsia="lv-LV"/>
              </w:rPr>
              <w:t>pantu (Noregulējamības pamatnostādnes), lai ieviestu jaunu sadaļu par noregulējamības testēšanu"</w:t>
            </w:r>
            <w:r w:rsidR="00EA5C3B">
              <w:rPr>
                <w:rFonts w:ascii="Times New Roman" w:eastAsia="Times New Roman" w:hAnsi="Times New Roman" w:cs="Times New Roman"/>
                <w:sz w:val="24"/>
                <w:szCs w:val="24"/>
                <w:lang w:eastAsia="lv-LV"/>
              </w:rPr>
              <w:t xml:space="preserve"> </w:t>
            </w:r>
            <w:r w:rsidR="00EA5C3B" w:rsidRPr="00EA5C3B">
              <w:rPr>
                <w:rFonts w:ascii="Times New Roman" w:eastAsia="Times New Roman" w:hAnsi="Times New Roman" w:cs="Times New Roman"/>
                <w:sz w:val="24"/>
                <w:szCs w:val="24"/>
                <w:lang w:eastAsia="lv-LV"/>
              </w:rPr>
              <w:t>(turpmāk</w:t>
            </w:r>
            <w:r w:rsidR="00AD60D7">
              <w:rPr>
                <w:rFonts w:ascii="Times New Roman" w:eastAsia="Times New Roman" w:hAnsi="Times New Roman" w:cs="Times New Roman"/>
                <w:sz w:val="24"/>
                <w:szCs w:val="24"/>
                <w:lang w:eastAsia="lv-LV"/>
              </w:rPr>
              <w:t> </w:t>
            </w:r>
            <w:r w:rsidR="00EA5C3B" w:rsidRPr="00EA5C3B">
              <w:rPr>
                <w:rFonts w:ascii="Times New Roman" w:eastAsia="Times New Roman" w:hAnsi="Times New Roman" w:cs="Times New Roman"/>
                <w:sz w:val="24"/>
                <w:szCs w:val="24"/>
                <w:lang w:eastAsia="lv-LV"/>
              </w:rPr>
              <w:t>– N</w:t>
            </w:r>
            <w:r w:rsidR="00EA5C3B">
              <w:rPr>
                <w:rFonts w:ascii="Times New Roman" w:eastAsia="Times New Roman" w:hAnsi="Times New Roman" w:cs="Times New Roman"/>
                <w:sz w:val="24"/>
                <w:szCs w:val="24"/>
                <w:lang w:eastAsia="lv-LV"/>
              </w:rPr>
              <w:t>oregulējamības testēšanas</w:t>
            </w:r>
            <w:r w:rsidR="00EA5C3B" w:rsidRPr="00EA5C3B">
              <w:rPr>
                <w:rFonts w:ascii="Times New Roman" w:eastAsia="Times New Roman" w:hAnsi="Times New Roman" w:cs="Times New Roman"/>
                <w:sz w:val="24"/>
                <w:szCs w:val="24"/>
                <w:lang w:eastAsia="lv-LV"/>
              </w:rPr>
              <w:t xml:space="preserve"> pamatnostādnes)</w:t>
            </w:r>
            <w:r w:rsidR="00CB5FAA">
              <w:rPr>
                <w:rFonts w:ascii="Times New Roman" w:eastAsia="Times New Roman" w:hAnsi="Times New Roman" w:cs="Times New Roman"/>
                <w:sz w:val="24"/>
                <w:szCs w:val="24"/>
                <w:lang w:eastAsia="lv-LV"/>
              </w:rPr>
              <w:t xml:space="preserve"> nosaka </w:t>
            </w:r>
            <w:r w:rsidR="00D94DEA">
              <w:rPr>
                <w:rFonts w:ascii="Times New Roman" w:eastAsia="Times New Roman" w:hAnsi="Times New Roman" w:cs="Times New Roman"/>
                <w:sz w:val="24"/>
                <w:szCs w:val="24"/>
                <w:lang w:eastAsia="lv-LV"/>
              </w:rPr>
              <w:t xml:space="preserve">prasības </w:t>
            </w:r>
            <w:r w:rsidR="009A2E11" w:rsidRPr="009A2E11">
              <w:rPr>
                <w:rFonts w:ascii="Times New Roman" w:eastAsia="Times New Roman" w:hAnsi="Times New Roman" w:cs="Times New Roman"/>
                <w:sz w:val="24"/>
                <w:szCs w:val="24"/>
                <w:lang w:eastAsia="lv-LV"/>
              </w:rPr>
              <w:t>iestād</w:t>
            </w:r>
            <w:r w:rsidR="00D94DEA">
              <w:rPr>
                <w:rFonts w:ascii="Times New Roman" w:eastAsia="Times New Roman" w:hAnsi="Times New Roman" w:cs="Times New Roman"/>
                <w:sz w:val="24"/>
                <w:szCs w:val="24"/>
                <w:lang w:eastAsia="lv-LV"/>
              </w:rPr>
              <w:t>ēm</w:t>
            </w:r>
            <w:r w:rsidR="009A2E11" w:rsidRPr="009A2E11">
              <w:rPr>
                <w:rFonts w:ascii="Times New Roman" w:eastAsia="Times New Roman" w:hAnsi="Times New Roman" w:cs="Times New Roman"/>
                <w:sz w:val="24"/>
                <w:szCs w:val="24"/>
                <w:lang w:eastAsia="lv-LV"/>
              </w:rPr>
              <w:t xml:space="preserve"> sagatavo</w:t>
            </w:r>
            <w:r w:rsidR="00D94DEA">
              <w:rPr>
                <w:rFonts w:ascii="Times New Roman" w:eastAsia="Times New Roman" w:hAnsi="Times New Roman" w:cs="Times New Roman"/>
                <w:sz w:val="24"/>
                <w:szCs w:val="24"/>
                <w:lang w:eastAsia="lv-LV"/>
              </w:rPr>
              <w:t>t</w:t>
            </w:r>
            <w:r w:rsidR="009A2E11" w:rsidRPr="009A2E11">
              <w:rPr>
                <w:rFonts w:ascii="Times New Roman" w:eastAsia="Times New Roman" w:hAnsi="Times New Roman" w:cs="Times New Roman"/>
                <w:sz w:val="24"/>
                <w:szCs w:val="24"/>
                <w:lang w:eastAsia="lv-LV"/>
              </w:rPr>
              <w:t xml:space="preserve"> un iesnie</w:t>
            </w:r>
            <w:r w:rsidR="00D94DEA">
              <w:rPr>
                <w:rFonts w:ascii="Times New Roman" w:eastAsia="Times New Roman" w:hAnsi="Times New Roman" w:cs="Times New Roman"/>
                <w:sz w:val="24"/>
                <w:szCs w:val="24"/>
                <w:lang w:eastAsia="lv-LV"/>
              </w:rPr>
              <w:t>gt</w:t>
            </w:r>
            <w:r w:rsidR="009A2E11" w:rsidRPr="009A2E11">
              <w:rPr>
                <w:rFonts w:ascii="Times New Roman" w:eastAsia="Times New Roman" w:hAnsi="Times New Roman" w:cs="Times New Roman"/>
                <w:sz w:val="24"/>
                <w:szCs w:val="24"/>
                <w:lang w:eastAsia="lv-LV"/>
              </w:rPr>
              <w:t xml:space="preserve"> Latvijas Bankai pašnovērtējuma ziņojumu, kurā tās novērtē, vai un kādā mērā tā</w:t>
            </w:r>
            <w:r w:rsidR="00D94DEA">
              <w:rPr>
                <w:rFonts w:ascii="Times New Roman" w:eastAsia="Times New Roman" w:hAnsi="Times New Roman" w:cs="Times New Roman"/>
                <w:sz w:val="24"/>
                <w:szCs w:val="24"/>
                <w:lang w:eastAsia="lv-LV"/>
              </w:rPr>
              <w:t>s</w:t>
            </w:r>
            <w:r w:rsidR="009A2E11" w:rsidRPr="009A2E11">
              <w:rPr>
                <w:rFonts w:ascii="Times New Roman" w:eastAsia="Times New Roman" w:hAnsi="Times New Roman" w:cs="Times New Roman"/>
                <w:sz w:val="24"/>
                <w:szCs w:val="24"/>
                <w:lang w:eastAsia="lv-LV"/>
              </w:rPr>
              <w:t xml:space="preserve"> atbilst Noregulējamības pamatnostād</w:t>
            </w:r>
            <w:r w:rsidR="00D94DEA">
              <w:rPr>
                <w:rFonts w:ascii="Times New Roman" w:eastAsia="Times New Roman" w:hAnsi="Times New Roman" w:cs="Times New Roman"/>
                <w:sz w:val="24"/>
                <w:szCs w:val="24"/>
                <w:lang w:eastAsia="lv-LV"/>
              </w:rPr>
              <w:t>nēs</w:t>
            </w:r>
            <w:r w:rsidR="007D412C">
              <w:rPr>
                <w:rFonts w:ascii="Times New Roman" w:eastAsia="Times New Roman" w:hAnsi="Times New Roman" w:cs="Times New Roman"/>
                <w:sz w:val="24"/>
                <w:szCs w:val="24"/>
                <w:lang w:eastAsia="lv-LV"/>
              </w:rPr>
              <w:t xml:space="preserve">, </w:t>
            </w:r>
            <w:r w:rsidR="007D412C" w:rsidRPr="007D412C">
              <w:rPr>
                <w:rFonts w:ascii="Times New Roman" w:eastAsia="Times New Roman" w:hAnsi="Times New Roman" w:cs="Times New Roman"/>
                <w:sz w:val="24"/>
                <w:szCs w:val="24"/>
                <w:lang w:eastAsia="lv-LV"/>
              </w:rPr>
              <w:t>Noregulējamības</w:t>
            </w:r>
            <w:r w:rsidR="007D412C">
              <w:rPr>
                <w:rFonts w:ascii="Times New Roman" w:eastAsia="Times New Roman" w:hAnsi="Times New Roman" w:cs="Times New Roman"/>
                <w:sz w:val="24"/>
                <w:szCs w:val="24"/>
                <w:lang w:eastAsia="lv-LV"/>
              </w:rPr>
              <w:t xml:space="preserve"> testēšanas</w:t>
            </w:r>
            <w:r w:rsidR="007D412C" w:rsidRPr="007D412C">
              <w:rPr>
                <w:rFonts w:ascii="Times New Roman" w:eastAsia="Times New Roman" w:hAnsi="Times New Roman" w:cs="Times New Roman"/>
                <w:sz w:val="24"/>
                <w:szCs w:val="24"/>
                <w:lang w:eastAsia="lv-LV"/>
              </w:rPr>
              <w:t xml:space="preserve"> pamatnostādnēs</w:t>
            </w:r>
            <w:r w:rsidR="009A2E11" w:rsidRPr="009A2E11">
              <w:rPr>
                <w:rFonts w:ascii="Times New Roman" w:eastAsia="Times New Roman" w:hAnsi="Times New Roman" w:cs="Times New Roman"/>
                <w:sz w:val="24"/>
                <w:szCs w:val="24"/>
                <w:lang w:eastAsia="lv-LV"/>
              </w:rPr>
              <w:t xml:space="preserve"> un Nododamības pamatnostād</w:t>
            </w:r>
            <w:r w:rsidR="00D94DEA">
              <w:rPr>
                <w:rFonts w:ascii="Times New Roman" w:eastAsia="Times New Roman" w:hAnsi="Times New Roman" w:cs="Times New Roman"/>
                <w:sz w:val="24"/>
                <w:szCs w:val="24"/>
                <w:lang w:eastAsia="lv-LV"/>
              </w:rPr>
              <w:t>nēs noteiktajām</w:t>
            </w:r>
            <w:r w:rsidR="009A2E11" w:rsidRPr="009A2E11">
              <w:rPr>
                <w:rFonts w:ascii="Times New Roman" w:eastAsia="Times New Roman" w:hAnsi="Times New Roman" w:cs="Times New Roman"/>
                <w:sz w:val="24"/>
                <w:szCs w:val="24"/>
                <w:lang w:eastAsia="lv-LV"/>
              </w:rPr>
              <w:t xml:space="preserve"> </w:t>
            </w:r>
            <w:r w:rsidR="00D94DEA" w:rsidRPr="009A2E11">
              <w:rPr>
                <w:rFonts w:ascii="Times New Roman" w:eastAsia="Times New Roman" w:hAnsi="Times New Roman" w:cs="Times New Roman"/>
                <w:sz w:val="24"/>
                <w:szCs w:val="24"/>
                <w:lang w:eastAsia="lv-LV"/>
              </w:rPr>
              <w:t>prasībām</w:t>
            </w:r>
            <w:r w:rsidR="009A2E11" w:rsidRPr="009A2E11">
              <w:rPr>
                <w:rFonts w:ascii="Times New Roman" w:eastAsia="Times New Roman" w:hAnsi="Times New Roman" w:cs="Times New Roman"/>
                <w:sz w:val="24"/>
                <w:szCs w:val="24"/>
                <w:lang w:eastAsia="lv-LV"/>
              </w:rPr>
              <w:t xml:space="preserve">, lai papildinātu </w:t>
            </w:r>
            <w:r w:rsidR="00D94DEA">
              <w:rPr>
                <w:rFonts w:ascii="Times New Roman" w:eastAsia="Times New Roman" w:hAnsi="Times New Roman" w:cs="Times New Roman"/>
                <w:sz w:val="24"/>
                <w:szCs w:val="24"/>
                <w:lang w:eastAsia="lv-LV"/>
              </w:rPr>
              <w:t xml:space="preserve">Latvijas Bankas veikto ikgadējo </w:t>
            </w:r>
            <w:r w:rsidR="009A2E11" w:rsidRPr="009A2E11">
              <w:rPr>
                <w:rFonts w:ascii="Times New Roman" w:eastAsia="Times New Roman" w:hAnsi="Times New Roman" w:cs="Times New Roman"/>
                <w:sz w:val="24"/>
                <w:szCs w:val="24"/>
                <w:lang w:eastAsia="lv-LV"/>
              </w:rPr>
              <w:t>noregulējamības novērtējumu</w:t>
            </w:r>
            <w:r w:rsidR="00D94DEA">
              <w:rPr>
                <w:rFonts w:ascii="Times New Roman" w:eastAsia="Times New Roman" w:hAnsi="Times New Roman" w:cs="Times New Roman"/>
                <w:sz w:val="24"/>
                <w:szCs w:val="24"/>
                <w:lang w:eastAsia="lv-LV"/>
              </w:rPr>
              <w:t>, kā arī nosaka prasības Latvijas Bankai</w:t>
            </w:r>
            <w:r w:rsidR="00D94DEA" w:rsidRPr="00D94DEA">
              <w:rPr>
                <w:rFonts w:ascii="Times New Roman" w:eastAsia="Times New Roman" w:hAnsi="Times New Roman" w:cs="Times New Roman"/>
                <w:sz w:val="24"/>
                <w:szCs w:val="24"/>
                <w:lang w:eastAsia="lv-LV"/>
              </w:rPr>
              <w:t xml:space="preserve"> apstiprin</w:t>
            </w:r>
            <w:r w:rsidR="00D94DEA">
              <w:rPr>
                <w:rFonts w:ascii="Times New Roman" w:eastAsia="Times New Roman" w:hAnsi="Times New Roman" w:cs="Times New Roman"/>
                <w:sz w:val="24"/>
                <w:szCs w:val="24"/>
                <w:lang w:eastAsia="lv-LV"/>
              </w:rPr>
              <w:t>āt</w:t>
            </w:r>
            <w:r w:rsidR="00D94DEA" w:rsidRPr="00D94DEA">
              <w:rPr>
                <w:rFonts w:ascii="Times New Roman" w:eastAsia="Times New Roman" w:hAnsi="Times New Roman" w:cs="Times New Roman"/>
                <w:sz w:val="24"/>
                <w:szCs w:val="24"/>
                <w:lang w:eastAsia="lv-LV"/>
              </w:rPr>
              <w:t xml:space="preserve"> daudzgadu noregulējamības testēšanas programmu</w:t>
            </w:r>
            <w:r w:rsidR="00D94DEA">
              <w:rPr>
                <w:rFonts w:ascii="Times New Roman" w:eastAsia="Times New Roman" w:hAnsi="Times New Roman" w:cs="Times New Roman"/>
                <w:sz w:val="24"/>
                <w:szCs w:val="24"/>
                <w:lang w:eastAsia="lv-LV"/>
              </w:rPr>
              <w:t xml:space="preserve"> </w:t>
            </w:r>
            <w:r w:rsidR="00D94DEA" w:rsidRPr="00D94DEA">
              <w:rPr>
                <w:rFonts w:ascii="Times New Roman" w:eastAsia="Times New Roman" w:hAnsi="Times New Roman" w:cs="Times New Roman"/>
                <w:sz w:val="24"/>
                <w:szCs w:val="24"/>
                <w:lang w:eastAsia="lv-LV"/>
              </w:rPr>
              <w:t>katrai iestādei</w:t>
            </w:r>
            <w:r w:rsidR="00D94DEA">
              <w:rPr>
                <w:rFonts w:ascii="Times New Roman" w:eastAsia="Times New Roman" w:hAnsi="Times New Roman" w:cs="Times New Roman"/>
                <w:sz w:val="24"/>
                <w:szCs w:val="24"/>
                <w:lang w:eastAsia="lv-LV"/>
              </w:rPr>
              <w:t>.</w:t>
            </w:r>
          </w:p>
        </w:tc>
      </w:tr>
      <w:tr w:rsidR="000B4E0A" w:rsidRPr="000B4E0A" w14:paraId="1A07C61D" w14:textId="77777777" w:rsidTr="00E253DA">
        <w:trPr>
          <w:trHeight w:val="567"/>
        </w:trPr>
        <w:tc>
          <w:tcPr>
            <w:tcW w:w="1796" w:type="pct"/>
            <w:shd w:val="clear" w:color="auto" w:fill="auto"/>
            <w:hideMark/>
          </w:tcPr>
          <w:p w14:paraId="6C1C0778"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0A576D66"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03CE425" w14:textId="3058F778" w:rsidR="00944D1B"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xml:space="preserve">Noteikumu projekts </w:t>
            </w:r>
            <w:r w:rsidR="00D4539B">
              <w:rPr>
                <w:rFonts w:ascii="Times New Roman" w:eastAsia="Times New Roman" w:hAnsi="Times New Roman" w:cs="Times New Roman"/>
                <w:sz w:val="24"/>
                <w:szCs w:val="24"/>
                <w:lang w:eastAsia="lv-LV"/>
              </w:rPr>
              <w:t>nepieciešams</w:t>
            </w:r>
            <w:r w:rsidR="00D4539B" w:rsidRPr="00AF5B11">
              <w:rPr>
                <w:rFonts w:ascii="Times New Roman" w:eastAsia="Times New Roman" w:hAnsi="Times New Roman" w:cs="Times New Roman"/>
                <w:sz w:val="24"/>
                <w:szCs w:val="24"/>
                <w:lang w:eastAsia="lv-LV"/>
              </w:rPr>
              <w:t xml:space="preserve"> </w:t>
            </w:r>
            <w:r w:rsidRPr="00AF5B11">
              <w:rPr>
                <w:rFonts w:ascii="Times New Roman" w:eastAsia="Times New Roman" w:hAnsi="Times New Roman" w:cs="Times New Roman"/>
                <w:sz w:val="24"/>
                <w:szCs w:val="24"/>
                <w:lang w:eastAsia="lv-LV"/>
              </w:rPr>
              <w:t>Latvijas Bankas likuma 5.</w:t>
            </w:r>
            <w:r w:rsidR="00582C97">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 xml:space="preserve">panta pirmās daļas </w:t>
            </w:r>
            <w:r w:rsidR="00AF5B11" w:rsidRPr="00AF5B11">
              <w:rPr>
                <w:rFonts w:ascii="Times New Roman" w:eastAsia="Times New Roman" w:hAnsi="Times New Roman" w:cs="Times New Roman"/>
                <w:sz w:val="24"/>
                <w:szCs w:val="24"/>
                <w:lang w:eastAsia="lv-LV"/>
              </w:rPr>
              <w:t>5</w:t>
            </w:r>
            <w:r w:rsidRPr="00AF5B11">
              <w:rPr>
                <w:rFonts w:ascii="Times New Roman" w:eastAsia="Times New Roman" w:hAnsi="Times New Roman" w:cs="Times New Roman"/>
                <w:sz w:val="24"/>
                <w:szCs w:val="24"/>
                <w:lang w:eastAsia="lv-LV"/>
              </w:rPr>
              <w:t>.</w:t>
            </w:r>
            <w:r w:rsidR="00582C97">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punkt</w:t>
            </w:r>
            <w:r w:rsidR="00D4539B">
              <w:rPr>
                <w:rFonts w:ascii="Times New Roman" w:eastAsia="Times New Roman" w:hAnsi="Times New Roman" w:cs="Times New Roman"/>
                <w:sz w:val="24"/>
                <w:szCs w:val="24"/>
                <w:lang w:eastAsia="lv-LV"/>
              </w:rPr>
              <w:t>ā noteiktā uzdevuma</w:t>
            </w:r>
            <w:r w:rsidRPr="00AF5B11">
              <w:rPr>
                <w:rFonts w:ascii="Times New Roman" w:eastAsia="Times New Roman" w:hAnsi="Times New Roman" w:cs="Times New Roman"/>
                <w:sz w:val="24"/>
                <w:szCs w:val="24"/>
                <w:lang w:eastAsia="lv-LV"/>
              </w:rPr>
              <w:t xml:space="preserve"> izpild</w:t>
            </w:r>
            <w:r w:rsidR="00D4539B">
              <w:rPr>
                <w:rFonts w:ascii="Times New Roman" w:eastAsia="Times New Roman" w:hAnsi="Times New Roman" w:cs="Times New Roman"/>
                <w:sz w:val="24"/>
                <w:szCs w:val="24"/>
                <w:lang w:eastAsia="lv-LV"/>
              </w:rPr>
              <w:t>e</w:t>
            </w:r>
            <w:r w:rsidRPr="00AF5B11">
              <w:rPr>
                <w:rFonts w:ascii="Times New Roman" w:eastAsia="Times New Roman" w:hAnsi="Times New Roman" w:cs="Times New Roman"/>
                <w:sz w:val="24"/>
                <w:szCs w:val="24"/>
                <w:lang w:eastAsia="lv-LV"/>
              </w:rPr>
              <w:t>i.</w:t>
            </w:r>
          </w:p>
          <w:p w14:paraId="1AE9700A" w14:textId="43EEC986" w:rsidR="00D4539B" w:rsidRDefault="00D4539B" w:rsidP="00E53509">
            <w:pPr>
              <w:spacing w:after="120" w:line="240" w:lineRule="auto"/>
              <w:jc w:val="both"/>
              <w:rPr>
                <w:rFonts w:ascii="Times New Roman" w:eastAsia="Times New Roman" w:hAnsi="Times New Roman" w:cs="Times New Roman"/>
                <w:sz w:val="24"/>
                <w:szCs w:val="24"/>
                <w:lang w:eastAsia="lv-LV"/>
              </w:rPr>
            </w:pPr>
            <w:r w:rsidRPr="00B95918">
              <w:rPr>
                <w:rFonts w:ascii="Times New Roman" w:eastAsia="Times New Roman" w:hAnsi="Times New Roman" w:cs="Times New Roman"/>
                <w:sz w:val="24"/>
                <w:szCs w:val="24"/>
                <w:lang w:eastAsia="lv-LV"/>
              </w:rPr>
              <w:t>Noteikumu projekta leģitīmais mērķis ir citu personu tiesību aizsardzība</w:t>
            </w:r>
            <w:r>
              <w:rPr>
                <w:rFonts w:ascii="Times New Roman" w:eastAsia="Times New Roman" w:hAnsi="Times New Roman" w:cs="Times New Roman"/>
                <w:sz w:val="24"/>
                <w:szCs w:val="24"/>
                <w:lang w:eastAsia="lv-LV"/>
              </w:rPr>
              <w:t>.</w:t>
            </w:r>
          </w:p>
          <w:p w14:paraId="570C9D9F" w14:textId="2F9419A5" w:rsidR="00E53DE9" w:rsidRPr="00B95918" w:rsidRDefault="00D4539B" w:rsidP="009B08C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w:t>
            </w:r>
            <w:r w:rsidR="00944D1B" w:rsidRPr="00B95918">
              <w:rPr>
                <w:rFonts w:ascii="Times New Roman" w:eastAsia="Times New Roman" w:hAnsi="Times New Roman" w:cs="Times New Roman"/>
                <w:sz w:val="24"/>
                <w:szCs w:val="24"/>
                <w:lang w:eastAsia="lv-LV"/>
              </w:rPr>
              <w:t>oteikumu projekt</w:t>
            </w:r>
            <w:r>
              <w:rPr>
                <w:rFonts w:ascii="Times New Roman" w:eastAsia="Times New Roman" w:hAnsi="Times New Roman" w:cs="Times New Roman"/>
                <w:sz w:val="24"/>
                <w:szCs w:val="24"/>
                <w:lang w:eastAsia="lv-LV"/>
              </w:rPr>
              <w:t xml:space="preserve">u tiek </w:t>
            </w:r>
            <w:r w:rsidR="00F43979">
              <w:rPr>
                <w:rFonts w:ascii="Times New Roman" w:eastAsia="Times New Roman" w:hAnsi="Times New Roman" w:cs="Times New Roman"/>
                <w:sz w:val="24"/>
                <w:szCs w:val="24"/>
                <w:lang w:eastAsia="lv-LV"/>
              </w:rPr>
              <w:t>noteikt</w:t>
            </w:r>
            <w:r>
              <w:rPr>
                <w:rFonts w:ascii="Times New Roman" w:eastAsia="Times New Roman" w:hAnsi="Times New Roman" w:cs="Times New Roman"/>
                <w:sz w:val="24"/>
                <w:szCs w:val="24"/>
                <w:lang w:eastAsia="lv-LV"/>
              </w:rPr>
              <w:t>a</w:t>
            </w:r>
            <w:r w:rsidR="00F43979">
              <w:rPr>
                <w:rFonts w:ascii="Times New Roman" w:eastAsia="Times New Roman" w:hAnsi="Times New Roman" w:cs="Times New Roman"/>
                <w:sz w:val="24"/>
                <w:szCs w:val="24"/>
                <w:lang w:eastAsia="lv-LV"/>
              </w:rPr>
              <w:t xml:space="preserve"> </w:t>
            </w:r>
            <w:r w:rsidR="00A020E7">
              <w:rPr>
                <w:rFonts w:ascii="Times New Roman" w:eastAsia="Times New Roman" w:hAnsi="Times New Roman" w:cs="Times New Roman"/>
                <w:sz w:val="24"/>
                <w:szCs w:val="24"/>
                <w:lang w:eastAsia="lv-LV"/>
              </w:rPr>
              <w:t>minimāl</w:t>
            </w:r>
            <w:r>
              <w:rPr>
                <w:rFonts w:ascii="Times New Roman" w:eastAsia="Times New Roman" w:hAnsi="Times New Roman" w:cs="Times New Roman"/>
                <w:sz w:val="24"/>
                <w:szCs w:val="24"/>
                <w:lang w:eastAsia="lv-LV"/>
              </w:rPr>
              <w:t>ā</w:t>
            </w:r>
            <w:r w:rsidR="00DC7150" w:rsidRPr="00B95918">
              <w:rPr>
                <w:rFonts w:ascii="Times New Roman" w:eastAsia="Times New Roman" w:hAnsi="Times New Roman" w:cs="Times New Roman"/>
                <w:sz w:val="24"/>
                <w:szCs w:val="24"/>
                <w:lang w:eastAsia="lv-LV"/>
              </w:rPr>
              <w:t xml:space="preserve"> informācij</w:t>
            </w:r>
            <w:r>
              <w:rPr>
                <w:rFonts w:ascii="Times New Roman" w:eastAsia="Times New Roman" w:hAnsi="Times New Roman" w:cs="Times New Roman"/>
                <w:sz w:val="24"/>
                <w:szCs w:val="24"/>
                <w:lang w:eastAsia="lv-LV"/>
              </w:rPr>
              <w:t>a</w:t>
            </w:r>
            <w:r w:rsidR="00A020E7">
              <w:rPr>
                <w:rFonts w:ascii="Times New Roman" w:eastAsia="Times New Roman" w:hAnsi="Times New Roman" w:cs="Times New Roman"/>
                <w:sz w:val="24"/>
                <w:szCs w:val="24"/>
                <w:lang w:eastAsia="lv-LV"/>
              </w:rPr>
              <w:t>, kuru</w:t>
            </w:r>
            <w:r w:rsidR="00DC7150" w:rsidRPr="00B95918">
              <w:rPr>
                <w:rFonts w:ascii="Times New Roman" w:eastAsia="Times New Roman" w:hAnsi="Times New Roman" w:cs="Times New Roman"/>
                <w:sz w:val="24"/>
                <w:szCs w:val="24"/>
                <w:lang w:eastAsia="lv-LV"/>
              </w:rPr>
              <w:t xml:space="preserve"> Latvijas Banka var </w:t>
            </w:r>
            <w:r w:rsidR="00D2308B">
              <w:rPr>
                <w:rFonts w:ascii="Times New Roman" w:eastAsia="Times New Roman" w:hAnsi="Times New Roman" w:cs="Times New Roman"/>
                <w:sz w:val="24"/>
                <w:szCs w:val="24"/>
                <w:lang w:eastAsia="lv-LV"/>
              </w:rPr>
              <w:t xml:space="preserve">pieprasīt </w:t>
            </w:r>
            <w:r w:rsidR="00DC7150" w:rsidRPr="00B95918">
              <w:rPr>
                <w:rFonts w:ascii="Times New Roman" w:eastAsia="Times New Roman" w:hAnsi="Times New Roman" w:cs="Times New Roman"/>
                <w:sz w:val="24"/>
                <w:szCs w:val="24"/>
                <w:lang w:eastAsia="lv-LV"/>
              </w:rPr>
              <w:t>noregulējuma plān</w:t>
            </w:r>
            <w:r w:rsidR="00A020E7">
              <w:rPr>
                <w:rFonts w:ascii="Times New Roman" w:eastAsia="Times New Roman" w:hAnsi="Times New Roman" w:cs="Times New Roman"/>
                <w:sz w:val="24"/>
                <w:szCs w:val="24"/>
                <w:lang w:eastAsia="lv-LV"/>
              </w:rPr>
              <w:t>a</w:t>
            </w:r>
            <w:r w:rsidR="00DC7150" w:rsidRPr="00B95918">
              <w:rPr>
                <w:rFonts w:ascii="Times New Roman" w:eastAsia="Times New Roman" w:hAnsi="Times New Roman" w:cs="Times New Roman"/>
                <w:sz w:val="24"/>
                <w:szCs w:val="24"/>
                <w:lang w:eastAsia="lv-LV"/>
              </w:rPr>
              <w:t xml:space="preserve"> izstrādei</w:t>
            </w:r>
            <w:r w:rsidR="00A020E7">
              <w:rPr>
                <w:rFonts w:ascii="Times New Roman" w:eastAsia="Times New Roman" w:hAnsi="Times New Roman" w:cs="Times New Roman"/>
                <w:sz w:val="24"/>
                <w:szCs w:val="24"/>
                <w:lang w:eastAsia="lv-LV"/>
              </w:rPr>
              <w:t xml:space="preserve"> un aktualizēšanai</w:t>
            </w:r>
            <w:r w:rsidR="00DC7150" w:rsidRPr="00B95918">
              <w:rPr>
                <w:rFonts w:ascii="Times New Roman" w:eastAsia="Times New Roman" w:hAnsi="Times New Roman" w:cs="Times New Roman"/>
                <w:sz w:val="24"/>
                <w:szCs w:val="24"/>
                <w:lang w:eastAsia="lv-LV"/>
              </w:rPr>
              <w:t xml:space="preserve">, </w:t>
            </w:r>
            <w:r w:rsidR="001A5B42">
              <w:rPr>
                <w:rFonts w:ascii="Times New Roman" w:eastAsia="Times New Roman" w:hAnsi="Times New Roman" w:cs="Times New Roman"/>
                <w:sz w:val="24"/>
                <w:szCs w:val="24"/>
                <w:lang w:eastAsia="lv-LV"/>
              </w:rPr>
              <w:t xml:space="preserve">tādējādi pārņemot prasības, </w:t>
            </w:r>
            <w:r w:rsidR="00B95918">
              <w:rPr>
                <w:rFonts w:ascii="Times New Roman" w:eastAsia="Times New Roman" w:hAnsi="Times New Roman" w:cs="Times New Roman"/>
                <w:sz w:val="24"/>
                <w:szCs w:val="24"/>
                <w:lang w:eastAsia="lv-LV"/>
              </w:rPr>
              <w:t xml:space="preserve">kas izriet no </w:t>
            </w:r>
            <w:r w:rsidR="00B95918" w:rsidRPr="00B95918">
              <w:rPr>
                <w:rFonts w:ascii="Times New Roman" w:eastAsia="Times New Roman" w:hAnsi="Times New Roman" w:cs="Times New Roman"/>
                <w:sz w:val="24"/>
                <w:szCs w:val="24"/>
                <w:lang w:eastAsia="lv-LV"/>
              </w:rPr>
              <w:t>Eiropas Parlamenta un Padomes 2014.</w:t>
            </w:r>
            <w:r w:rsidR="00582C97">
              <w:rPr>
                <w:rFonts w:ascii="Times New Roman" w:eastAsia="Times New Roman" w:hAnsi="Times New Roman" w:cs="Times New Roman"/>
                <w:sz w:val="24"/>
                <w:szCs w:val="24"/>
                <w:lang w:eastAsia="lv-LV"/>
              </w:rPr>
              <w:t> </w:t>
            </w:r>
            <w:r w:rsidR="00B95918" w:rsidRPr="00B95918">
              <w:rPr>
                <w:rFonts w:ascii="Times New Roman" w:eastAsia="Times New Roman" w:hAnsi="Times New Roman" w:cs="Times New Roman"/>
                <w:sz w:val="24"/>
                <w:szCs w:val="24"/>
                <w:lang w:eastAsia="lv-LV"/>
              </w:rPr>
              <w:t>gada 15.</w:t>
            </w:r>
            <w:r w:rsidR="00582C97">
              <w:rPr>
                <w:rFonts w:ascii="Times New Roman" w:eastAsia="Times New Roman" w:hAnsi="Times New Roman" w:cs="Times New Roman"/>
                <w:sz w:val="24"/>
                <w:szCs w:val="24"/>
                <w:lang w:eastAsia="lv-LV"/>
              </w:rPr>
              <w:t> </w:t>
            </w:r>
            <w:r w:rsidR="00B95918" w:rsidRPr="00B95918">
              <w:rPr>
                <w:rFonts w:ascii="Times New Roman" w:eastAsia="Times New Roman" w:hAnsi="Times New Roman" w:cs="Times New Roman"/>
                <w:sz w:val="24"/>
                <w:szCs w:val="24"/>
                <w:lang w:eastAsia="lv-LV"/>
              </w:rPr>
              <w:t xml:space="preserve">maija direktīvas 2014/59/ES, ar ko izveido kredītiestāžu un ieguldījumu brokeru sabiedrību atveseļošanas un noregulējuma režīmu un groza Padomes </w:t>
            </w:r>
            <w:r w:rsidR="00F43979">
              <w:rPr>
                <w:rFonts w:ascii="Times New Roman" w:eastAsia="Times New Roman" w:hAnsi="Times New Roman" w:cs="Times New Roman"/>
                <w:sz w:val="24"/>
                <w:szCs w:val="24"/>
                <w:lang w:eastAsia="lv-LV"/>
              </w:rPr>
              <w:t>d</w:t>
            </w:r>
            <w:r w:rsidR="00B95918" w:rsidRPr="00B95918">
              <w:rPr>
                <w:rFonts w:ascii="Times New Roman" w:eastAsia="Times New Roman" w:hAnsi="Times New Roman" w:cs="Times New Roman"/>
                <w:sz w:val="24"/>
                <w:szCs w:val="24"/>
                <w:lang w:eastAsia="lv-LV"/>
              </w:rPr>
              <w:t xml:space="preserve">irektīvu 82/891/EEK un Eiropas Parlamenta un Padomes </w:t>
            </w:r>
            <w:r w:rsidR="005F56C6" w:rsidRPr="00B95918">
              <w:rPr>
                <w:rFonts w:ascii="Times New Roman" w:eastAsia="Times New Roman" w:hAnsi="Times New Roman" w:cs="Times New Roman"/>
                <w:sz w:val="24"/>
                <w:szCs w:val="24"/>
                <w:lang w:eastAsia="lv-LV"/>
              </w:rPr>
              <w:t xml:space="preserve">direktīvas </w:t>
            </w:r>
            <w:r w:rsidR="00B95918" w:rsidRPr="00B95918">
              <w:rPr>
                <w:rFonts w:ascii="Times New Roman" w:eastAsia="Times New Roman" w:hAnsi="Times New Roman" w:cs="Times New Roman"/>
                <w:sz w:val="24"/>
                <w:szCs w:val="24"/>
                <w:lang w:eastAsia="lv-LV"/>
              </w:rPr>
              <w:t xml:space="preserve">2001/24/EK, 2002/47/EK, 2004/25/EK, 2005/56/EK, 2007/36/EK, 2011/35/ES, 2012/30/ES un 2013/36/ES, un Eiropas Parlamenta un Padomes </w:t>
            </w:r>
            <w:r w:rsidR="00F43979">
              <w:rPr>
                <w:rFonts w:ascii="Times New Roman" w:eastAsia="Times New Roman" w:hAnsi="Times New Roman" w:cs="Times New Roman"/>
                <w:sz w:val="24"/>
                <w:szCs w:val="24"/>
                <w:lang w:eastAsia="lv-LV"/>
              </w:rPr>
              <w:t>r</w:t>
            </w:r>
            <w:r w:rsidR="00B95918" w:rsidRPr="00B95918">
              <w:rPr>
                <w:rFonts w:ascii="Times New Roman" w:eastAsia="Times New Roman" w:hAnsi="Times New Roman" w:cs="Times New Roman"/>
                <w:sz w:val="24"/>
                <w:szCs w:val="24"/>
                <w:lang w:eastAsia="lv-LV"/>
              </w:rPr>
              <w:t>egulas (ES) Nr.</w:t>
            </w:r>
            <w:r w:rsidR="007F2D87">
              <w:rPr>
                <w:rFonts w:ascii="Times New Roman" w:eastAsia="Times New Roman" w:hAnsi="Times New Roman" w:cs="Times New Roman"/>
                <w:sz w:val="24"/>
                <w:szCs w:val="24"/>
                <w:lang w:eastAsia="lv-LV"/>
              </w:rPr>
              <w:t> </w:t>
            </w:r>
            <w:r w:rsidR="00B95918" w:rsidRPr="00B95918">
              <w:rPr>
                <w:rFonts w:ascii="Times New Roman" w:eastAsia="Times New Roman" w:hAnsi="Times New Roman" w:cs="Times New Roman"/>
                <w:sz w:val="24"/>
                <w:szCs w:val="24"/>
                <w:lang w:eastAsia="lv-LV"/>
              </w:rPr>
              <w:t>1093/2010 un (ES) Nr.</w:t>
            </w:r>
            <w:r w:rsidR="007F2D87">
              <w:rPr>
                <w:rFonts w:ascii="Times New Roman" w:eastAsia="Times New Roman" w:hAnsi="Times New Roman" w:cs="Times New Roman"/>
                <w:sz w:val="24"/>
                <w:szCs w:val="24"/>
                <w:lang w:eastAsia="lv-LV"/>
              </w:rPr>
              <w:t> </w:t>
            </w:r>
            <w:r w:rsidR="00B95918" w:rsidRPr="00B95918">
              <w:rPr>
                <w:rFonts w:ascii="Times New Roman" w:eastAsia="Times New Roman" w:hAnsi="Times New Roman" w:cs="Times New Roman"/>
                <w:sz w:val="24"/>
                <w:szCs w:val="24"/>
                <w:lang w:eastAsia="lv-LV"/>
              </w:rPr>
              <w:t>648/2012</w:t>
            </w:r>
            <w:r w:rsidR="000A4630">
              <w:rPr>
                <w:rFonts w:ascii="Times New Roman" w:eastAsia="Times New Roman" w:hAnsi="Times New Roman" w:cs="Times New Roman"/>
                <w:sz w:val="24"/>
                <w:szCs w:val="24"/>
                <w:lang w:eastAsia="lv-LV"/>
              </w:rPr>
              <w:t xml:space="preserve"> (turpmāk – Direktīva 2014/59/ES)</w:t>
            </w:r>
            <w:r w:rsidR="00B95918" w:rsidRPr="00B95918">
              <w:rPr>
                <w:rFonts w:ascii="Times New Roman" w:eastAsia="Times New Roman" w:hAnsi="Times New Roman" w:cs="Times New Roman"/>
                <w:sz w:val="24"/>
                <w:szCs w:val="24"/>
                <w:lang w:eastAsia="lv-LV"/>
              </w:rPr>
              <w:t xml:space="preserve"> pielikuma B</w:t>
            </w:r>
            <w:r w:rsidR="005F56C6">
              <w:rPr>
                <w:rFonts w:ascii="Times New Roman" w:eastAsia="Times New Roman" w:hAnsi="Times New Roman" w:cs="Times New Roman"/>
                <w:sz w:val="24"/>
                <w:szCs w:val="24"/>
                <w:lang w:eastAsia="lv-LV"/>
              </w:rPr>
              <w:t> </w:t>
            </w:r>
            <w:r w:rsidR="00B95918" w:rsidRPr="00B95918">
              <w:rPr>
                <w:rFonts w:ascii="Times New Roman" w:eastAsia="Times New Roman" w:hAnsi="Times New Roman" w:cs="Times New Roman"/>
                <w:sz w:val="24"/>
                <w:szCs w:val="24"/>
                <w:lang w:eastAsia="lv-LV"/>
              </w:rPr>
              <w:t>iedaļa</w:t>
            </w:r>
            <w:r w:rsidR="00B95918">
              <w:rPr>
                <w:rFonts w:ascii="Times New Roman" w:eastAsia="Times New Roman" w:hAnsi="Times New Roman" w:cs="Times New Roman"/>
                <w:sz w:val="24"/>
                <w:szCs w:val="24"/>
                <w:lang w:eastAsia="lv-LV"/>
              </w:rPr>
              <w:t>s</w:t>
            </w:r>
            <w:r w:rsidR="00250E7D">
              <w:rPr>
                <w:rFonts w:ascii="Times New Roman" w:eastAsia="Times New Roman" w:hAnsi="Times New Roman" w:cs="Times New Roman"/>
                <w:sz w:val="24"/>
                <w:szCs w:val="24"/>
                <w:lang w:eastAsia="lv-LV"/>
              </w:rPr>
              <w:t xml:space="preserve"> un </w:t>
            </w:r>
            <w:r w:rsidR="00250E7D" w:rsidRPr="00250E7D">
              <w:rPr>
                <w:rFonts w:ascii="Times New Roman" w:eastAsia="Times New Roman" w:hAnsi="Times New Roman" w:cs="Times New Roman"/>
                <w:sz w:val="24"/>
                <w:szCs w:val="24"/>
                <w:lang w:eastAsia="lv-LV"/>
              </w:rPr>
              <w:t>Eiropas Parlamenta un Padomes 2019.</w:t>
            </w:r>
            <w:r w:rsidR="001A5B42">
              <w:rPr>
                <w:rFonts w:ascii="Times New Roman" w:eastAsia="Times New Roman" w:hAnsi="Times New Roman" w:cs="Times New Roman"/>
                <w:sz w:val="24"/>
                <w:szCs w:val="24"/>
                <w:lang w:eastAsia="lv-LV"/>
              </w:rPr>
              <w:t> </w:t>
            </w:r>
            <w:r w:rsidR="00250E7D" w:rsidRPr="00250E7D">
              <w:rPr>
                <w:rFonts w:ascii="Times New Roman" w:eastAsia="Times New Roman" w:hAnsi="Times New Roman" w:cs="Times New Roman"/>
                <w:sz w:val="24"/>
                <w:szCs w:val="24"/>
                <w:lang w:eastAsia="lv-LV"/>
              </w:rPr>
              <w:t>gada 20.</w:t>
            </w:r>
            <w:r w:rsidR="001A5B42">
              <w:rPr>
                <w:rFonts w:ascii="Times New Roman" w:eastAsia="Times New Roman" w:hAnsi="Times New Roman" w:cs="Times New Roman"/>
                <w:sz w:val="24"/>
                <w:szCs w:val="24"/>
                <w:lang w:eastAsia="lv-LV"/>
              </w:rPr>
              <w:t> </w:t>
            </w:r>
            <w:r w:rsidR="00250E7D" w:rsidRPr="00250E7D">
              <w:rPr>
                <w:rFonts w:ascii="Times New Roman" w:eastAsia="Times New Roman" w:hAnsi="Times New Roman" w:cs="Times New Roman"/>
                <w:sz w:val="24"/>
                <w:szCs w:val="24"/>
                <w:lang w:eastAsia="lv-LV"/>
              </w:rPr>
              <w:t>maija direktīv</w:t>
            </w:r>
            <w:r w:rsidR="001A5B42">
              <w:rPr>
                <w:rFonts w:ascii="Times New Roman" w:eastAsia="Times New Roman" w:hAnsi="Times New Roman" w:cs="Times New Roman"/>
                <w:sz w:val="24"/>
                <w:szCs w:val="24"/>
                <w:lang w:eastAsia="lv-LV"/>
              </w:rPr>
              <w:t>as</w:t>
            </w:r>
            <w:r w:rsidR="00250E7D" w:rsidRPr="00250E7D">
              <w:rPr>
                <w:rFonts w:ascii="Times New Roman" w:eastAsia="Times New Roman" w:hAnsi="Times New Roman" w:cs="Times New Roman"/>
                <w:sz w:val="24"/>
                <w:szCs w:val="24"/>
                <w:lang w:eastAsia="lv-LV"/>
              </w:rPr>
              <w:t xml:space="preserve"> </w:t>
            </w:r>
            <w:r w:rsidR="001A5B42">
              <w:rPr>
                <w:rFonts w:ascii="Times New Roman" w:eastAsia="Times New Roman" w:hAnsi="Times New Roman" w:cs="Times New Roman"/>
                <w:sz w:val="24"/>
                <w:szCs w:val="24"/>
                <w:lang w:eastAsia="lv-LV"/>
              </w:rPr>
              <w:t xml:space="preserve">(ES) </w:t>
            </w:r>
            <w:r w:rsidR="00250E7D" w:rsidRPr="00250E7D">
              <w:rPr>
                <w:rFonts w:ascii="Times New Roman" w:eastAsia="Times New Roman" w:hAnsi="Times New Roman" w:cs="Times New Roman"/>
                <w:sz w:val="24"/>
                <w:szCs w:val="24"/>
                <w:lang w:eastAsia="lv-LV"/>
              </w:rPr>
              <w:t>2019/879</w:t>
            </w:r>
            <w:r w:rsidR="00095B6A">
              <w:rPr>
                <w:rFonts w:ascii="Times New Roman" w:eastAsia="Times New Roman" w:hAnsi="Times New Roman" w:cs="Times New Roman"/>
                <w:sz w:val="24"/>
                <w:szCs w:val="24"/>
                <w:lang w:eastAsia="lv-LV"/>
              </w:rPr>
              <w:t>,</w:t>
            </w:r>
            <w:r w:rsidR="00250E7D" w:rsidRPr="00250E7D">
              <w:rPr>
                <w:rFonts w:ascii="Times New Roman" w:eastAsia="Times New Roman" w:hAnsi="Times New Roman" w:cs="Times New Roman"/>
                <w:sz w:val="24"/>
                <w:szCs w:val="24"/>
                <w:lang w:eastAsia="lv-LV"/>
              </w:rPr>
              <w:t xml:space="preserve"> ar ko groza </w:t>
            </w:r>
            <w:r w:rsidR="001A5B42">
              <w:rPr>
                <w:rFonts w:ascii="Times New Roman" w:eastAsia="Times New Roman" w:hAnsi="Times New Roman" w:cs="Times New Roman"/>
                <w:sz w:val="24"/>
                <w:szCs w:val="24"/>
                <w:lang w:eastAsia="lv-LV"/>
              </w:rPr>
              <w:t>d</w:t>
            </w:r>
            <w:r w:rsidR="00250E7D" w:rsidRPr="00250E7D">
              <w:rPr>
                <w:rFonts w:ascii="Times New Roman" w:eastAsia="Times New Roman" w:hAnsi="Times New Roman" w:cs="Times New Roman"/>
                <w:sz w:val="24"/>
                <w:szCs w:val="24"/>
                <w:lang w:eastAsia="lv-LV"/>
              </w:rPr>
              <w:t xml:space="preserve">irektīvu 2014/59/ES attiecībā uz zaudējumu absorbcijas un rekapitalizācijas spēju </w:t>
            </w:r>
            <w:r w:rsidR="00250E7D" w:rsidRPr="00250E7D">
              <w:rPr>
                <w:rFonts w:ascii="Times New Roman" w:eastAsia="Times New Roman" w:hAnsi="Times New Roman" w:cs="Times New Roman"/>
                <w:sz w:val="24"/>
                <w:szCs w:val="24"/>
                <w:lang w:eastAsia="lv-LV"/>
              </w:rPr>
              <w:lastRenderedPageBreak/>
              <w:t xml:space="preserve">kredītiestādēm un ieguldījumu brokeru sabiedrībām un </w:t>
            </w:r>
            <w:r w:rsidR="001A5B42">
              <w:rPr>
                <w:rFonts w:ascii="Times New Roman" w:eastAsia="Times New Roman" w:hAnsi="Times New Roman" w:cs="Times New Roman"/>
                <w:sz w:val="24"/>
                <w:szCs w:val="24"/>
                <w:lang w:eastAsia="lv-LV"/>
              </w:rPr>
              <w:t>d</w:t>
            </w:r>
            <w:r w:rsidR="00250E7D" w:rsidRPr="00250E7D">
              <w:rPr>
                <w:rFonts w:ascii="Times New Roman" w:eastAsia="Times New Roman" w:hAnsi="Times New Roman" w:cs="Times New Roman"/>
                <w:sz w:val="24"/>
                <w:szCs w:val="24"/>
                <w:lang w:eastAsia="lv-LV"/>
              </w:rPr>
              <w:t>irektīvu 98/26/EK</w:t>
            </w:r>
            <w:r w:rsidR="00250E7D">
              <w:rPr>
                <w:rFonts w:ascii="Times New Roman" w:eastAsia="Times New Roman" w:hAnsi="Times New Roman" w:cs="Times New Roman"/>
                <w:sz w:val="24"/>
                <w:szCs w:val="24"/>
                <w:lang w:eastAsia="lv-LV"/>
              </w:rPr>
              <w:t xml:space="preserve"> </w:t>
            </w:r>
            <w:r w:rsidR="00250E7D" w:rsidRPr="00250E7D">
              <w:rPr>
                <w:rFonts w:ascii="Times New Roman" w:eastAsia="Times New Roman" w:hAnsi="Times New Roman" w:cs="Times New Roman"/>
                <w:sz w:val="24"/>
                <w:szCs w:val="24"/>
                <w:lang w:eastAsia="lv-LV"/>
              </w:rPr>
              <w:t>(turpmāk</w:t>
            </w:r>
            <w:r w:rsidR="009B08CE">
              <w:rPr>
                <w:rFonts w:ascii="Times New Roman" w:eastAsia="Times New Roman" w:hAnsi="Times New Roman" w:cs="Times New Roman"/>
                <w:sz w:val="24"/>
                <w:szCs w:val="24"/>
                <w:lang w:eastAsia="lv-LV"/>
              </w:rPr>
              <w:t> </w:t>
            </w:r>
            <w:r w:rsidR="00250E7D" w:rsidRPr="00250E7D">
              <w:rPr>
                <w:rFonts w:ascii="Times New Roman" w:eastAsia="Times New Roman" w:hAnsi="Times New Roman" w:cs="Times New Roman"/>
                <w:sz w:val="24"/>
                <w:szCs w:val="24"/>
                <w:lang w:eastAsia="lv-LV"/>
              </w:rPr>
              <w:t>– Direktīva 201</w:t>
            </w:r>
            <w:r w:rsidR="00250E7D">
              <w:rPr>
                <w:rFonts w:ascii="Times New Roman" w:eastAsia="Times New Roman" w:hAnsi="Times New Roman" w:cs="Times New Roman"/>
                <w:sz w:val="24"/>
                <w:szCs w:val="24"/>
                <w:lang w:eastAsia="lv-LV"/>
              </w:rPr>
              <w:t>9</w:t>
            </w:r>
            <w:r w:rsidR="00250E7D" w:rsidRPr="00250E7D">
              <w:rPr>
                <w:rFonts w:ascii="Times New Roman" w:eastAsia="Times New Roman" w:hAnsi="Times New Roman" w:cs="Times New Roman"/>
                <w:sz w:val="24"/>
                <w:szCs w:val="24"/>
                <w:lang w:eastAsia="lv-LV"/>
              </w:rPr>
              <w:t>/</w:t>
            </w:r>
            <w:r w:rsidR="00250E7D">
              <w:rPr>
                <w:rFonts w:ascii="Times New Roman" w:eastAsia="Times New Roman" w:hAnsi="Times New Roman" w:cs="Times New Roman"/>
                <w:sz w:val="24"/>
                <w:szCs w:val="24"/>
                <w:lang w:eastAsia="lv-LV"/>
              </w:rPr>
              <w:t>87</w:t>
            </w:r>
            <w:r w:rsidR="00250E7D" w:rsidRPr="00250E7D">
              <w:rPr>
                <w:rFonts w:ascii="Times New Roman" w:eastAsia="Times New Roman" w:hAnsi="Times New Roman" w:cs="Times New Roman"/>
                <w:sz w:val="24"/>
                <w:szCs w:val="24"/>
                <w:lang w:eastAsia="lv-LV"/>
              </w:rPr>
              <w:t>9)</w:t>
            </w:r>
            <w:r w:rsidR="001A5B42">
              <w:rPr>
                <w:rFonts w:ascii="Times New Roman" w:eastAsia="Times New Roman" w:hAnsi="Times New Roman" w:cs="Times New Roman"/>
                <w:sz w:val="24"/>
                <w:szCs w:val="24"/>
                <w:lang w:eastAsia="lv-LV"/>
              </w:rPr>
              <w:t xml:space="preserve">, kura paredz </w:t>
            </w:r>
            <w:r w:rsidR="00C2023C">
              <w:rPr>
                <w:rFonts w:ascii="Times New Roman" w:eastAsia="Times New Roman" w:hAnsi="Times New Roman" w:cs="Times New Roman"/>
                <w:sz w:val="24"/>
                <w:szCs w:val="24"/>
                <w:lang w:eastAsia="lv-LV"/>
              </w:rPr>
              <w:t xml:space="preserve">arī </w:t>
            </w:r>
            <w:r w:rsidR="001A5B42">
              <w:rPr>
                <w:rFonts w:ascii="Times New Roman" w:eastAsia="Times New Roman" w:hAnsi="Times New Roman" w:cs="Times New Roman"/>
                <w:sz w:val="24"/>
                <w:szCs w:val="24"/>
                <w:lang w:eastAsia="lv-LV"/>
              </w:rPr>
              <w:t>grozījumu Direktīvas 2014/59/ES</w:t>
            </w:r>
            <w:r w:rsidR="001A5B42" w:rsidRPr="00B95918">
              <w:rPr>
                <w:rFonts w:ascii="Times New Roman" w:eastAsia="Times New Roman" w:hAnsi="Times New Roman" w:cs="Times New Roman"/>
                <w:sz w:val="24"/>
                <w:szCs w:val="24"/>
                <w:lang w:eastAsia="lv-LV"/>
              </w:rPr>
              <w:t xml:space="preserve"> pielikuma B</w:t>
            </w:r>
            <w:r w:rsidR="001A5B42">
              <w:rPr>
                <w:rFonts w:ascii="Times New Roman" w:eastAsia="Times New Roman" w:hAnsi="Times New Roman" w:cs="Times New Roman"/>
                <w:sz w:val="24"/>
                <w:szCs w:val="24"/>
                <w:lang w:eastAsia="lv-LV"/>
              </w:rPr>
              <w:t> </w:t>
            </w:r>
            <w:r w:rsidR="001A5B42" w:rsidRPr="00B95918">
              <w:rPr>
                <w:rFonts w:ascii="Times New Roman" w:eastAsia="Times New Roman" w:hAnsi="Times New Roman" w:cs="Times New Roman"/>
                <w:sz w:val="24"/>
                <w:szCs w:val="24"/>
                <w:lang w:eastAsia="lv-LV"/>
              </w:rPr>
              <w:t>iedaļ</w:t>
            </w:r>
            <w:r w:rsidR="001A5B42">
              <w:rPr>
                <w:rFonts w:ascii="Times New Roman" w:eastAsia="Times New Roman" w:hAnsi="Times New Roman" w:cs="Times New Roman"/>
                <w:sz w:val="24"/>
                <w:szCs w:val="24"/>
                <w:lang w:eastAsia="lv-LV"/>
              </w:rPr>
              <w:t>ā</w:t>
            </w:r>
            <w:r w:rsidR="00162606">
              <w:rPr>
                <w:rFonts w:ascii="Times New Roman" w:eastAsia="Times New Roman" w:hAnsi="Times New Roman" w:cs="Times New Roman"/>
                <w:sz w:val="24"/>
                <w:szCs w:val="24"/>
                <w:lang w:eastAsia="lv-LV"/>
              </w:rPr>
              <w:t xml:space="preserve">. </w:t>
            </w:r>
            <w:r w:rsidR="009B08CE" w:rsidRPr="009B08CE">
              <w:rPr>
                <w:rFonts w:ascii="Times New Roman" w:eastAsia="Times New Roman" w:hAnsi="Times New Roman" w:cs="Times New Roman"/>
                <w:sz w:val="24"/>
                <w:szCs w:val="24"/>
                <w:lang w:eastAsia="lv-LV"/>
              </w:rPr>
              <w:t>Eiropas Savienības tiesību aktu pārņemšanas/</w:t>
            </w:r>
            <w:r w:rsidR="00E66B46">
              <w:rPr>
                <w:rFonts w:ascii="Times New Roman" w:eastAsia="Times New Roman" w:hAnsi="Times New Roman" w:cs="Times New Roman"/>
                <w:sz w:val="24"/>
                <w:szCs w:val="24"/>
                <w:lang w:eastAsia="lv-LV"/>
              </w:rPr>
              <w:t xml:space="preserve"> </w:t>
            </w:r>
            <w:r w:rsidR="009B08CE" w:rsidRPr="009B08CE">
              <w:rPr>
                <w:rFonts w:ascii="Times New Roman" w:eastAsia="Times New Roman" w:hAnsi="Times New Roman" w:cs="Times New Roman"/>
                <w:sz w:val="24"/>
                <w:szCs w:val="24"/>
                <w:lang w:eastAsia="lv-LV"/>
              </w:rPr>
              <w:t>ieviešanas tabula iekļauta anotācijas pielikumā.</w:t>
            </w:r>
            <w:r w:rsidR="009B08CE">
              <w:rPr>
                <w:rFonts w:ascii="Times New Roman" w:eastAsia="Times New Roman" w:hAnsi="Times New Roman" w:cs="Times New Roman"/>
                <w:sz w:val="24"/>
                <w:szCs w:val="24"/>
                <w:lang w:eastAsia="lv-LV"/>
              </w:rPr>
              <w:t xml:space="preserve"> </w:t>
            </w:r>
            <w:r w:rsidR="00C731B5">
              <w:rPr>
                <w:rFonts w:ascii="Times New Roman" w:eastAsia="Times New Roman" w:hAnsi="Times New Roman" w:cs="Times New Roman"/>
                <w:sz w:val="24"/>
                <w:szCs w:val="24"/>
                <w:lang w:eastAsia="lv-LV"/>
              </w:rPr>
              <w:t>Minēto</w:t>
            </w:r>
            <w:r w:rsidR="00162606">
              <w:rPr>
                <w:rFonts w:ascii="Times New Roman" w:eastAsia="Times New Roman" w:hAnsi="Times New Roman" w:cs="Times New Roman"/>
                <w:sz w:val="24"/>
                <w:szCs w:val="24"/>
                <w:lang w:eastAsia="lv-LV"/>
              </w:rPr>
              <w:t xml:space="preserve"> informāciju</w:t>
            </w:r>
            <w:r w:rsidR="00C731B5">
              <w:rPr>
                <w:rFonts w:ascii="Times New Roman" w:eastAsia="Times New Roman" w:hAnsi="Times New Roman" w:cs="Times New Roman"/>
                <w:sz w:val="24"/>
                <w:szCs w:val="24"/>
                <w:lang w:eastAsia="lv-LV"/>
              </w:rPr>
              <w:t xml:space="preserve">, kas tiek pieprasīta </w:t>
            </w:r>
            <w:r w:rsidR="00C731B5" w:rsidRPr="00C731B5">
              <w:rPr>
                <w:rFonts w:ascii="Times New Roman" w:eastAsia="Times New Roman" w:hAnsi="Times New Roman" w:cs="Times New Roman"/>
                <w:sz w:val="24"/>
                <w:szCs w:val="24"/>
                <w:lang w:eastAsia="lv-LV"/>
              </w:rPr>
              <w:t>noregulējuma plāna izstrādei un aktualizēšanai</w:t>
            </w:r>
            <w:r w:rsidR="00C731B5">
              <w:rPr>
                <w:rFonts w:ascii="Times New Roman" w:eastAsia="Times New Roman" w:hAnsi="Times New Roman" w:cs="Times New Roman"/>
                <w:sz w:val="24"/>
                <w:szCs w:val="24"/>
                <w:lang w:eastAsia="lv-LV"/>
              </w:rPr>
              <w:t>,</w:t>
            </w:r>
            <w:r w:rsidR="00437798">
              <w:rPr>
                <w:rFonts w:ascii="Times New Roman" w:eastAsia="Times New Roman" w:hAnsi="Times New Roman" w:cs="Times New Roman"/>
                <w:sz w:val="24"/>
                <w:szCs w:val="24"/>
                <w:lang w:eastAsia="lv-LV"/>
              </w:rPr>
              <w:t xml:space="preserve"> Latvijas Banka izmanto arī noregulējamības novērtējumam</w:t>
            </w:r>
            <w:r w:rsidR="007F2D87">
              <w:rPr>
                <w:rFonts w:ascii="Times New Roman" w:eastAsia="Times New Roman" w:hAnsi="Times New Roman" w:cs="Times New Roman"/>
                <w:sz w:val="24"/>
                <w:szCs w:val="24"/>
                <w:lang w:eastAsia="lv-LV"/>
              </w:rPr>
              <w:t>.</w:t>
            </w:r>
            <w:r w:rsidR="00437798">
              <w:rPr>
                <w:rFonts w:ascii="Times New Roman" w:eastAsia="Times New Roman" w:hAnsi="Times New Roman" w:cs="Times New Roman"/>
                <w:sz w:val="24"/>
                <w:szCs w:val="24"/>
                <w:lang w:eastAsia="lv-LV"/>
              </w:rPr>
              <w:t xml:space="preserve"> </w:t>
            </w:r>
            <w:r w:rsidR="007F2D87">
              <w:rPr>
                <w:rFonts w:ascii="Times New Roman" w:eastAsia="Times New Roman" w:hAnsi="Times New Roman" w:cs="Times New Roman"/>
                <w:sz w:val="24"/>
                <w:szCs w:val="24"/>
                <w:lang w:eastAsia="lv-LV"/>
              </w:rPr>
              <w:t xml:space="preserve">Prasības noregulējamības novērtēšanai noteiktas arī </w:t>
            </w:r>
            <w:r w:rsidR="009C2169" w:rsidRPr="009C2169">
              <w:rPr>
                <w:rFonts w:ascii="Times New Roman" w:eastAsia="Times New Roman" w:hAnsi="Times New Roman" w:cs="Times New Roman"/>
                <w:sz w:val="24"/>
                <w:szCs w:val="24"/>
                <w:lang w:eastAsia="lv-LV"/>
              </w:rPr>
              <w:t>Komisijas 2016.</w:t>
            </w:r>
            <w:r w:rsidR="00AB0BA5">
              <w:rPr>
                <w:rFonts w:ascii="Times New Roman" w:eastAsia="Times New Roman" w:hAnsi="Times New Roman" w:cs="Times New Roman"/>
                <w:sz w:val="24"/>
                <w:szCs w:val="24"/>
                <w:lang w:eastAsia="lv-LV"/>
              </w:rPr>
              <w:t> </w:t>
            </w:r>
            <w:r w:rsidR="009C2169" w:rsidRPr="009C2169">
              <w:rPr>
                <w:rFonts w:ascii="Times New Roman" w:eastAsia="Times New Roman" w:hAnsi="Times New Roman" w:cs="Times New Roman"/>
                <w:sz w:val="24"/>
                <w:szCs w:val="24"/>
                <w:lang w:eastAsia="lv-LV"/>
              </w:rPr>
              <w:t>gada 23.</w:t>
            </w:r>
            <w:r w:rsidR="00AB0BA5">
              <w:rPr>
                <w:rFonts w:ascii="Times New Roman" w:eastAsia="Times New Roman" w:hAnsi="Times New Roman" w:cs="Times New Roman"/>
                <w:sz w:val="24"/>
                <w:szCs w:val="24"/>
                <w:lang w:eastAsia="lv-LV"/>
              </w:rPr>
              <w:t> </w:t>
            </w:r>
            <w:r w:rsidR="009C2169" w:rsidRPr="009C2169">
              <w:rPr>
                <w:rFonts w:ascii="Times New Roman" w:eastAsia="Times New Roman" w:hAnsi="Times New Roman" w:cs="Times New Roman"/>
                <w:sz w:val="24"/>
                <w:szCs w:val="24"/>
                <w:lang w:eastAsia="lv-LV"/>
              </w:rPr>
              <w:t>marta deleģēt</w:t>
            </w:r>
            <w:r w:rsidR="009C2169">
              <w:rPr>
                <w:rFonts w:ascii="Times New Roman" w:eastAsia="Times New Roman" w:hAnsi="Times New Roman" w:cs="Times New Roman"/>
                <w:sz w:val="24"/>
                <w:szCs w:val="24"/>
                <w:lang w:eastAsia="lv-LV"/>
              </w:rPr>
              <w:t>aj</w:t>
            </w:r>
            <w:r w:rsidR="009C2169" w:rsidRPr="009C2169">
              <w:rPr>
                <w:rFonts w:ascii="Times New Roman" w:eastAsia="Times New Roman" w:hAnsi="Times New Roman" w:cs="Times New Roman"/>
                <w:sz w:val="24"/>
                <w:szCs w:val="24"/>
                <w:lang w:eastAsia="lv-LV"/>
              </w:rPr>
              <w:t>ā regul</w:t>
            </w:r>
            <w:r w:rsidR="009C2169">
              <w:rPr>
                <w:rFonts w:ascii="Times New Roman" w:eastAsia="Times New Roman" w:hAnsi="Times New Roman" w:cs="Times New Roman"/>
                <w:sz w:val="24"/>
                <w:szCs w:val="24"/>
                <w:lang w:eastAsia="lv-LV"/>
              </w:rPr>
              <w:t>ā</w:t>
            </w:r>
            <w:r w:rsidR="009C2169" w:rsidRPr="009C2169">
              <w:rPr>
                <w:rFonts w:ascii="Times New Roman" w:eastAsia="Times New Roman" w:hAnsi="Times New Roman" w:cs="Times New Roman"/>
                <w:sz w:val="24"/>
                <w:szCs w:val="24"/>
                <w:lang w:eastAsia="lv-LV"/>
              </w:rPr>
              <w:t xml:space="preserve"> (ES) 2016/1075, ar ko papildina Eiropas Parlamenta un Padomes direktīvu 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rsidR="009C2169">
              <w:rPr>
                <w:rFonts w:ascii="Times New Roman" w:eastAsia="Times New Roman" w:hAnsi="Times New Roman" w:cs="Times New Roman"/>
                <w:sz w:val="24"/>
                <w:szCs w:val="24"/>
                <w:lang w:eastAsia="lv-LV"/>
              </w:rPr>
              <w:t xml:space="preserve"> (turpmāk</w:t>
            </w:r>
            <w:r w:rsidR="00AB0BA5">
              <w:rPr>
                <w:rFonts w:ascii="Times New Roman" w:eastAsia="Times New Roman" w:hAnsi="Times New Roman" w:cs="Times New Roman"/>
                <w:sz w:val="24"/>
                <w:szCs w:val="24"/>
                <w:lang w:eastAsia="lv-LV"/>
              </w:rPr>
              <w:t> </w:t>
            </w:r>
            <w:r w:rsidR="009C2169">
              <w:rPr>
                <w:rFonts w:ascii="Times New Roman" w:eastAsia="Times New Roman" w:hAnsi="Times New Roman" w:cs="Times New Roman"/>
                <w:sz w:val="24"/>
                <w:szCs w:val="24"/>
                <w:lang w:eastAsia="lv-LV"/>
              </w:rPr>
              <w:t>– Regula Nr.</w:t>
            </w:r>
            <w:r w:rsidR="007F2D87">
              <w:rPr>
                <w:rFonts w:ascii="Times New Roman" w:eastAsia="Times New Roman" w:hAnsi="Times New Roman" w:cs="Times New Roman"/>
                <w:sz w:val="24"/>
                <w:szCs w:val="24"/>
                <w:lang w:eastAsia="lv-LV"/>
              </w:rPr>
              <w:t> </w:t>
            </w:r>
            <w:r w:rsidR="009C2169" w:rsidRPr="009C2169">
              <w:rPr>
                <w:rFonts w:ascii="Times New Roman" w:eastAsia="Times New Roman" w:hAnsi="Times New Roman" w:cs="Times New Roman"/>
                <w:sz w:val="24"/>
                <w:szCs w:val="24"/>
                <w:lang w:eastAsia="lv-LV"/>
              </w:rPr>
              <w:t>2016/1075</w:t>
            </w:r>
            <w:r w:rsidR="009C2169">
              <w:rPr>
                <w:rFonts w:ascii="Times New Roman" w:eastAsia="Times New Roman" w:hAnsi="Times New Roman" w:cs="Times New Roman"/>
                <w:sz w:val="24"/>
                <w:szCs w:val="24"/>
                <w:lang w:eastAsia="lv-LV"/>
              </w:rPr>
              <w:t>)</w:t>
            </w:r>
            <w:r w:rsidR="007F2D87">
              <w:rPr>
                <w:rFonts w:ascii="Times New Roman" w:eastAsia="Times New Roman" w:hAnsi="Times New Roman" w:cs="Times New Roman"/>
                <w:sz w:val="24"/>
                <w:szCs w:val="24"/>
                <w:lang w:eastAsia="lv-LV"/>
              </w:rPr>
              <w:t>.</w:t>
            </w:r>
            <w:r w:rsidR="00B95918">
              <w:rPr>
                <w:rFonts w:ascii="Times New Roman" w:eastAsia="Times New Roman" w:hAnsi="Times New Roman" w:cs="Times New Roman"/>
                <w:sz w:val="24"/>
                <w:szCs w:val="24"/>
                <w:lang w:eastAsia="lv-LV"/>
              </w:rPr>
              <w:t xml:space="preserve"> </w:t>
            </w:r>
            <w:r w:rsidR="007F2D87">
              <w:rPr>
                <w:rFonts w:ascii="Times New Roman" w:eastAsia="Times New Roman" w:hAnsi="Times New Roman" w:cs="Times New Roman"/>
                <w:sz w:val="24"/>
                <w:szCs w:val="24"/>
                <w:lang w:eastAsia="lv-LV"/>
              </w:rPr>
              <w:t xml:space="preserve">Papildus ar noteikumu projektu tiek </w:t>
            </w:r>
            <w:r w:rsidR="00DC7150" w:rsidRPr="00B95918">
              <w:rPr>
                <w:rFonts w:ascii="Times New Roman" w:eastAsia="Times New Roman" w:hAnsi="Times New Roman" w:cs="Times New Roman"/>
                <w:sz w:val="24"/>
                <w:szCs w:val="24"/>
                <w:lang w:eastAsia="lv-LV"/>
              </w:rPr>
              <w:t>nodrošināt</w:t>
            </w:r>
            <w:r w:rsidR="007F2D87">
              <w:rPr>
                <w:rFonts w:ascii="Times New Roman" w:eastAsia="Times New Roman" w:hAnsi="Times New Roman" w:cs="Times New Roman"/>
                <w:sz w:val="24"/>
                <w:szCs w:val="24"/>
                <w:lang w:eastAsia="lv-LV"/>
              </w:rPr>
              <w:t>s</w:t>
            </w:r>
            <w:r w:rsidR="00DC7150" w:rsidRPr="00B95918">
              <w:rPr>
                <w:rFonts w:ascii="Times New Roman" w:eastAsia="Times New Roman" w:hAnsi="Times New Roman" w:cs="Times New Roman"/>
                <w:sz w:val="24"/>
                <w:szCs w:val="24"/>
                <w:lang w:eastAsia="lv-LV"/>
              </w:rPr>
              <w:t xml:space="preserve">, ka </w:t>
            </w:r>
            <w:r w:rsidR="00B95918" w:rsidRPr="00B95918">
              <w:rPr>
                <w:rFonts w:ascii="Times New Roman" w:eastAsia="Times New Roman" w:hAnsi="Times New Roman" w:cs="Times New Roman"/>
                <w:sz w:val="24"/>
                <w:szCs w:val="24"/>
                <w:lang w:eastAsia="lv-LV"/>
              </w:rPr>
              <w:t xml:space="preserve">iestādes </w:t>
            </w:r>
            <w:r w:rsidR="00944D1B" w:rsidRPr="00B95918">
              <w:rPr>
                <w:rFonts w:ascii="Times New Roman" w:eastAsia="Times New Roman" w:hAnsi="Times New Roman" w:cs="Times New Roman"/>
                <w:sz w:val="24"/>
                <w:szCs w:val="24"/>
                <w:lang w:eastAsia="lv-LV"/>
              </w:rPr>
              <w:t xml:space="preserve">ievēro </w:t>
            </w:r>
            <w:r w:rsidR="007D412C" w:rsidRPr="007D412C">
              <w:rPr>
                <w:rFonts w:ascii="Times New Roman" w:eastAsia="Times New Roman" w:hAnsi="Times New Roman" w:cs="Times New Roman"/>
                <w:sz w:val="24"/>
                <w:szCs w:val="24"/>
                <w:lang w:eastAsia="lv-LV"/>
              </w:rPr>
              <w:t>Noregulējamības pamatnostādn</w:t>
            </w:r>
            <w:r w:rsidR="007D412C">
              <w:rPr>
                <w:rFonts w:ascii="Times New Roman" w:eastAsia="Times New Roman" w:hAnsi="Times New Roman" w:cs="Times New Roman"/>
                <w:sz w:val="24"/>
                <w:szCs w:val="24"/>
                <w:lang w:eastAsia="lv-LV"/>
              </w:rPr>
              <w:t>e</w:t>
            </w:r>
            <w:r w:rsidR="007D412C" w:rsidRPr="007D412C">
              <w:rPr>
                <w:rFonts w:ascii="Times New Roman" w:eastAsia="Times New Roman" w:hAnsi="Times New Roman" w:cs="Times New Roman"/>
                <w:sz w:val="24"/>
                <w:szCs w:val="24"/>
                <w:lang w:eastAsia="lv-LV"/>
              </w:rPr>
              <w:t>s, Noregulējamības testēšanas pamatnostādn</w:t>
            </w:r>
            <w:r w:rsidR="007D412C">
              <w:rPr>
                <w:rFonts w:ascii="Times New Roman" w:eastAsia="Times New Roman" w:hAnsi="Times New Roman" w:cs="Times New Roman"/>
                <w:sz w:val="24"/>
                <w:szCs w:val="24"/>
                <w:lang w:eastAsia="lv-LV"/>
              </w:rPr>
              <w:t>e</w:t>
            </w:r>
            <w:r w:rsidR="007D412C" w:rsidRPr="007D412C">
              <w:rPr>
                <w:rFonts w:ascii="Times New Roman" w:eastAsia="Times New Roman" w:hAnsi="Times New Roman" w:cs="Times New Roman"/>
                <w:sz w:val="24"/>
                <w:szCs w:val="24"/>
                <w:lang w:eastAsia="lv-LV"/>
              </w:rPr>
              <w:t>s un Nododamības pamatnostādn</w:t>
            </w:r>
            <w:r w:rsidR="007D412C">
              <w:rPr>
                <w:rFonts w:ascii="Times New Roman" w:eastAsia="Times New Roman" w:hAnsi="Times New Roman" w:cs="Times New Roman"/>
                <w:sz w:val="24"/>
                <w:szCs w:val="24"/>
                <w:lang w:eastAsia="lv-LV"/>
              </w:rPr>
              <w:t>e</w:t>
            </w:r>
            <w:r w:rsidR="007D412C" w:rsidRPr="007D412C">
              <w:rPr>
                <w:rFonts w:ascii="Times New Roman" w:eastAsia="Times New Roman" w:hAnsi="Times New Roman" w:cs="Times New Roman"/>
                <w:sz w:val="24"/>
                <w:szCs w:val="24"/>
                <w:lang w:eastAsia="lv-LV"/>
              </w:rPr>
              <w:t>s</w:t>
            </w:r>
            <w:r w:rsidR="007F2D87">
              <w:rPr>
                <w:rFonts w:ascii="Times New Roman" w:eastAsia="Times New Roman" w:hAnsi="Times New Roman" w:cs="Times New Roman"/>
                <w:sz w:val="24"/>
                <w:szCs w:val="24"/>
                <w:lang w:eastAsia="lv-LV"/>
              </w:rPr>
              <w:t>, kas</w:t>
            </w:r>
            <w:r w:rsidR="00944D1B" w:rsidRPr="00B95918">
              <w:rPr>
                <w:rFonts w:ascii="Times New Roman" w:eastAsia="Times New Roman" w:hAnsi="Times New Roman" w:cs="Times New Roman"/>
                <w:sz w:val="24"/>
                <w:szCs w:val="24"/>
                <w:lang w:eastAsia="lv-LV"/>
              </w:rPr>
              <w:t xml:space="preserve"> nepieciešams</w:t>
            </w:r>
            <w:r w:rsidR="00B95918" w:rsidRPr="00B95918">
              <w:rPr>
                <w:rFonts w:ascii="Times New Roman" w:eastAsia="Times New Roman" w:hAnsi="Times New Roman" w:cs="Times New Roman"/>
                <w:sz w:val="24"/>
                <w:szCs w:val="24"/>
                <w:lang w:eastAsia="lv-LV"/>
              </w:rPr>
              <w:t xml:space="preserve"> iestāžu, grupu un noregulēj</w:t>
            </w:r>
            <w:r w:rsidR="00F43979">
              <w:rPr>
                <w:rFonts w:ascii="Times New Roman" w:eastAsia="Times New Roman" w:hAnsi="Times New Roman" w:cs="Times New Roman"/>
                <w:sz w:val="24"/>
                <w:szCs w:val="24"/>
                <w:lang w:eastAsia="lv-LV"/>
              </w:rPr>
              <w:t>a</w:t>
            </w:r>
            <w:r w:rsidR="00B95918" w:rsidRPr="00B95918">
              <w:rPr>
                <w:rFonts w:ascii="Times New Roman" w:eastAsia="Times New Roman" w:hAnsi="Times New Roman" w:cs="Times New Roman"/>
                <w:sz w:val="24"/>
                <w:szCs w:val="24"/>
                <w:lang w:eastAsia="lv-LV"/>
              </w:rPr>
              <w:t>m</w:t>
            </w:r>
            <w:r w:rsidR="00F43979">
              <w:rPr>
                <w:rFonts w:ascii="Times New Roman" w:eastAsia="Times New Roman" w:hAnsi="Times New Roman" w:cs="Times New Roman"/>
                <w:sz w:val="24"/>
                <w:szCs w:val="24"/>
                <w:lang w:eastAsia="lv-LV"/>
              </w:rPr>
              <w:t>o</w:t>
            </w:r>
            <w:r w:rsidR="00B95918" w:rsidRPr="00B95918">
              <w:rPr>
                <w:rFonts w:ascii="Times New Roman" w:eastAsia="Times New Roman" w:hAnsi="Times New Roman" w:cs="Times New Roman"/>
                <w:sz w:val="24"/>
                <w:szCs w:val="24"/>
                <w:lang w:eastAsia="lv-LV"/>
              </w:rPr>
              <w:t xml:space="preserve"> grupu noregulējamīb</w:t>
            </w:r>
            <w:r w:rsidR="00B4643F">
              <w:rPr>
                <w:rFonts w:ascii="Times New Roman" w:eastAsia="Times New Roman" w:hAnsi="Times New Roman" w:cs="Times New Roman"/>
                <w:sz w:val="24"/>
                <w:szCs w:val="24"/>
                <w:lang w:eastAsia="lv-LV"/>
              </w:rPr>
              <w:t>as uzlabošanai</w:t>
            </w:r>
            <w:r w:rsidR="00B95918">
              <w:rPr>
                <w:rFonts w:ascii="Times New Roman" w:eastAsia="Times New Roman" w:hAnsi="Times New Roman" w:cs="Times New Roman"/>
                <w:sz w:val="24"/>
                <w:szCs w:val="24"/>
                <w:lang w:eastAsia="lv-LV"/>
              </w:rPr>
              <w:t xml:space="preserve">. </w:t>
            </w:r>
          </w:p>
        </w:tc>
      </w:tr>
      <w:tr w:rsidR="000B4E0A" w:rsidRPr="000B4E0A" w14:paraId="67667DCE" w14:textId="77777777" w:rsidTr="00E253DA">
        <w:trPr>
          <w:trHeight w:val="567"/>
        </w:trPr>
        <w:tc>
          <w:tcPr>
            <w:tcW w:w="1796" w:type="pct"/>
            <w:shd w:val="clear" w:color="auto" w:fill="auto"/>
            <w:hideMark/>
          </w:tcPr>
          <w:p w14:paraId="374808D9"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1883D27"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8A38A1B" w14:textId="7457EE48" w:rsidR="00B95918" w:rsidRPr="00051912" w:rsidRDefault="00944D1B" w:rsidP="00E53509">
            <w:pPr>
              <w:spacing w:after="120" w:line="240" w:lineRule="auto"/>
              <w:jc w:val="both"/>
              <w:rPr>
                <w:rFonts w:ascii="Times New Roman" w:eastAsia="Times New Roman" w:hAnsi="Times New Roman" w:cs="Times New Roman"/>
                <w:sz w:val="24"/>
                <w:szCs w:val="24"/>
                <w:highlight w:val="yellow"/>
                <w:lang w:eastAsia="lv-LV"/>
              </w:rPr>
            </w:pPr>
            <w:r w:rsidRPr="00AF5B11">
              <w:rPr>
                <w:rFonts w:ascii="Times New Roman" w:eastAsia="Times New Roman" w:hAnsi="Times New Roman" w:cs="Times New Roman"/>
                <w:sz w:val="24"/>
                <w:szCs w:val="24"/>
                <w:lang w:eastAsia="lv-LV"/>
              </w:rPr>
              <w:t xml:space="preserve">Saskaņā ar Latvijas Bankas likumu Latvijas Banka </w:t>
            </w:r>
            <w:r w:rsidR="00AF5B11" w:rsidRPr="00AF5B11">
              <w:rPr>
                <w:rFonts w:ascii="Times New Roman" w:eastAsia="Times New Roman" w:hAnsi="Times New Roman" w:cs="Times New Roman"/>
                <w:sz w:val="24"/>
                <w:szCs w:val="24"/>
                <w:lang w:eastAsia="lv-LV"/>
              </w:rPr>
              <w:t>veic noregulējuma iestādes uzdevumus, tostarp izstrādā noregulējuma plānus.</w:t>
            </w:r>
            <w:r w:rsidR="00051912">
              <w:rPr>
                <w:rFonts w:ascii="Times New Roman" w:eastAsia="Times New Roman" w:hAnsi="Times New Roman" w:cs="Times New Roman"/>
                <w:sz w:val="24"/>
                <w:szCs w:val="24"/>
                <w:lang w:eastAsia="lv-LV"/>
              </w:rPr>
              <w:t xml:space="preserve"> Š</w:t>
            </w:r>
            <w:r w:rsidR="00D526EB">
              <w:rPr>
                <w:rFonts w:ascii="Times New Roman" w:eastAsia="Times New Roman" w:hAnsi="Times New Roman" w:cs="Times New Roman"/>
                <w:sz w:val="24"/>
                <w:szCs w:val="24"/>
                <w:lang w:eastAsia="lv-LV"/>
              </w:rPr>
              <w:t>ā</w:t>
            </w:r>
            <w:r w:rsidR="00051912">
              <w:rPr>
                <w:rFonts w:ascii="Times New Roman" w:eastAsia="Times New Roman" w:hAnsi="Times New Roman" w:cs="Times New Roman"/>
                <w:sz w:val="24"/>
                <w:szCs w:val="24"/>
                <w:lang w:eastAsia="lv-LV"/>
              </w:rPr>
              <w:t xml:space="preserve"> </w:t>
            </w:r>
            <w:r w:rsidR="00422C83">
              <w:rPr>
                <w:rFonts w:ascii="Times New Roman" w:eastAsia="Times New Roman" w:hAnsi="Times New Roman" w:cs="Times New Roman"/>
                <w:sz w:val="24"/>
                <w:szCs w:val="24"/>
                <w:lang w:eastAsia="lv-LV"/>
              </w:rPr>
              <w:t xml:space="preserve">uzdevuma </w:t>
            </w:r>
            <w:r w:rsidR="00051912">
              <w:rPr>
                <w:rFonts w:ascii="Times New Roman" w:eastAsia="Times New Roman" w:hAnsi="Times New Roman" w:cs="Times New Roman"/>
                <w:sz w:val="24"/>
                <w:szCs w:val="24"/>
                <w:lang w:eastAsia="lv-LV"/>
              </w:rPr>
              <w:t xml:space="preserve">ietvaros </w:t>
            </w:r>
            <w:r w:rsidR="00051912" w:rsidRPr="00051912">
              <w:rPr>
                <w:rFonts w:ascii="Times New Roman" w:eastAsia="Times New Roman" w:hAnsi="Times New Roman" w:cs="Times New Roman"/>
                <w:sz w:val="24"/>
                <w:szCs w:val="24"/>
                <w:lang w:eastAsia="lv-LV"/>
              </w:rPr>
              <w:t>Latvijas Banka</w:t>
            </w:r>
            <w:r w:rsidR="00051912">
              <w:rPr>
                <w:rFonts w:ascii="Times New Roman" w:eastAsia="Times New Roman" w:hAnsi="Times New Roman" w:cs="Times New Roman"/>
                <w:sz w:val="24"/>
                <w:szCs w:val="24"/>
                <w:lang w:eastAsia="lv-LV"/>
              </w:rPr>
              <w:t xml:space="preserve"> </w:t>
            </w:r>
            <w:r w:rsidR="00AF5B11" w:rsidRPr="00AF5B11">
              <w:rPr>
                <w:rFonts w:ascii="Times New Roman" w:eastAsia="Times New Roman" w:hAnsi="Times New Roman" w:cs="Times New Roman"/>
                <w:sz w:val="24"/>
                <w:szCs w:val="24"/>
                <w:lang w:eastAsia="lv-LV"/>
              </w:rPr>
              <w:t>veic</w:t>
            </w:r>
            <w:r w:rsidR="00051912">
              <w:rPr>
                <w:rFonts w:ascii="Times New Roman" w:eastAsia="Times New Roman" w:hAnsi="Times New Roman" w:cs="Times New Roman"/>
                <w:sz w:val="24"/>
                <w:szCs w:val="24"/>
                <w:lang w:eastAsia="lv-LV"/>
              </w:rPr>
              <w:t xml:space="preserve"> arī</w:t>
            </w:r>
            <w:r w:rsidR="00AF5B11" w:rsidRPr="00AF5B11">
              <w:rPr>
                <w:rFonts w:ascii="Times New Roman" w:eastAsia="Times New Roman" w:hAnsi="Times New Roman" w:cs="Times New Roman"/>
                <w:sz w:val="24"/>
                <w:szCs w:val="24"/>
                <w:lang w:eastAsia="lv-LV"/>
              </w:rPr>
              <w:t xml:space="preserve"> noregulējamības novērtējumu, kas ir </w:t>
            </w:r>
            <w:r w:rsidR="00AF5B11" w:rsidRPr="00051912">
              <w:rPr>
                <w:rFonts w:ascii="Times New Roman" w:eastAsia="Times New Roman" w:hAnsi="Times New Roman" w:cs="Times New Roman"/>
                <w:sz w:val="24"/>
                <w:szCs w:val="24"/>
                <w:lang w:eastAsia="lv-LV"/>
              </w:rPr>
              <w:t>noregulējuma plānošanas neatņemama sastāvdaļa</w:t>
            </w:r>
            <w:r w:rsidR="00051912" w:rsidRPr="00051912">
              <w:rPr>
                <w:rFonts w:ascii="Times New Roman" w:eastAsia="Times New Roman" w:hAnsi="Times New Roman" w:cs="Times New Roman"/>
                <w:sz w:val="24"/>
                <w:szCs w:val="24"/>
                <w:lang w:eastAsia="lv-LV"/>
              </w:rPr>
              <w:t>, un š</w:t>
            </w:r>
            <w:r w:rsidR="00D526EB">
              <w:rPr>
                <w:rFonts w:ascii="Times New Roman" w:eastAsia="Times New Roman" w:hAnsi="Times New Roman" w:cs="Times New Roman"/>
                <w:sz w:val="24"/>
                <w:szCs w:val="24"/>
                <w:lang w:eastAsia="lv-LV"/>
              </w:rPr>
              <w:t>ā</w:t>
            </w:r>
            <w:r w:rsidR="00051912" w:rsidRPr="00051912">
              <w:rPr>
                <w:rFonts w:ascii="Times New Roman" w:eastAsia="Times New Roman" w:hAnsi="Times New Roman" w:cs="Times New Roman"/>
                <w:sz w:val="24"/>
                <w:szCs w:val="24"/>
                <w:lang w:eastAsia="lv-LV"/>
              </w:rPr>
              <w:t xml:space="preserve"> </w:t>
            </w:r>
            <w:r w:rsidR="00422C83">
              <w:rPr>
                <w:rFonts w:ascii="Times New Roman" w:eastAsia="Times New Roman" w:hAnsi="Times New Roman" w:cs="Times New Roman"/>
                <w:sz w:val="24"/>
                <w:szCs w:val="24"/>
                <w:lang w:eastAsia="lv-LV"/>
              </w:rPr>
              <w:t>uzdevuma</w:t>
            </w:r>
            <w:r w:rsidR="00422C83" w:rsidRPr="00051912">
              <w:rPr>
                <w:rFonts w:ascii="Times New Roman" w:eastAsia="Times New Roman" w:hAnsi="Times New Roman" w:cs="Times New Roman"/>
                <w:sz w:val="24"/>
                <w:szCs w:val="24"/>
                <w:lang w:eastAsia="lv-LV"/>
              </w:rPr>
              <w:t xml:space="preserve"> </w:t>
            </w:r>
            <w:r w:rsidR="00422C83">
              <w:rPr>
                <w:rFonts w:ascii="Times New Roman" w:eastAsia="Times New Roman" w:hAnsi="Times New Roman" w:cs="Times New Roman"/>
                <w:sz w:val="24"/>
                <w:szCs w:val="24"/>
                <w:lang w:eastAsia="lv-LV"/>
              </w:rPr>
              <w:t>izpildei</w:t>
            </w:r>
            <w:r w:rsidR="00422C83" w:rsidRPr="00051912">
              <w:rPr>
                <w:rFonts w:ascii="Times New Roman" w:eastAsia="Times New Roman" w:hAnsi="Times New Roman" w:cs="Times New Roman"/>
                <w:sz w:val="24"/>
                <w:szCs w:val="24"/>
                <w:lang w:eastAsia="lv-LV"/>
              </w:rPr>
              <w:t xml:space="preserve"> </w:t>
            </w:r>
            <w:r w:rsidR="00051912" w:rsidRPr="00051912">
              <w:rPr>
                <w:rFonts w:ascii="Times New Roman" w:eastAsia="Times New Roman" w:hAnsi="Times New Roman" w:cs="Times New Roman"/>
                <w:sz w:val="24"/>
                <w:szCs w:val="24"/>
                <w:lang w:eastAsia="lv-LV"/>
              </w:rPr>
              <w:t xml:space="preserve">Latvijas Bankai </w:t>
            </w:r>
            <w:r w:rsidRPr="00051912">
              <w:rPr>
                <w:rFonts w:ascii="Times New Roman" w:eastAsia="Times New Roman" w:hAnsi="Times New Roman" w:cs="Times New Roman"/>
                <w:sz w:val="24"/>
                <w:szCs w:val="24"/>
                <w:lang w:eastAsia="lv-LV"/>
              </w:rPr>
              <w:t>nepieciešams nodrošināt, lai</w:t>
            </w:r>
            <w:r w:rsidR="00051912" w:rsidRPr="00051912">
              <w:rPr>
                <w:rFonts w:ascii="Times New Roman" w:eastAsia="Times New Roman" w:hAnsi="Times New Roman" w:cs="Times New Roman"/>
                <w:sz w:val="24"/>
                <w:szCs w:val="24"/>
                <w:lang w:eastAsia="lv-LV"/>
              </w:rPr>
              <w:t xml:space="preserve"> </w:t>
            </w:r>
            <w:r w:rsidR="00051912">
              <w:rPr>
                <w:rFonts w:ascii="Times New Roman" w:eastAsia="Times New Roman" w:hAnsi="Times New Roman" w:cs="Times New Roman"/>
                <w:sz w:val="24"/>
                <w:szCs w:val="24"/>
                <w:lang w:eastAsia="lv-LV"/>
              </w:rPr>
              <w:t xml:space="preserve">iestādes veic </w:t>
            </w:r>
            <w:r w:rsidR="00051912" w:rsidRPr="00051912">
              <w:rPr>
                <w:rFonts w:ascii="Times New Roman" w:eastAsia="Times New Roman" w:hAnsi="Times New Roman" w:cs="Times New Roman"/>
                <w:sz w:val="24"/>
                <w:szCs w:val="24"/>
                <w:lang w:eastAsia="lv-LV"/>
              </w:rPr>
              <w:t>nepieciešam</w:t>
            </w:r>
            <w:r w:rsidR="00D526EB">
              <w:rPr>
                <w:rFonts w:ascii="Times New Roman" w:eastAsia="Times New Roman" w:hAnsi="Times New Roman" w:cs="Times New Roman"/>
                <w:sz w:val="24"/>
                <w:szCs w:val="24"/>
                <w:lang w:eastAsia="lv-LV"/>
              </w:rPr>
              <w:t>ā</w:t>
            </w:r>
            <w:r w:rsidR="00051912" w:rsidRPr="00051912">
              <w:rPr>
                <w:rFonts w:ascii="Times New Roman" w:eastAsia="Times New Roman" w:hAnsi="Times New Roman" w:cs="Times New Roman"/>
                <w:sz w:val="24"/>
                <w:szCs w:val="24"/>
                <w:lang w:eastAsia="lv-LV"/>
              </w:rPr>
              <w:t>s darbības iestāžu, grupu un noregulēj</w:t>
            </w:r>
            <w:r w:rsidR="002E3780">
              <w:rPr>
                <w:rFonts w:ascii="Times New Roman" w:eastAsia="Times New Roman" w:hAnsi="Times New Roman" w:cs="Times New Roman"/>
                <w:sz w:val="24"/>
                <w:szCs w:val="24"/>
                <w:lang w:eastAsia="lv-LV"/>
              </w:rPr>
              <w:t>a</w:t>
            </w:r>
            <w:r w:rsidR="00051912" w:rsidRPr="00051912">
              <w:rPr>
                <w:rFonts w:ascii="Times New Roman" w:eastAsia="Times New Roman" w:hAnsi="Times New Roman" w:cs="Times New Roman"/>
                <w:sz w:val="24"/>
                <w:szCs w:val="24"/>
                <w:lang w:eastAsia="lv-LV"/>
              </w:rPr>
              <w:t>m</w:t>
            </w:r>
            <w:r w:rsidR="007F2D87">
              <w:rPr>
                <w:rFonts w:ascii="Times New Roman" w:eastAsia="Times New Roman" w:hAnsi="Times New Roman" w:cs="Times New Roman"/>
                <w:sz w:val="24"/>
                <w:szCs w:val="24"/>
                <w:lang w:eastAsia="lv-LV"/>
              </w:rPr>
              <w:t>o</w:t>
            </w:r>
            <w:r w:rsidR="00051912" w:rsidRPr="00051912">
              <w:rPr>
                <w:rFonts w:ascii="Times New Roman" w:eastAsia="Times New Roman" w:hAnsi="Times New Roman" w:cs="Times New Roman"/>
                <w:sz w:val="24"/>
                <w:szCs w:val="24"/>
                <w:lang w:eastAsia="lv-LV"/>
              </w:rPr>
              <w:t xml:space="preserve"> grupu noregulējamīb</w:t>
            </w:r>
            <w:r w:rsidR="005032FF">
              <w:rPr>
                <w:rFonts w:ascii="Times New Roman" w:eastAsia="Times New Roman" w:hAnsi="Times New Roman" w:cs="Times New Roman"/>
                <w:sz w:val="24"/>
                <w:szCs w:val="24"/>
                <w:lang w:eastAsia="lv-LV"/>
              </w:rPr>
              <w:t>as uzlabošanai</w:t>
            </w:r>
            <w:r w:rsidR="00051912">
              <w:rPr>
                <w:rFonts w:ascii="Times New Roman" w:eastAsia="Times New Roman" w:hAnsi="Times New Roman" w:cs="Times New Roman"/>
                <w:sz w:val="24"/>
                <w:szCs w:val="24"/>
                <w:lang w:eastAsia="lv-LV"/>
              </w:rPr>
              <w:t>.</w:t>
            </w:r>
          </w:p>
          <w:p w14:paraId="5B704CDB" w14:textId="162316E8" w:rsidR="00944D1B" w:rsidRPr="00AF5B11"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Noteikumu projekts kopumā un tajā ietvertās tiesību normas atbilst samērīguma principam, jo:</w:t>
            </w:r>
          </w:p>
          <w:p w14:paraId="20B5551F" w14:textId="398908E6" w:rsidR="00944D1B" w:rsidRPr="00AF5B11"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pirmkārt, ar noteikumu projektu un tajā ietvertajām prasībām tiek sasniegts leģitīmais mērķis (citu personu tiesību aizsardzība);</w:t>
            </w:r>
          </w:p>
          <w:p w14:paraId="7C47FD99" w14:textId="59273D5D" w:rsidR="00944D1B" w:rsidRPr="00AF5B11"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otrkārt, nepastāv tādi alternatīvi līdzekļi, kas sasniegtu leģitīmo mērķi tādā pašā kvalitātē;</w:t>
            </w:r>
          </w:p>
          <w:p w14:paraId="4705AD9A" w14:textId="794EB110" w:rsidR="00944D1B" w:rsidRPr="00AF5B11"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xml:space="preserve">- treškārt, labums, ko iegūs sabiedrība, būs lielāks par </w:t>
            </w:r>
            <w:r w:rsidR="007056DE">
              <w:rPr>
                <w:rFonts w:ascii="Times New Roman" w:eastAsia="Times New Roman" w:hAnsi="Times New Roman" w:cs="Times New Roman"/>
                <w:sz w:val="24"/>
                <w:szCs w:val="24"/>
                <w:lang w:eastAsia="lv-LV"/>
              </w:rPr>
              <w:t xml:space="preserve">noteikumu </w:t>
            </w:r>
            <w:r w:rsidRPr="00AF5B11">
              <w:rPr>
                <w:rFonts w:ascii="Times New Roman" w:eastAsia="Times New Roman" w:hAnsi="Times New Roman" w:cs="Times New Roman"/>
                <w:sz w:val="24"/>
                <w:szCs w:val="24"/>
                <w:lang w:eastAsia="lv-LV"/>
              </w:rPr>
              <w:t>projektā ietverto prasību radītajām negatīvajām sekām.</w:t>
            </w:r>
          </w:p>
          <w:p w14:paraId="1E5A9101" w14:textId="1013E42F" w:rsidR="00E53DE9" w:rsidRDefault="00944D1B" w:rsidP="00E53509">
            <w:pPr>
              <w:spacing w:after="12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xml:space="preserve">Atbilstošākais veids, kā noteikt vienotas prasības, tādējādi nodrošinot </w:t>
            </w:r>
            <w:r w:rsidR="007F2D87">
              <w:rPr>
                <w:rFonts w:ascii="Times New Roman" w:eastAsia="Times New Roman" w:hAnsi="Times New Roman" w:cs="Times New Roman"/>
                <w:sz w:val="24"/>
                <w:szCs w:val="24"/>
                <w:lang w:eastAsia="lv-LV"/>
              </w:rPr>
              <w:t xml:space="preserve">finanšu </w:t>
            </w:r>
            <w:r w:rsidRPr="00AF5B11">
              <w:rPr>
                <w:rFonts w:ascii="Times New Roman" w:eastAsia="Times New Roman" w:hAnsi="Times New Roman" w:cs="Times New Roman"/>
                <w:sz w:val="24"/>
                <w:szCs w:val="24"/>
                <w:lang w:eastAsia="lv-LV"/>
              </w:rPr>
              <w:t xml:space="preserve">tirgus dalībnieku vienotu izpratni un </w:t>
            </w:r>
            <w:r w:rsidRPr="00AF5B11">
              <w:rPr>
                <w:rFonts w:ascii="Times New Roman" w:eastAsia="Times New Roman" w:hAnsi="Times New Roman" w:cs="Times New Roman"/>
                <w:sz w:val="24"/>
                <w:szCs w:val="24"/>
                <w:lang w:eastAsia="lv-LV"/>
              </w:rPr>
              <w:lastRenderedPageBreak/>
              <w:t xml:space="preserve">pieeju, ir izdot </w:t>
            </w:r>
            <w:r w:rsidR="007F2D87">
              <w:rPr>
                <w:rFonts w:ascii="Times New Roman" w:eastAsia="Times New Roman" w:hAnsi="Times New Roman" w:cs="Times New Roman"/>
                <w:sz w:val="24"/>
                <w:szCs w:val="24"/>
                <w:lang w:eastAsia="lv-LV"/>
              </w:rPr>
              <w:t xml:space="preserve">finanšu </w:t>
            </w:r>
            <w:r w:rsidRPr="00AF5B11">
              <w:rPr>
                <w:rFonts w:ascii="Times New Roman" w:eastAsia="Times New Roman" w:hAnsi="Times New Roman" w:cs="Times New Roman"/>
                <w:sz w:val="24"/>
                <w:szCs w:val="24"/>
                <w:lang w:eastAsia="lv-LV"/>
              </w:rPr>
              <w:t>tirgus dalībniekiem saistošus noteikumus</w:t>
            </w:r>
            <w:r w:rsidR="008F3FCA" w:rsidRPr="00AF5B11">
              <w:rPr>
                <w:rFonts w:ascii="Times New Roman" w:eastAsia="Times New Roman" w:hAnsi="Times New Roman" w:cs="Times New Roman"/>
                <w:sz w:val="24"/>
                <w:szCs w:val="24"/>
                <w:lang w:eastAsia="lv-LV"/>
              </w:rPr>
              <w:t>.</w:t>
            </w:r>
          </w:p>
          <w:p w14:paraId="429EF695" w14:textId="5677115F" w:rsidR="007F2D87" w:rsidRPr="00AF5B11" w:rsidRDefault="007F2D87" w:rsidP="00E53509">
            <w:pPr>
              <w:spacing w:after="120" w:line="240" w:lineRule="auto"/>
              <w:jc w:val="both"/>
              <w:rPr>
                <w:rFonts w:ascii="Times New Roman" w:eastAsia="Times New Roman" w:hAnsi="Times New Roman" w:cs="Times New Roman"/>
                <w:sz w:val="24"/>
                <w:szCs w:val="24"/>
                <w:lang w:eastAsia="lv-LV"/>
              </w:rPr>
            </w:pPr>
            <w:r w:rsidRPr="00F81072">
              <w:rPr>
                <w:rFonts w:ascii="Times New Roman" w:eastAsia="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 Turklāt noteikumu projekta izstrādi pilnvarojošā</w:t>
            </w:r>
            <w:r>
              <w:rPr>
                <w:rFonts w:ascii="Times New Roman" w:eastAsia="Times New Roman" w:hAnsi="Times New Roman" w:cs="Times New Roman"/>
                <w:sz w:val="24"/>
                <w:szCs w:val="24"/>
              </w:rPr>
              <w:t>s</w:t>
            </w:r>
            <w:r w:rsidRPr="00F81072">
              <w:rPr>
                <w:rFonts w:ascii="Times New Roman" w:eastAsia="Times New Roman" w:hAnsi="Times New Roman" w:cs="Times New Roman"/>
                <w:sz w:val="24"/>
                <w:szCs w:val="24"/>
              </w:rPr>
              <w:t xml:space="preserve"> norma</w:t>
            </w:r>
            <w:r>
              <w:rPr>
                <w:rFonts w:ascii="Times New Roman" w:eastAsia="Times New Roman" w:hAnsi="Times New Roman" w:cs="Times New Roman"/>
                <w:sz w:val="24"/>
                <w:szCs w:val="24"/>
              </w:rPr>
              <w:t>s</w:t>
            </w:r>
            <w:r w:rsidRPr="00F81072">
              <w:rPr>
                <w:rFonts w:ascii="Times New Roman" w:eastAsia="Times New Roman" w:hAnsi="Times New Roman" w:cs="Times New Roman"/>
                <w:sz w:val="24"/>
                <w:szCs w:val="24"/>
              </w:rPr>
              <w:t xml:space="preserve"> skaidri norāda</w:t>
            </w:r>
            <w:r w:rsidR="005032FF">
              <w:rPr>
                <w:rFonts w:ascii="Times New Roman" w:eastAsia="Times New Roman" w:hAnsi="Times New Roman" w:cs="Times New Roman"/>
                <w:sz w:val="24"/>
                <w:szCs w:val="24"/>
              </w:rPr>
              <w:t xml:space="preserve"> gan</w:t>
            </w:r>
            <w:r w:rsidRPr="00F81072">
              <w:rPr>
                <w:rFonts w:ascii="Times New Roman" w:eastAsia="Times New Roman" w:hAnsi="Times New Roman" w:cs="Times New Roman"/>
                <w:sz w:val="24"/>
                <w:szCs w:val="24"/>
              </w:rPr>
              <w:t xml:space="preserve"> uz </w:t>
            </w:r>
            <w:r>
              <w:rPr>
                <w:rFonts w:ascii="Times New Roman" w:eastAsia="Times New Roman" w:hAnsi="Times New Roman" w:cs="Times New Roman"/>
                <w:sz w:val="24"/>
                <w:szCs w:val="24"/>
              </w:rPr>
              <w:t>tiesībām</w:t>
            </w:r>
            <w:r w:rsidR="005032F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032FF">
              <w:rPr>
                <w:rFonts w:ascii="Times New Roman" w:eastAsia="Times New Roman" w:hAnsi="Times New Roman" w:cs="Times New Roman"/>
                <w:sz w:val="24"/>
                <w:szCs w:val="24"/>
              </w:rPr>
              <w:t xml:space="preserve">gan </w:t>
            </w:r>
            <w:r>
              <w:rPr>
                <w:rFonts w:ascii="Times New Roman" w:eastAsia="Times New Roman" w:hAnsi="Times New Roman" w:cs="Times New Roman"/>
                <w:sz w:val="24"/>
                <w:szCs w:val="24"/>
              </w:rPr>
              <w:t>pienākumu</w:t>
            </w:r>
            <w:r w:rsidRPr="00F81072">
              <w:rPr>
                <w:rFonts w:ascii="Times New Roman" w:eastAsia="Times New Roman" w:hAnsi="Times New Roman" w:cs="Times New Roman"/>
                <w:sz w:val="24"/>
                <w:szCs w:val="24"/>
              </w:rPr>
              <w:t xml:space="preserve"> izstrādāt noteikumus.</w:t>
            </w:r>
          </w:p>
        </w:tc>
      </w:tr>
      <w:tr w:rsidR="000B4E0A" w:rsidRPr="000B4E0A" w14:paraId="239E5B6E" w14:textId="77777777" w:rsidTr="00E253DA">
        <w:trPr>
          <w:trHeight w:val="567"/>
        </w:trPr>
        <w:tc>
          <w:tcPr>
            <w:tcW w:w="1796" w:type="pct"/>
            <w:shd w:val="clear" w:color="auto" w:fill="auto"/>
            <w:hideMark/>
          </w:tcPr>
          <w:p w14:paraId="61F53335"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16BA5D43"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6988120" w14:textId="6FD042B2" w:rsidR="00CA28AB" w:rsidRPr="001E5D6E" w:rsidRDefault="00944D1B" w:rsidP="00E53509">
            <w:pPr>
              <w:spacing w:after="120" w:line="240" w:lineRule="auto"/>
              <w:jc w:val="both"/>
              <w:rPr>
                <w:rFonts w:ascii="Times New Roman" w:eastAsia="Times New Roman" w:hAnsi="Times New Roman" w:cs="Times New Roman"/>
                <w:sz w:val="24"/>
                <w:szCs w:val="24"/>
                <w:lang w:eastAsia="lv-LV"/>
              </w:rPr>
            </w:pPr>
            <w:r w:rsidRPr="001E5D6E">
              <w:rPr>
                <w:rFonts w:ascii="Times New Roman" w:eastAsia="Times New Roman" w:hAnsi="Times New Roman" w:cs="Times New Roman"/>
                <w:sz w:val="24"/>
                <w:szCs w:val="24"/>
                <w:lang w:eastAsia="lv-LV"/>
              </w:rPr>
              <w:t>Nākamajā dienā pēc noteikumu publicēšanas oficiālajā izdevumā "Latvijas Vēstnesis".</w:t>
            </w:r>
          </w:p>
        </w:tc>
      </w:tr>
      <w:tr w:rsidR="000B4E0A" w:rsidRPr="000B4E0A" w14:paraId="3044639B" w14:textId="77777777" w:rsidTr="00E253DA">
        <w:trPr>
          <w:trHeight w:val="567"/>
        </w:trPr>
        <w:tc>
          <w:tcPr>
            <w:tcW w:w="1796" w:type="pct"/>
            <w:shd w:val="clear" w:color="auto" w:fill="auto"/>
            <w:hideMark/>
          </w:tcPr>
          <w:p w14:paraId="0D264449"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10165646"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3F88648" w14:textId="68C84BF4" w:rsidR="00E53DE9" w:rsidRPr="001E5D6E" w:rsidRDefault="00944D1B" w:rsidP="00AD60D7">
            <w:pPr>
              <w:spacing w:after="0" w:line="240" w:lineRule="auto"/>
              <w:rPr>
                <w:rFonts w:ascii="Times New Roman" w:eastAsia="Times New Roman" w:hAnsi="Times New Roman" w:cs="Times New Roman"/>
                <w:sz w:val="24"/>
                <w:szCs w:val="24"/>
                <w:lang w:eastAsia="lv-LV"/>
              </w:rPr>
            </w:pPr>
            <w:r w:rsidRPr="001E5D6E">
              <w:rPr>
                <w:rFonts w:ascii="Times New Roman" w:eastAsia="Times New Roman" w:hAnsi="Times New Roman" w:cs="Times New Roman"/>
                <w:sz w:val="24"/>
                <w:szCs w:val="24"/>
                <w:lang w:eastAsia="lv-LV"/>
              </w:rPr>
              <w:t>Nav.</w:t>
            </w:r>
          </w:p>
        </w:tc>
      </w:tr>
      <w:tr w:rsidR="000B4E0A" w:rsidRPr="000B4E0A" w14:paraId="421E8C98" w14:textId="77777777" w:rsidTr="00E253DA">
        <w:trPr>
          <w:trHeight w:val="567"/>
        </w:trPr>
        <w:tc>
          <w:tcPr>
            <w:tcW w:w="1796" w:type="pct"/>
            <w:shd w:val="clear" w:color="auto" w:fill="auto"/>
            <w:hideMark/>
          </w:tcPr>
          <w:p w14:paraId="4AADF6EB"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0EE66566"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B240F22" w14:textId="2361A660" w:rsidR="00A23267" w:rsidRDefault="00A23267" w:rsidP="00E53509">
            <w:pPr>
              <w:spacing w:after="120" w:line="240" w:lineRule="auto"/>
              <w:jc w:val="both"/>
              <w:rPr>
                <w:rFonts w:ascii="Times New Roman" w:eastAsia="Times New Roman" w:hAnsi="Times New Roman" w:cs="Times New Roman"/>
                <w:sz w:val="24"/>
                <w:szCs w:val="24"/>
                <w:lang w:eastAsia="lv-LV"/>
              </w:rPr>
            </w:pPr>
            <w:r w:rsidRPr="00A23267">
              <w:rPr>
                <w:rFonts w:ascii="Times New Roman" w:eastAsia="Times New Roman" w:hAnsi="Times New Roman" w:cs="Times New Roman"/>
                <w:sz w:val="24"/>
                <w:szCs w:val="24"/>
                <w:lang w:eastAsia="lv-LV"/>
              </w:rPr>
              <w:t>Noteikumu projektā iekļautā</w:t>
            </w:r>
            <w:r>
              <w:rPr>
                <w:rFonts w:ascii="Times New Roman" w:eastAsia="Times New Roman" w:hAnsi="Times New Roman" w:cs="Times New Roman"/>
                <w:sz w:val="24"/>
                <w:szCs w:val="24"/>
                <w:lang w:eastAsia="lv-LV"/>
              </w:rPr>
              <w:t xml:space="preserve"> minimālā </w:t>
            </w:r>
            <w:r w:rsidRPr="00D33353">
              <w:rPr>
                <w:rFonts w:ascii="Times New Roman" w:eastAsia="Times New Roman" w:hAnsi="Times New Roman" w:cs="Times New Roman"/>
                <w:sz w:val="24"/>
                <w:szCs w:val="24"/>
                <w:lang w:eastAsia="lv-LV"/>
              </w:rPr>
              <w:t>informācij</w:t>
            </w:r>
            <w:r>
              <w:rPr>
                <w:rFonts w:ascii="Times New Roman" w:eastAsia="Times New Roman" w:hAnsi="Times New Roman" w:cs="Times New Roman"/>
                <w:sz w:val="24"/>
                <w:szCs w:val="24"/>
                <w:lang w:eastAsia="lv-LV"/>
              </w:rPr>
              <w:t>a</w:t>
            </w:r>
            <w:r w:rsidRPr="00D33353">
              <w:rPr>
                <w:rFonts w:ascii="Times New Roman" w:eastAsia="Times New Roman" w:hAnsi="Times New Roman" w:cs="Times New Roman"/>
                <w:sz w:val="24"/>
                <w:szCs w:val="24"/>
                <w:lang w:eastAsia="lv-LV"/>
              </w:rPr>
              <w:t xml:space="preserve">, ko Latvijas Banka var pieprasīt noregulējuma plānu </w:t>
            </w:r>
            <w:r>
              <w:rPr>
                <w:rFonts w:ascii="Times New Roman" w:eastAsia="Times New Roman" w:hAnsi="Times New Roman" w:cs="Times New Roman"/>
                <w:sz w:val="24"/>
                <w:szCs w:val="24"/>
                <w:lang w:eastAsia="lv-LV"/>
              </w:rPr>
              <w:t xml:space="preserve">izstrādei un aktualizēšanai, </w:t>
            </w:r>
            <w:r w:rsidRPr="00A23267">
              <w:rPr>
                <w:rFonts w:ascii="Times New Roman" w:eastAsia="Times New Roman" w:hAnsi="Times New Roman" w:cs="Times New Roman"/>
                <w:sz w:val="24"/>
                <w:szCs w:val="24"/>
                <w:lang w:eastAsia="lv-LV"/>
              </w:rPr>
              <w:t>neparedz administratīvā sloga izmaiņas</w:t>
            </w:r>
            <w:r>
              <w:rPr>
                <w:rFonts w:ascii="Times New Roman" w:eastAsia="Times New Roman" w:hAnsi="Times New Roman" w:cs="Times New Roman"/>
                <w:sz w:val="24"/>
                <w:szCs w:val="24"/>
                <w:lang w:eastAsia="lv-LV"/>
              </w:rPr>
              <w:t xml:space="preserve"> </w:t>
            </w:r>
            <w:r w:rsidR="009C2169">
              <w:rPr>
                <w:rFonts w:ascii="Times New Roman" w:eastAsia="Times New Roman" w:hAnsi="Times New Roman" w:cs="Times New Roman"/>
                <w:sz w:val="24"/>
                <w:szCs w:val="24"/>
                <w:lang w:eastAsia="lv-LV"/>
              </w:rPr>
              <w:t xml:space="preserve">iestādēm, </w:t>
            </w:r>
            <w:r w:rsidR="00437798" w:rsidRPr="00437798">
              <w:rPr>
                <w:rFonts w:ascii="Times New Roman" w:eastAsia="Times New Roman" w:hAnsi="Times New Roman" w:cs="Times New Roman"/>
                <w:sz w:val="24"/>
                <w:szCs w:val="24"/>
                <w:lang w:eastAsia="lv-LV"/>
              </w:rPr>
              <w:t>uz kurām attiec</w:t>
            </w:r>
            <w:r w:rsidR="00D4539B">
              <w:rPr>
                <w:rFonts w:ascii="Times New Roman" w:eastAsia="Times New Roman" w:hAnsi="Times New Roman" w:cs="Times New Roman"/>
                <w:sz w:val="24"/>
                <w:szCs w:val="24"/>
                <w:lang w:eastAsia="lv-LV"/>
              </w:rPr>
              <w:t>a</w:t>
            </w:r>
            <w:r w:rsidR="00437798" w:rsidRPr="00437798">
              <w:rPr>
                <w:rFonts w:ascii="Times New Roman" w:eastAsia="Times New Roman" w:hAnsi="Times New Roman" w:cs="Times New Roman"/>
                <w:sz w:val="24"/>
                <w:szCs w:val="24"/>
                <w:lang w:eastAsia="lv-LV"/>
              </w:rPr>
              <w:t xml:space="preserve">s </w:t>
            </w:r>
            <w:r w:rsidR="009C2169">
              <w:rPr>
                <w:rFonts w:ascii="Times New Roman" w:eastAsia="Times New Roman" w:hAnsi="Times New Roman" w:cs="Times New Roman"/>
                <w:sz w:val="24"/>
                <w:szCs w:val="24"/>
                <w:lang w:eastAsia="lv-LV"/>
              </w:rPr>
              <w:t>L</w:t>
            </w:r>
            <w:r w:rsidR="00437798" w:rsidRPr="00437798">
              <w:rPr>
                <w:rFonts w:ascii="Times New Roman" w:eastAsia="Times New Roman" w:hAnsi="Times New Roman" w:cs="Times New Roman"/>
                <w:sz w:val="24"/>
                <w:szCs w:val="24"/>
                <w:lang w:eastAsia="lv-LV"/>
              </w:rPr>
              <w:t>ikum</w:t>
            </w:r>
            <w:r w:rsidR="00437798" w:rsidRPr="009C2169">
              <w:rPr>
                <w:rFonts w:ascii="Times New Roman" w:eastAsia="Times New Roman" w:hAnsi="Times New Roman" w:cs="Times New Roman"/>
                <w:sz w:val="24"/>
                <w:szCs w:val="24"/>
                <w:lang w:eastAsia="lv-LV"/>
              </w:rPr>
              <w:t>s</w:t>
            </w:r>
            <w:r w:rsidRPr="009C216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jo jau šobrīd Noteikumi Nr.</w:t>
            </w:r>
            <w:r w:rsidR="00D4539B">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37 paredz šād</w:t>
            </w:r>
            <w:r w:rsidR="00D4539B">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w:t>
            </w:r>
            <w:r w:rsidR="00D4539B">
              <w:rPr>
                <w:rFonts w:ascii="Times New Roman" w:eastAsia="Times New Roman" w:hAnsi="Times New Roman" w:cs="Times New Roman"/>
                <w:sz w:val="24"/>
                <w:szCs w:val="24"/>
                <w:lang w:eastAsia="lv-LV"/>
              </w:rPr>
              <w:t>regulējumu</w:t>
            </w:r>
            <w:r>
              <w:rPr>
                <w:rFonts w:ascii="Times New Roman" w:eastAsia="Times New Roman" w:hAnsi="Times New Roman" w:cs="Times New Roman"/>
                <w:sz w:val="24"/>
                <w:szCs w:val="24"/>
                <w:lang w:eastAsia="lv-LV"/>
              </w:rPr>
              <w:t>.</w:t>
            </w:r>
          </w:p>
          <w:p w14:paraId="37CCAD3B" w14:textId="6C5D2F7F" w:rsidR="00A42788" w:rsidRPr="001E5D6E" w:rsidRDefault="00A23267" w:rsidP="00E5350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Savukārt </w:t>
            </w:r>
            <w:r w:rsidR="00B4643F">
              <w:rPr>
                <w:rFonts w:ascii="Times New Roman" w:eastAsia="Times New Roman" w:hAnsi="Times New Roman" w:cs="Times New Roman"/>
                <w:sz w:val="24"/>
                <w:szCs w:val="24"/>
                <w:lang w:eastAsia="lv-LV"/>
              </w:rPr>
              <w:t>n</w:t>
            </w:r>
            <w:r w:rsidR="00626F20" w:rsidRPr="00626F20">
              <w:rPr>
                <w:rFonts w:ascii="Times New Roman" w:eastAsia="Times New Roman" w:hAnsi="Times New Roman" w:cs="Times New Roman"/>
                <w:sz w:val="24"/>
                <w:szCs w:val="24"/>
                <w:lang w:eastAsia="lv-LV"/>
              </w:rPr>
              <w:t>oteikumu projektā ietvertās jaunās prasības (minētas anotācijas sadaļā "Mērķis un būtība"), kas nav ietvertas Noteikumos Nr.</w:t>
            </w:r>
            <w:r w:rsidR="00D4539B">
              <w:rPr>
                <w:rFonts w:ascii="Times New Roman" w:eastAsia="Times New Roman" w:hAnsi="Times New Roman" w:cs="Times New Roman"/>
                <w:sz w:val="24"/>
                <w:szCs w:val="24"/>
                <w:lang w:eastAsia="lv-LV"/>
              </w:rPr>
              <w:t> </w:t>
            </w:r>
            <w:r w:rsidR="00626F20">
              <w:rPr>
                <w:rFonts w:ascii="Times New Roman" w:eastAsia="Times New Roman" w:hAnsi="Times New Roman" w:cs="Times New Roman"/>
                <w:sz w:val="24"/>
                <w:szCs w:val="24"/>
                <w:lang w:eastAsia="lv-LV"/>
              </w:rPr>
              <w:t>37</w:t>
            </w:r>
            <w:r w:rsidR="00626F20" w:rsidRPr="00626F20">
              <w:rPr>
                <w:rFonts w:ascii="Times New Roman" w:eastAsia="Times New Roman" w:hAnsi="Times New Roman" w:cs="Times New Roman"/>
                <w:sz w:val="24"/>
                <w:szCs w:val="24"/>
                <w:lang w:eastAsia="lv-LV"/>
              </w:rPr>
              <w:t>, radīs papildu administratīvo slogu un izmaksas finanšu tirgus dalībniekiem, uz kuriem tās ir attiecināmas. Administratīvais slogs un izmaksas precīzi nav aprēķināmas, jo tās atkarīgas no vairākiem faktoriem, piemēram</w:t>
            </w:r>
            <w:r w:rsidR="00D526EB">
              <w:rPr>
                <w:rFonts w:ascii="Times New Roman" w:eastAsia="Times New Roman" w:hAnsi="Times New Roman" w:cs="Times New Roman"/>
                <w:sz w:val="24"/>
                <w:szCs w:val="24"/>
                <w:lang w:eastAsia="lv-LV"/>
              </w:rPr>
              <w:t>,</w:t>
            </w:r>
            <w:r w:rsidR="008E412F" w:rsidRPr="0035623D">
              <w:rPr>
                <w:rFonts w:ascii="Times New Roman" w:hAnsi="Times New Roman" w:cs="Times New Roman"/>
                <w:sz w:val="24"/>
                <w:szCs w:val="24"/>
                <w:lang w:eastAsia="lv-LV"/>
              </w:rPr>
              <w:t xml:space="preserve"> no tā, vai </w:t>
            </w:r>
            <w:r w:rsidR="00B4643F">
              <w:rPr>
                <w:rFonts w:ascii="Times New Roman" w:hAnsi="Times New Roman" w:cs="Times New Roman"/>
                <w:sz w:val="24"/>
                <w:szCs w:val="24"/>
                <w:lang w:eastAsia="lv-LV"/>
              </w:rPr>
              <w:t>n</w:t>
            </w:r>
            <w:r w:rsidR="008E412F" w:rsidRPr="0035623D">
              <w:rPr>
                <w:rFonts w:ascii="Times New Roman" w:hAnsi="Times New Roman" w:cs="Times New Roman"/>
                <w:sz w:val="24"/>
                <w:szCs w:val="24"/>
                <w:lang w:eastAsia="lv-LV"/>
              </w:rPr>
              <w:t xml:space="preserve">oteikumu </w:t>
            </w:r>
            <w:r w:rsidR="008E412F">
              <w:rPr>
                <w:rFonts w:ascii="Times New Roman" w:hAnsi="Times New Roman" w:cs="Times New Roman"/>
                <w:sz w:val="24"/>
                <w:szCs w:val="24"/>
                <w:lang w:eastAsia="lv-LV"/>
              </w:rPr>
              <w:t xml:space="preserve">projektā paredzēto </w:t>
            </w:r>
            <w:r w:rsidR="008E412F" w:rsidRPr="0035623D">
              <w:rPr>
                <w:rFonts w:ascii="Times New Roman" w:hAnsi="Times New Roman" w:cs="Times New Roman"/>
                <w:sz w:val="24"/>
                <w:szCs w:val="24"/>
                <w:lang w:eastAsia="lv-LV"/>
              </w:rPr>
              <w:t xml:space="preserve">prasību ieviešanai </w:t>
            </w:r>
            <w:r w:rsidR="008E412F">
              <w:rPr>
                <w:rFonts w:ascii="Times New Roman" w:hAnsi="Times New Roman" w:cs="Times New Roman"/>
                <w:sz w:val="24"/>
                <w:szCs w:val="24"/>
                <w:lang w:eastAsia="lv-LV"/>
              </w:rPr>
              <w:t xml:space="preserve">finanšu </w:t>
            </w:r>
            <w:r w:rsidR="008E412F" w:rsidRPr="0035623D">
              <w:rPr>
                <w:rFonts w:ascii="Times New Roman" w:hAnsi="Times New Roman" w:cs="Times New Roman"/>
                <w:sz w:val="24"/>
                <w:szCs w:val="24"/>
                <w:lang w:eastAsia="lv-LV"/>
              </w:rPr>
              <w:t>tirgus dalībnieks izmantos iekšējos vai ārējos resursus.</w:t>
            </w:r>
          </w:p>
        </w:tc>
      </w:tr>
      <w:tr w:rsidR="000B4E0A" w:rsidRPr="000B4E0A" w14:paraId="2E1F7049" w14:textId="77777777" w:rsidTr="00E253DA">
        <w:trPr>
          <w:trHeight w:val="567"/>
        </w:trPr>
        <w:tc>
          <w:tcPr>
            <w:tcW w:w="1796" w:type="pct"/>
            <w:shd w:val="clear" w:color="auto" w:fill="auto"/>
            <w:hideMark/>
          </w:tcPr>
          <w:p w14:paraId="29048D18"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2EA59E72"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F429AC" w14:textId="07A8393A" w:rsidR="00944D1B" w:rsidRPr="00250E7D" w:rsidRDefault="000A4630"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250E7D">
              <w:rPr>
                <w:rFonts w:ascii="Times New Roman" w:eastAsia="Times New Roman" w:hAnsi="Times New Roman" w:cs="Times New Roman"/>
                <w:sz w:val="24"/>
                <w:szCs w:val="24"/>
                <w:lang w:eastAsia="lv-LV"/>
              </w:rPr>
              <w:t>Likums</w:t>
            </w:r>
            <w:r w:rsidR="00944D1B" w:rsidRPr="00250E7D">
              <w:rPr>
                <w:rFonts w:ascii="Times New Roman" w:eastAsia="Times New Roman" w:hAnsi="Times New Roman" w:cs="Times New Roman"/>
                <w:sz w:val="24"/>
                <w:szCs w:val="24"/>
                <w:lang w:eastAsia="lv-LV"/>
              </w:rPr>
              <w:t>.</w:t>
            </w:r>
          </w:p>
          <w:p w14:paraId="2BDC69BC" w14:textId="583FA02E" w:rsidR="00D4539B" w:rsidRPr="002E3780" w:rsidRDefault="00D4539B"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likums.</w:t>
            </w:r>
          </w:p>
          <w:p w14:paraId="6AEF7164" w14:textId="0528DB48" w:rsidR="00944D1B" w:rsidRPr="001E5D6E" w:rsidRDefault="00944D1B"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1E5D6E">
              <w:rPr>
                <w:rFonts w:ascii="Times New Roman" w:eastAsia="Times New Roman" w:hAnsi="Times New Roman" w:cs="Times New Roman"/>
                <w:sz w:val="24"/>
                <w:szCs w:val="24"/>
                <w:lang w:eastAsia="lv-LV"/>
              </w:rPr>
              <w:t>Noteikumi Nr.</w:t>
            </w:r>
            <w:r w:rsidR="000A4630">
              <w:rPr>
                <w:rFonts w:ascii="Times New Roman" w:eastAsia="Times New Roman" w:hAnsi="Times New Roman" w:cs="Times New Roman"/>
                <w:sz w:val="24"/>
                <w:szCs w:val="24"/>
                <w:lang w:eastAsia="lv-LV"/>
              </w:rPr>
              <w:t> </w:t>
            </w:r>
            <w:r w:rsidRPr="001E5D6E">
              <w:rPr>
                <w:rFonts w:ascii="Times New Roman" w:eastAsia="Times New Roman" w:hAnsi="Times New Roman" w:cs="Times New Roman"/>
                <w:sz w:val="24"/>
                <w:szCs w:val="24"/>
                <w:lang w:eastAsia="lv-LV"/>
              </w:rPr>
              <w:t>3</w:t>
            </w:r>
            <w:r w:rsidR="001E5D6E" w:rsidRPr="001E5D6E">
              <w:rPr>
                <w:rFonts w:ascii="Times New Roman" w:eastAsia="Times New Roman" w:hAnsi="Times New Roman" w:cs="Times New Roman"/>
                <w:sz w:val="24"/>
                <w:szCs w:val="24"/>
                <w:lang w:eastAsia="lv-LV"/>
              </w:rPr>
              <w:t>7</w:t>
            </w:r>
            <w:r w:rsidRPr="001E5D6E">
              <w:rPr>
                <w:rFonts w:ascii="Times New Roman" w:eastAsia="Times New Roman" w:hAnsi="Times New Roman" w:cs="Times New Roman"/>
                <w:sz w:val="24"/>
                <w:szCs w:val="24"/>
                <w:lang w:eastAsia="lv-LV"/>
              </w:rPr>
              <w:t>.</w:t>
            </w:r>
          </w:p>
          <w:p w14:paraId="428F5A54" w14:textId="0D3A7ACA" w:rsidR="00F578AE" w:rsidRDefault="000A4630"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Direktīva</w:t>
            </w:r>
            <w:r w:rsidR="00A6310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2014/59/ES</w:t>
            </w:r>
            <w:r w:rsidR="00D4539B">
              <w:rPr>
                <w:rFonts w:ascii="Times New Roman" w:eastAsia="Times New Roman" w:hAnsi="Times New Roman" w:cs="Times New Roman"/>
                <w:sz w:val="24"/>
                <w:szCs w:val="24"/>
                <w:lang w:eastAsia="lv-LV"/>
              </w:rPr>
              <w:t>.</w:t>
            </w:r>
          </w:p>
          <w:p w14:paraId="64F22913" w14:textId="38D7A984" w:rsidR="00250E7D" w:rsidRDefault="00250E7D"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250E7D">
              <w:rPr>
                <w:rFonts w:ascii="Times New Roman" w:eastAsia="Times New Roman" w:hAnsi="Times New Roman" w:cs="Times New Roman"/>
                <w:sz w:val="24"/>
                <w:szCs w:val="24"/>
                <w:lang w:eastAsia="lv-LV"/>
              </w:rPr>
              <w:t>Direktīva 2019/879</w:t>
            </w:r>
            <w:r>
              <w:rPr>
                <w:rFonts w:ascii="Times New Roman" w:eastAsia="Times New Roman" w:hAnsi="Times New Roman" w:cs="Times New Roman"/>
                <w:sz w:val="24"/>
                <w:szCs w:val="24"/>
                <w:lang w:eastAsia="lv-LV"/>
              </w:rPr>
              <w:t>.</w:t>
            </w:r>
          </w:p>
          <w:p w14:paraId="6B2AE53E" w14:textId="7319631D" w:rsidR="00F57F13" w:rsidRDefault="00F57F13"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w:t>
            </w:r>
            <w:r w:rsidRPr="00C61B0C">
              <w:rPr>
                <w:rFonts w:ascii="Times New Roman" w:eastAsia="Times New Roman" w:hAnsi="Times New Roman" w:cs="Times New Roman"/>
                <w:sz w:val="24"/>
                <w:szCs w:val="24"/>
                <w:lang w:eastAsia="lv-LV"/>
              </w:rPr>
              <w:t>egul</w:t>
            </w:r>
            <w:r>
              <w:rPr>
                <w:rFonts w:ascii="Times New Roman" w:eastAsia="Times New Roman" w:hAnsi="Times New Roman" w:cs="Times New Roman"/>
                <w:sz w:val="24"/>
                <w:szCs w:val="24"/>
                <w:lang w:eastAsia="lv-LV"/>
              </w:rPr>
              <w:t>a</w:t>
            </w:r>
            <w:r w:rsidRPr="00C61B0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Nr.</w:t>
            </w:r>
            <w:r w:rsidR="00D4539B">
              <w:rPr>
                <w:rFonts w:ascii="Times New Roman" w:eastAsia="Times New Roman" w:hAnsi="Times New Roman" w:cs="Times New Roman"/>
                <w:sz w:val="24"/>
                <w:szCs w:val="24"/>
                <w:lang w:eastAsia="lv-LV"/>
              </w:rPr>
              <w:t> </w:t>
            </w:r>
            <w:r w:rsidRPr="00C61B0C">
              <w:rPr>
                <w:rFonts w:ascii="Times New Roman" w:eastAsia="Times New Roman" w:hAnsi="Times New Roman" w:cs="Times New Roman"/>
                <w:sz w:val="24"/>
                <w:szCs w:val="24"/>
                <w:lang w:eastAsia="lv-LV"/>
              </w:rPr>
              <w:t>2016/1075</w:t>
            </w:r>
            <w:r w:rsidR="00B4643F">
              <w:rPr>
                <w:rFonts w:ascii="Times New Roman" w:eastAsia="Times New Roman" w:hAnsi="Times New Roman" w:cs="Times New Roman"/>
                <w:sz w:val="24"/>
                <w:szCs w:val="24"/>
                <w:lang w:eastAsia="lv-LV"/>
              </w:rPr>
              <w:t>.</w:t>
            </w:r>
          </w:p>
          <w:p w14:paraId="4B8B6390" w14:textId="2FFC3763" w:rsidR="001E5D6E" w:rsidRPr="001E5D6E" w:rsidRDefault="004374A1"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1E5D6E">
              <w:rPr>
                <w:rFonts w:ascii="Times New Roman" w:eastAsia="Times New Roman" w:hAnsi="Times New Roman" w:cs="Times New Roman"/>
                <w:sz w:val="24"/>
                <w:szCs w:val="24"/>
                <w:lang w:eastAsia="lv-LV"/>
              </w:rPr>
              <w:t>Noregulējamības pamatnostādnes</w:t>
            </w:r>
            <w:r w:rsidR="009C2169">
              <w:rPr>
                <w:rFonts w:ascii="Times New Roman" w:eastAsia="Times New Roman" w:hAnsi="Times New Roman" w:cs="Times New Roman"/>
                <w:sz w:val="24"/>
                <w:szCs w:val="24"/>
                <w:lang w:eastAsia="lv-LV"/>
              </w:rPr>
              <w:t>.</w:t>
            </w:r>
          </w:p>
          <w:p w14:paraId="3D777809" w14:textId="25D87453" w:rsidR="001E5D6E" w:rsidRPr="001E5D6E" w:rsidRDefault="004374A1"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4374A1">
              <w:rPr>
                <w:rFonts w:ascii="Times New Roman" w:eastAsia="Times New Roman" w:hAnsi="Times New Roman" w:cs="Times New Roman"/>
                <w:sz w:val="24"/>
                <w:szCs w:val="24"/>
                <w:lang w:eastAsia="lv-LV"/>
              </w:rPr>
              <w:t>Nododamības pamatnostādnes</w:t>
            </w:r>
            <w:r w:rsidR="009C2169">
              <w:rPr>
                <w:rFonts w:ascii="Times New Roman" w:eastAsia="Times New Roman" w:hAnsi="Times New Roman" w:cs="Times New Roman"/>
                <w:sz w:val="24"/>
                <w:szCs w:val="24"/>
                <w:lang w:eastAsia="lv-LV"/>
              </w:rPr>
              <w:t>.</w:t>
            </w:r>
          </w:p>
          <w:p w14:paraId="22BC5541" w14:textId="29C4FFC4" w:rsidR="00C9297A" w:rsidRPr="00C9297A" w:rsidRDefault="004374A1" w:rsidP="00250E7D">
            <w:pPr>
              <w:pStyle w:val="ListParagraph"/>
              <w:numPr>
                <w:ilvl w:val="0"/>
                <w:numId w:val="3"/>
              </w:numPr>
              <w:tabs>
                <w:tab w:val="left" w:pos="316"/>
              </w:tabs>
              <w:spacing w:after="0" w:line="240" w:lineRule="auto"/>
              <w:ind w:left="174" w:hanging="174"/>
              <w:jc w:val="both"/>
              <w:rPr>
                <w:rFonts w:ascii="Times New Roman" w:eastAsia="Times New Roman" w:hAnsi="Times New Roman" w:cs="Times New Roman"/>
                <w:sz w:val="24"/>
                <w:szCs w:val="24"/>
                <w:lang w:eastAsia="lv-LV"/>
              </w:rPr>
            </w:pPr>
            <w:r w:rsidRPr="004374A1">
              <w:rPr>
                <w:rFonts w:ascii="Times New Roman" w:eastAsia="Times New Roman" w:hAnsi="Times New Roman" w:cs="Times New Roman"/>
                <w:sz w:val="24"/>
                <w:szCs w:val="24"/>
                <w:lang w:eastAsia="lv-LV"/>
              </w:rPr>
              <w:t>Noregulējamības testēšanas pamatnostādnes</w:t>
            </w:r>
            <w:r w:rsidR="009C2169">
              <w:rPr>
                <w:rFonts w:ascii="Times New Roman" w:eastAsia="Times New Roman" w:hAnsi="Times New Roman" w:cs="Times New Roman"/>
                <w:sz w:val="24"/>
                <w:szCs w:val="24"/>
                <w:lang w:eastAsia="lv-LV"/>
              </w:rPr>
              <w:t>.</w:t>
            </w:r>
          </w:p>
        </w:tc>
      </w:tr>
      <w:tr w:rsidR="000B4E0A" w:rsidRPr="000B4E0A" w14:paraId="47809E41" w14:textId="77777777" w:rsidTr="00E253DA">
        <w:trPr>
          <w:trHeight w:val="567"/>
        </w:trPr>
        <w:tc>
          <w:tcPr>
            <w:tcW w:w="1796" w:type="pct"/>
            <w:shd w:val="clear" w:color="auto" w:fill="auto"/>
            <w:hideMark/>
          </w:tcPr>
          <w:p w14:paraId="072379EA"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7708ADDE"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3030FC4" w14:textId="400A24A1" w:rsidR="00A42788" w:rsidRPr="001E5D6E" w:rsidRDefault="00944D1B" w:rsidP="00AD60D7">
            <w:pPr>
              <w:spacing w:after="0" w:line="240" w:lineRule="auto"/>
              <w:rPr>
                <w:rFonts w:ascii="Times New Roman" w:eastAsia="Times New Roman" w:hAnsi="Times New Roman" w:cs="Times New Roman"/>
                <w:sz w:val="24"/>
                <w:szCs w:val="24"/>
                <w:lang w:eastAsia="lv-LV"/>
              </w:rPr>
            </w:pPr>
            <w:r w:rsidRPr="001E5D6E">
              <w:rPr>
                <w:rFonts w:ascii="Times New Roman" w:eastAsia="Times New Roman" w:hAnsi="Times New Roman" w:cs="Times New Roman"/>
                <w:sz w:val="24"/>
                <w:szCs w:val="24"/>
                <w:lang w:eastAsia="lv-LV"/>
              </w:rPr>
              <w:t>N</w:t>
            </w:r>
            <w:r w:rsidR="00AD3C46">
              <w:rPr>
                <w:rFonts w:ascii="Times New Roman" w:eastAsia="Times New Roman" w:hAnsi="Times New Roman" w:cs="Times New Roman"/>
                <w:sz w:val="24"/>
                <w:szCs w:val="24"/>
                <w:lang w:eastAsia="lv-LV"/>
              </w:rPr>
              <w:t>av nepieciešama</w:t>
            </w:r>
            <w:r w:rsidRPr="001E5D6E">
              <w:rPr>
                <w:rFonts w:ascii="Times New Roman" w:eastAsia="Times New Roman" w:hAnsi="Times New Roman" w:cs="Times New Roman"/>
                <w:sz w:val="24"/>
                <w:szCs w:val="24"/>
                <w:lang w:eastAsia="lv-LV"/>
              </w:rPr>
              <w:t>.</w:t>
            </w:r>
          </w:p>
        </w:tc>
      </w:tr>
      <w:tr w:rsidR="000B4E0A" w:rsidRPr="000B4E0A" w14:paraId="10DE64C9" w14:textId="77777777" w:rsidTr="00E253DA">
        <w:trPr>
          <w:trHeight w:val="567"/>
        </w:trPr>
        <w:tc>
          <w:tcPr>
            <w:tcW w:w="1796" w:type="pct"/>
            <w:shd w:val="clear" w:color="auto" w:fill="auto"/>
            <w:hideMark/>
          </w:tcPr>
          <w:p w14:paraId="2C440B77"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4978A4A1"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4508A82" w14:textId="0E89E30B" w:rsidR="00E53DE9" w:rsidRPr="009B27BE" w:rsidRDefault="00131F45" w:rsidP="00AD60D7">
            <w:pPr>
              <w:spacing w:after="0" w:line="240" w:lineRule="auto"/>
              <w:jc w:val="both"/>
              <w:rPr>
                <w:rFonts w:ascii="Times New Roman" w:eastAsia="Times New Roman" w:hAnsi="Times New Roman" w:cs="Times New Roman"/>
                <w:i/>
                <w:iCs/>
                <w:sz w:val="24"/>
                <w:szCs w:val="24"/>
                <w:lang w:eastAsia="lv-LV"/>
              </w:rPr>
            </w:pPr>
            <w:r w:rsidRPr="001E5D6E">
              <w:rPr>
                <w:rFonts w:ascii="Times New Roman" w:eastAsia="Times New Roman" w:hAnsi="Times New Roman" w:cs="Times New Roman"/>
                <w:sz w:val="24"/>
                <w:szCs w:val="24"/>
                <w:lang w:eastAsia="lv-LV"/>
              </w:rPr>
              <w:t xml:space="preserve">Noteikumu projekts </w:t>
            </w:r>
            <w:r w:rsidR="00B7299E">
              <w:rPr>
                <w:rFonts w:ascii="Times New Roman" w:eastAsia="Times New Roman" w:hAnsi="Times New Roman" w:cs="Times New Roman"/>
                <w:sz w:val="24"/>
                <w:szCs w:val="24"/>
                <w:lang w:eastAsia="lv-LV"/>
              </w:rPr>
              <w:t>2024. </w:t>
            </w:r>
            <w:r w:rsidR="00B7299E" w:rsidRPr="00E66B46">
              <w:rPr>
                <w:rFonts w:ascii="Times New Roman" w:eastAsia="Times New Roman" w:hAnsi="Times New Roman" w:cs="Times New Roman"/>
                <w:sz w:val="24"/>
                <w:szCs w:val="24"/>
                <w:lang w:eastAsia="lv-LV"/>
              </w:rPr>
              <w:t xml:space="preserve">gada </w:t>
            </w:r>
            <w:r w:rsidR="00E66B46" w:rsidRPr="00E66B46">
              <w:rPr>
                <w:rFonts w:ascii="Times New Roman" w:eastAsia="Times New Roman" w:hAnsi="Times New Roman" w:cs="Times New Roman"/>
                <w:sz w:val="24"/>
                <w:szCs w:val="24"/>
                <w:lang w:eastAsia="lv-LV"/>
              </w:rPr>
              <w:t>30</w:t>
            </w:r>
            <w:r w:rsidR="00B7299E" w:rsidRPr="00E66B46">
              <w:rPr>
                <w:rFonts w:ascii="Times New Roman" w:eastAsia="Times New Roman" w:hAnsi="Times New Roman" w:cs="Times New Roman"/>
                <w:sz w:val="24"/>
                <w:szCs w:val="24"/>
                <w:lang w:eastAsia="lv-LV"/>
              </w:rPr>
              <w:t xml:space="preserve">. oktobrī </w:t>
            </w:r>
            <w:r w:rsidRPr="00E66B46">
              <w:rPr>
                <w:rFonts w:ascii="Times New Roman" w:eastAsia="Times New Roman" w:hAnsi="Times New Roman" w:cs="Times New Roman"/>
                <w:sz w:val="24"/>
                <w:szCs w:val="24"/>
                <w:lang w:eastAsia="lv-LV"/>
              </w:rPr>
              <w:t>tik</w:t>
            </w:r>
            <w:r w:rsidR="00B7299E" w:rsidRPr="00E66B46">
              <w:rPr>
                <w:rFonts w:ascii="Times New Roman" w:eastAsia="Times New Roman" w:hAnsi="Times New Roman" w:cs="Times New Roman"/>
                <w:sz w:val="24"/>
                <w:szCs w:val="24"/>
                <w:lang w:eastAsia="lv-LV"/>
              </w:rPr>
              <w:t>a</w:t>
            </w:r>
            <w:r w:rsidRPr="00E66B46">
              <w:rPr>
                <w:rFonts w:ascii="Times New Roman" w:eastAsia="Times New Roman" w:hAnsi="Times New Roman" w:cs="Times New Roman"/>
                <w:sz w:val="24"/>
                <w:szCs w:val="24"/>
                <w:lang w:eastAsia="lv-LV"/>
              </w:rPr>
              <w:t xml:space="preserve"> publicēts Latvijas Bankas tīmekļvietnes www.bank.lv sadaļas "Tiesību akti" apakšsadaļā "Sabiedrības līdzdalība", un par to </w:t>
            </w:r>
            <w:r w:rsidR="009B08CE" w:rsidRPr="00E66B46">
              <w:rPr>
                <w:rFonts w:ascii="Times New Roman" w:eastAsia="Times New Roman" w:hAnsi="Times New Roman" w:cs="Times New Roman"/>
                <w:sz w:val="24"/>
                <w:szCs w:val="24"/>
                <w:lang w:eastAsia="lv-LV"/>
              </w:rPr>
              <w:t xml:space="preserve">līdz 2024. gada </w:t>
            </w:r>
            <w:r w:rsidR="00E04906" w:rsidRPr="00E66B46">
              <w:rPr>
                <w:rFonts w:ascii="Times New Roman" w:eastAsia="Times New Roman" w:hAnsi="Times New Roman" w:cs="Times New Roman"/>
                <w:sz w:val="24"/>
                <w:szCs w:val="24"/>
                <w:lang w:eastAsia="lv-LV"/>
              </w:rPr>
              <w:t>13</w:t>
            </w:r>
            <w:r w:rsidR="009B08CE" w:rsidRPr="00E66B46">
              <w:rPr>
                <w:rFonts w:ascii="Times New Roman" w:eastAsia="Times New Roman" w:hAnsi="Times New Roman" w:cs="Times New Roman"/>
                <w:sz w:val="24"/>
                <w:szCs w:val="24"/>
                <w:lang w:eastAsia="lv-LV"/>
              </w:rPr>
              <w:t>. novembrim</w:t>
            </w:r>
            <w:r w:rsidR="009B08CE">
              <w:rPr>
                <w:rFonts w:ascii="Times New Roman" w:eastAsia="Times New Roman" w:hAnsi="Times New Roman" w:cs="Times New Roman"/>
                <w:sz w:val="24"/>
                <w:szCs w:val="24"/>
                <w:lang w:eastAsia="lv-LV"/>
              </w:rPr>
              <w:t xml:space="preserve"> </w:t>
            </w:r>
            <w:r w:rsidRPr="001E5D6E">
              <w:rPr>
                <w:rFonts w:ascii="Times New Roman" w:eastAsia="Times New Roman" w:hAnsi="Times New Roman" w:cs="Times New Roman"/>
                <w:sz w:val="24"/>
                <w:szCs w:val="24"/>
                <w:lang w:eastAsia="lv-LV"/>
              </w:rPr>
              <w:t>b</w:t>
            </w:r>
            <w:r w:rsidR="00B7299E">
              <w:rPr>
                <w:rFonts w:ascii="Times New Roman" w:eastAsia="Times New Roman" w:hAnsi="Times New Roman" w:cs="Times New Roman"/>
                <w:sz w:val="24"/>
                <w:szCs w:val="24"/>
                <w:lang w:eastAsia="lv-LV"/>
              </w:rPr>
              <w:t>ija</w:t>
            </w:r>
            <w:r w:rsidRPr="001E5D6E">
              <w:rPr>
                <w:rFonts w:ascii="Times New Roman" w:eastAsia="Times New Roman" w:hAnsi="Times New Roman" w:cs="Times New Roman"/>
                <w:sz w:val="24"/>
                <w:szCs w:val="24"/>
                <w:lang w:eastAsia="lv-LV"/>
              </w:rPr>
              <w:t xml:space="preserve"> iespējama sabiedrības līdzdalība. </w:t>
            </w:r>
            <w:r w:rsidR="000A4630">
              <w:rPr>
                <w:rFonts w:ascii="Times New Roman" w:eastAsia="Times New Roman" w:hAnsi="Times New Roman" w:cs="Times New Roman"/>
                <w:sz w:val="24"/>
                <w:szCs w:val="24"/>
                <w:lang w:eastAsia="lv-LV"/>
              </w:rPr>
              <w:t>Vienlaikus par noteikumu projektu un notiekošo sabiedrības līdzdalību</w:t>
            </w:r>
            <w:r w:rsidR="0038656D">
              <w:rPr>
                <w:rFonts w:ascii="Times New Roman" w:eastAsia="Times New Roman" w:hAnsi="Times New Roman" w:cs="Times New Roman"/>
                <w:sz w:val="24"/>
                <w:szCs w:val="24"/>
                <w:lang w:eastAsia="lv-LV"/>
              </w:rPr>
              <w:t xml:space="preserve"> individuāli tik</w:t>
            </w:r>
            <w:r w:rsidR="00B7299E">
              <w:rPr>
                <w:rFonts w:ascii="Times New Roman" w:eastAsia="Times New Roman" w:hAnsi="Times New Roman" w:cs="Times New Roman"/>
                <w:sz w:val="24"/>
                <w:szCs w:val="24"/>
                <w:lang w:eastAsia="lv-LV"/>
              </w:rPr>
              <w:t>a</w:t>
            </w:r>
            <w:r w:rsidR="0038656D">
              <w:rPr>
                <w:rFonts w:ascii="Times New Roman" w:eastAsia="Times New Roman" w:hAnsi="Times New Roman" w:cs="Times New Roman"/>
                <w:sz w:val="24"/>
                <w:szCs w:val="24"/>
                <w:lang w:eastAsia="lv-LV"/>
              </w:rPr>
              <w:t xml:space="preserve"> informētas</w:t>
            </w:r>
            <w:r w:rsidR="000A4630">
              <w:rPr>
                <w:rFonts w:ascii="Times New Roman" w:eastAsia="Times New Roman" w:hAnsi="Times New Roman" w:cs="Times New Roman"/>
                <w:sz w:val="24"/>
                <w:szCs w:val="24"/>
                <w:lang w:eastAsia="lv-LV"/>
              </w:rPr>
              <w:t xml:space="preserve"> </w:t>
            </w:r>
            <w:r w:rsidR="00A020E7">
              <w:rPr>
                <w:rFonts w:ascii="Times New Roman" w:eastAsia="Times New Roman" w:hAnsi="Times New Roman" w:cs="Times New Roman"/>
                <w:sz w:val="24"/>
                <w:szCs w:val="24"/>
                <w:lang w:eastAsia="lv-LV"/>
              </w:rPr>
              <w:t>i</w:t>
            </w:r>
            <w:r w:rsidR="001E5D6E" w:rsidRPr="001E5D6E">
              <w:rPr>
                <w:rFonts w:ascii="Times New Roman" w:eastAsia="Times New Roman" w:hAnsi="Times New Roman" w:cs="Times New Roman"/>
                <w:sz w:val="24"/>
                <w:szCs w:val="24"/>
                <w:lang w:eastAsia="lv-LV"/>
              </w:rPr>
              <w:t>estādes</w:t>
            </w:r>
            <w:r w:rsidR="004374A1">
              <w:rPr>
                <w:rFonts w:ascii="Times New Roman" w:eastAsia="Times New Roman" w:hAnsi="Times New Roman" w:cs="Times New Roman"/>
                <w:sz w:val="24"/>
                <w:szCs w:val="24"/>
                <w:lang w:eastAsia="lv-LV"/>
              </w:rPr>
              <w:t xml:space="preserve"> un</w:t>
            </w:r>
            <w:r w:rsidR="004374A1">
              <w:t xml:space="preserve"> </w:t>
            </w:r>
            <w:r w:rsidR="004374A1" w:rsidRPr="004374A1">
              <w:rPr>
                <w:rFonts w:ascii="Times New Roman" w:eastAsia="Times New Roman" w:hAnsi="Times New Roman" w:cs="Times New Roman"/>
                <w:sz w:val="24"/>
                <w:szCs w:val="24"/>
                <w:lang w:eastAsia="lv-LV"/>
              </w:rPr>
              <w:t>Latvijas Finanšu nozares asociācij</w:t>
            </w:r>
            <w:r w:rsidR="004374A1">
              <w:rPr>
                <w:rFonts w:ascii="Times New Roman" w:eastAsia="Times New Roman" w:hAnsi="Times New Roman" w:cs="Times New Roman"/>
                <w:sz w:val="24"/>
                <w:szCs w:val="24"/>
                <w:lang w:eastAsia="lv-LV"/>
              </w:rPr>
              <w:t>a</w:t>
            </w:r>
            <w:r w:rsidRPr="001E5D6E">
              <w:rPr>
                <w:rFonts w:ascii="Times New Roman" w:eastAsia="Times New Roman" w:hAnsi="Times New Roman" w:cs="Times New Roman"/>
                <w:sz w:val="24"/>
                <w:szCs w:val="24"/>
                <w:lang w:eastAsia="lv-LV"/>
              </w:rPr>
              <w:t>. Pēc sabiedrības līdzdalībai noteiktā termiņa beigām noteikumu projektu paredzēts iesniegt izskatīšanai Latvijas Bankas konsultatīvās finanšu tirgus padomes sēdē</w:t>
            </w:r>
            <w:r w:rsidR="001E5D6E" w:rsidRPr="001E5D6E">
              <w:rPr>
                <w:rFonts w:ascii="Times New Roman" w:eastAsia="Times New Roman" w:hAnsi="Times New Roman" w:cs="Times New Roman"/>
                <w:sz w:val="24"/>
                <w:szCs w:val="24"/>
                <w:lang w:eastAsia="lv-LV"/>
              </w:rPr>
              <w:t>.</w:t>
            </w:r>
          </w:p>
        </w:tc>
      </w:tr>
      <w:tr w:rsidR="000B4E0A" w:rsidRPr="000B4E0A" w14:paraId="192E148B" w14:textId="77777777" w:rsidTr="00E253DA">
        <w:trPr>
          <w:trHeight w:val="567"/>
        </w:trPr>
        <w:tc>
          <w:tcPr>
            <w:tcW w:w="1796" w:type="pct"/>
            <w:shd w:val="clear" w:color="auto" w:fill="auto"/>
            <w:hideMark/>
          </w:tcPr>
          <w:p w14:paraId="3ECD3867" w14:textId="77777777" w:rsidR="00A42788" w:rsidRPr="00E253DA" w:rsidRDefault="00A42788" w:rsidP="00AD60D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61F9A8E6" w14:textId="77777777" w:rsidR="00CA28AB" w:rsidRPr="00E253DA" w:rsidRDefault="00CA28AB" w:rsidP="00AD60D7">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1D16575" w14:textId="724A1FCC" w:rsidR="00E53DE9" w:rsidRPr="001E5D6E" w:rsidRDefault="001A5B42" w:rsidP="00E66B46">
            <w:pPr>
              <w:spacing w:after="0" w:line="240" w:lineRule="auto"/>
              <w:jc w:val="both"/>
              <w:rPr>
                <w:rFonts w:ascii="Times New Roman" w:eastAsia="Times New Roman" w:hAnsi="Times New Roman" w:cs="Times New Roman"/>
                <w:sz w:val="24"/>
                <w:szCs w:val="24"/>
                <w:lang w:eastAsia="lv-LV"/>
              </w:rPr>
            </w:pPr>
            <w:r w:rsidRPr="001A5B42">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713F160A" w14:textId="77777777" w:rsidR="00F57F13" w:rsidRDefault="00F57F13" w:rsidP="00AD60D7">
      <w:pPr>
        <w:spacing w:after="0" w:line="240" w:lineRule="auto"/>
        <w:rPr>
          <w:rFonts w:ascii="Times New Roman" w:hAnsi="Times New Roman" w:cs="Times New Roman"/>
          <w:sz w:val="24"/>
          <w:szCs w:val="24"/>
        </w:rPr>
      </w:pPr>
    </w:p>
    <w:p w14:paraId="26158B78" w14:textId="77777777" w:rsidR="00F57F13" w:rsidRDefault="00F57F13" w:rsidP="00AD60D7">
      <w:pPr>
        <w:spacing w:after="0" w:line="240" w:lineRule="auto"/>
        <w:jc w:val="right"/>
        <w:rPr>
          <w:rFonts w:ascii="Times New Roman" w:hAnsi="Times New Roman" w:cs="Times New Roman"/>
          <w:sz w:val="24"/>
          <w:szCs w:val="24"/>
        </w:rPr>
        <w:sectPr w:rsidR="00F57F13" w:rsidSect="00CE06D1">
          <w:headerReference w:type="default" r:id="rId11"/>
          <w:pgSz w:w="11906" w:h="16838" w:code="9"/>
          <w:pgMar w:top="1134" w:right="1134" w:bottom="1134" w:left="1701" w:header="708" w:footer="708" w:gutter="0"/>
          <w:cols w:space="708"/>
          <w:titlePg/>
          <w:docGrid w:linePitch="360"/>
        </w:sectPr>
      </w:pPr>
    </w:p>
    <w:p w14:paraId="5819BD01" w14:textId="77777777" w:rsidR="00F57F13" w:rsidRPr="00117AEB" w:rsidRDefault="00F57F13" w:rsidP="00AD60D7">
      <w:pPr>
        <w:spacing w:after="0" w:line="240" w:lineRule="auto"/>
        <w:jc w:val="right"/>
        <w:rPr>
          <w:rFonts w:ascii="Times New Roman" w:hAnsi="Times New Roman" w:cs="Times New Roman"/>
          <w:sz w:val="24"/>
          <w:szCs w:val="24"/>
        </w:rPr>
      </w:pPr>
      <w:r w:rsidRPr="00117AEB">
        <w:rPr>
          <w:rFonts w:ascii="Times New Roman" w:hAnsi="Times New Roman" w:cs="Times New Roman"/>
          <w:sz w:val="24"/>
          <w:szCs w:val="24"/>
        </w:rPr>
        <w:lastRenderedPageBreak/>
        <w:t>Pielikums</w:t>
      </w:r>
    </w:p>
    <w:p w14:paraId="6E74AB39" w14:textId="77777777" w:rsidR="00F57F13" w:rsidRPr="00117AEB" w:rsidRDefault="00F57F13" w:rsidP="00AD60D7">
      <w:pPr>
        <w:spacing w:after="0" w:line="240" w:lineRule="auto"/>
        <w:jc w:val="right"/>
        <w:rPr>
          <w:rFonts w:ascii="Times New Roman" w:hAnsi="Times New Roman" w:cs="Times New Roman"/>
          <w:sz w:val="24"/>
          <w:szCs w:val="24"/>
        </w:rPr>
      </w:pPr>
      <w:r w:rsidRPr="00117AEB">
        <w:rPr>
          <w:rFonts w:ascii="Times New Roman" w:hAnsi="Times New Roman" w:cs="Times New Roman"/>
          <w:sz w:val="24"/>
          <w:szCs w:val="24"/>
        </w:rPr>
        <w:t>Latvijas Bankas noteikumu projekta anotācijai</w:t>
      </w:r>
    </w:p>
    <w:p w14:paraId="0CD9A98A" w14:textId="77777777" w:rsidR="00F57F13" w:rsidRPr="00117AEB" w:rsidRDefault="00F57F13" w:rsidP="00AD60D7">
      <w:pPr>
        <w:spacing w:after="0" w:line="240" w:lineRule="auto"/>
        <w:jc w:val="right"/>
        <w:rPr>
          <w:rFonts w:ascii="Times New Roman" w:hAnsi="Times New Roman" w:cs="Times New Roman"/>
          <w:sz w:val="24"/>
          <w:szCs w:val="24"/>
        </w:rPr>
      </w:pPr>
    </w:p>
    <w:p w14:paraId="1549C21E" w14:textId="77777777" w:rsidR="00F57F13" w:rsidRPr="00117AEB" w:rsidRDefault="00F57F13" w:rsidP="00AD60D7">
      <w:pPr>
        <w:spacing w:after="0" w:line="240" w:lineRule="auto"/>
        <w:jc w:val="right"/>
        <w:rPr>
          <w:rFonts w:ascii="Times New Roman" w:hAnsi="Times New Roman" w:cs="Times New Roman"/>
          <w:sz w:val="24"/>
          <w:szCs w:val="24"/>
        </w:rPr>
      </w:pPr>
    </w:p>
    <w:p w14:paraId="49A8A81A" w14:textId="77777777" w:rsidR="00F57F13" w:rsidRPr="00117AEB" w:rsidRDefault="00F57F13" w:rsidP="00AD60D7">
      <w:pPr>
        <w:spacing w:after="0" w:line="240" w:lineRule="auto"/>
        <w:jc w:val="center"/>
        <w:rPr>
          <w:rFonts w:ascii="Times New Roman" w:hAnsi="Times New Roman" w:cs="Times New Roman"/>
          <w:b/>
          <w:sz w:val="24"/>
          <w:szCs w:val="24"/>
        </w:rPr>
      </w:pPr>
      <w:r w:rsidRPr="00117AEB">
        <w:rPr>
          <w:rFonts w:ascii="Times New Roman" w:hAnsi="Times New Roman" w:cs="Times New Roman"/>
          <w:b/>
          <w:sz w:val="24"/>
          <w:szCs w:val="24"/>
        </w:rPr>
        <w:t>Eiropas Savienības tiesību aktu pārņemšanas/ieviešanas tabula</w:t>
      </w:r>
    </w:p>
    <w:p w14:paraId="6645D7EB" w14:textId="77777777" w:rsidR="00F57F13" w:rsidRPr="00117AEB" w:rsidRDefault="00F57F13" w:rsidP="00AD60D7">
      <w:pPr>
        <w:spacing w:after="0" w:line="240" w:lineRule="auto"/>
        <w:rPr>
          <w:rFonts w:ascii="Times New Roman" w:hAnsi="Times New Roman" w:cs="Times New Roman"/>
          <w:b/>
          <w:sz w:val="24"/>
          <w:szCs w:val="24"/>
        </w:rPr>
      </w:pPr>
    </w:p>
    <w:p w14:paraId="2079307C" w14:textId="5EA9E239" w:rsidR="00F57F13" w:rsidRPr="00117AEB" w:rsidRDefault="00F57F13" w:rsidP="00AD60D7">
      <w:pPr>
        <w:spacing w:after="0" w:line="240" w:lineRule="auto"/>
        <w:jc w:val="both"/>
        <w:rPr>
          <w:rFonts w:ascii="Times New Roman" w:hAnsi="Times New Roman" w:cs="Times New Roman"/>
          <w:b/>
          <w:sz w:val="24"/>
          <w:szCs w:val="24"/>
        </w:rPr>
      </w:pPr>
      <w:r w:rsidRPr="00117AEB">
        <w:rPr>
          <w:rFonts w:ascii="Times New Roman" w:hAnsi="Times New Roman" w:cs="Times New Roman"/>
          <w:b/>
          <w:sz w:val="24"/>
          <w:szCs w:val="24"/>
        </w:rPr>
        <w:t>Latvijas Bankas noteikumu projekta nosaukums:</w:t>
      </w:r>
      <w:r w:rsidRPr="00117AEB">
        <w:rPr>
          <w:rFonts w:ascii="Times New Roman" w:hAnsi="Times New Roman" w:cs="Times New Roman"/>
          <w:bCs/>
          <w:sz w:val="24"/>
          <w:szCs w:val="24"/>
        </w:rPr>
        <w:t xml:space="preserve"> </w:t>
      </w:r>
      <w:r>
        <w:rPr>
          <w:rFonts w:ascii="Times New Roman" w:hAnsi="Times New Roman" w:cs="Times New Roman"/>
          <w:bCs/>
          <w:sz w:val="24"/>
          <w:szCs w:val="24"/>
        </w:rPr>
        <w:t>"</w:t>
      </w:r>
      <w:r w:rsidR="0038656D">
        <w:rPr>
          <w:rFonts w:ascii="Times New Roman" w:eastAsia="Times New Roman" w:hAnsi="Times New Roman" w:cs="Times New Roman"/>
          <w:sz w:val="24"/>
          <w:szCs w:val="24"/>
          <w:lang w:eastAsia="lv-LV"/>
        </w:rPr>
        <w:t>P</w:t>
      </w:r>
      <w:r w:rsidRPr="00CD45B1">
        <w:rPr>
          <w:rFonts w:ascii="Times New Roman" w:eastAsia="Times New Roman" w:hAnsi="Times New Roman" w:cs="Times New Roman"/>
          <w:sz w:val="24"/>
          <w:szCs w:val="24"/>
          <w:lang w:eastAsia="lv-LV"/>
        </w:rPr>
        <w:t>rasīb</w:t>
      </w:r>
      <w:r w:rsidR="0038656D">
        <w:rPr>
          <w:rFonts w:ascii="Times New Roman" w:eastAsia="Times New Roman" w:hAnsi="Times New Roman" w:cs="Times New Roman"/>
          <w:sz w:val="24"/>
          <w:szCs w:val="24"/>
          <w:lang w:eastAsia="lv-LV"/>
        </w:rPr>
        <w:t>as</w:t>
      </w:r>
      <w:r w:rsidRPr="00CD45B1">
        <w:rPr>
          <w:rFonts w:ascii="Times New Roman" w:eastAsia="Times New Roman" w:hAnsi="Times New Roman" w:cs="Times New Roman"/>
          <w:sz w:val="24"/>
          <w:szCs w:val="24"/>
          <w:lang w:eastAsia="lv-LV"/>
        </w:rPr>
        <w:t xml:space="preserve"> </w:t>
      </w:r>
      <w:r w:rsidRPr="00266416">
        <w:rPr>
          <w:rFonts w:ascii="Times New Roman" w:eastAsia="Times New Roman" w:hAnsi="Times New Roman" w:cs="Times New Roman"/>
          <w:sz w:val="24"/>
          <w:szCs w:val="24"/>
          <w:lang w:eastAsia="lv-LV"/>
        </w:rPr>
        <w:t>noregulējamības novērtējumam un uzlabošanai</w:t>
      </w:r>
      <w:r w:rsidRPr="00266416">
        <w:rPr>
          <w:rFonts w:ascii="Times New Roman" w:hAnsi="Times New Roman" w:cs="Times New Roman"/>
          <w:bCs/>
          <w:sz w:val="24"/>
          <w:szCs w:val="24"/>
        </w:rPr>
        <w:t>" (turpmāk</w:t>
      </w:r>
      <w:r>
        <w:rPr>
          <w:rFonts w:ascii="Times New Roman" w:hAnsi="Times New Roman" w:cs="Times New Roman"/>
          <w:bCs/>
          <w:sz w:val="24"/>
          <w:szCs w:val="24"/>
        </w:rPr>
        <w:t> </w:t>
      </w:r>
      <w:r w:rsidRPr="00117AEB">
        <w:rPr>
          <w:rFonts w:ascii="Times New Roman" w:hAnsi="Times New Roman" w:cs="Times New Roman"/>
          <w:bCs/>
          <w:sz w:val="24"/>
          <w:szCs w:val="24"/>
        </w:rPr>
        <w:t>–</w:t>
      </w:r>
      <w:r w:rsidR="00A06C18">
        <w:rPr>
          <w:rFonts w:ascii="Times New Roman" w:hAnsi="Times New Roman" w:cs="Times New Roman"/>
          <w:bCs/>
          <w:sz w:val="24"/>
          <w:szCs w:val="24"/>
        </w:rPr>
        <w:t xml:space="preserve"> </w:t>
      </w:r>
      <w:r w:rsidRPr="00117AEB">
        <w:rPr>
          <w:rFonts w:ascii="Times New Roman" w:hAnsi="Times New Roman" w:cs="Times New Roman"/>
          <w:bCs/>
          <w:sz w:val="24"/>
          <w:szCs w:val="24"/>
        </w:rPr>
        <w:t>projekts)</w:t>
      </w:r>
    </w:p>
    <w:p w14:paraId="6445BDEA" w14:textId="77777777" w:rsidR="00F57F13" w:rsidRPr="00117AEB" w:rsidRDefault="00F57F13" w:rsidP="00AD60D7">
      <w:pPr>
        <w:spacing w:after="0" w:line="240" w:lineRule="auto"/>
        <w:rPr>
          <w:rFonts w:ascii="Times New Roman" w:hAnsi="Times New Roman" w:cs="Times New Roman"/>
          <w:b/>
          <w:sz w:val="24"/>
          <w:szCs w:val="24"/>
        </w:rPr>
      </w:pPr>
    </w:p>
    <w:p w14:paraId="016412E8" w14:textId="77777777" w:rsidR="00250E7D" w:rsidRDefault="00F57F13" w:rsidP="00AD60D7">
      <w:pPr>
        <w:spacing w:after="0" w:line="240" w:lineRule="auto"/>
        <w:jc w:val="both"/>
        <w:rPr>
          <w:rFonts w:ascii="Times New Roman" w:hAnsi="Times New Roman" w:cs="Times New Roman"/>
          <w:bCs/>
          <w:sz w:val="24"/>
          <w:szCs w:val="24"/>
        </w:rPr>
      </w:pPr>
      <w:r w:rsidRPr="00117AEB">
        <w:rPr>
          <w:rFonts w:ascii="Times New Roman" w:hAnsi="Times New Roman" w:cs="Times New Roman"/>
          <w:b/>
          <w:sz w:val="24"/>
          <w:szCs w:val="24"/>
        </w:rPr>
        <w:t>Eiropas Savienības tiesību akta nosaukums:</w:t>
      </w:r>
      <w:r w:rsidRPr="00117AEB">
        <w:rPr>
          <w:rFonts w:ascii="Times New Roman" w:hAnsi="Times New Roman" w:cs="Times New Roman"/>
          <w:bCs/>
          <w:sz w:val="24"/>
          <w:szCs w:val="24"/>
        </w:rPr>
        <w:t xml:space="preserve"> </w:t>
      </w:r>
    </w:p>
    <w:p w14:paraId="57952436" w14:textId="19DD6A69" w:rsidR="00F57F13" w:rsidRDefault="00F57F13" w:rsidP="00250E7D">
      <w:pPr>
        <w:pStyle w:val="ListParagraph"/>
        <w:numPr>
          <w:ilvl w:val="0"/>
          <w:numId w:val="5"/>
        </w:numPr>
        <w:spacing w:after="0" w:line="240" w:lineRule="auto"/>
        <w:jc w:val="both"/>
        <w:rPr>
          <w:rFonts w:ascii="Times New Roman" w:hAnsi="Times New Roman" w:cs="Times New Roman"/>
          <w:bCs/>
          <w:sz w:val="24"/>
          <w:szCs w:val="24"/>
        </w:rPr>
      </w:pPr>
      <w:r w:rsidRPr="00E66B46">
        <w:rPr>
          <w:rFonts w:ascii="Times New Roman" w:hAnsi="Times New Roman" w:cs="Times New Roman"/>
          <w:bCs/>
          <w:sz w:val="24"/>
          <w:szCs w:val="24"/>
        </w:rPr>
        <w:t>Eiropas Parlamenta un Padomes 2014.</w:t>
      </w:r>
      <w:r w:rsidR="00A06C18" w:rsidRPr="00E66B46">
        <w:rPr>
          <w:rFonts w:ascii="Times New Roman" w:hAnsi="Times New Roman" w:cs="Times New Roman"/>
          <w:bCs/>
          <w:sz w:val="24"/>
          <w:szCs w:val="24"/>
        </w:rPr>
        <w:t> </w:t>
      </w:r>
      <w:r w:rsidRPr="00E66B46">
        <w:rPr>
          <w:rFonts w:ascii="Times New Roman" w:hAnsi="Times New Roman" w:cs="Times New Roman"/>
          <w:bCs/>
          <w:sz w:val="24"/>
          <w:szCs w:val="24"/>
        </w:rPr>
        <w:t>gada 15.</w:t>
      </w:r>
      <w:r w:rsidR="00A06C18" w:rsidRPr="00E66B46">
        <w:rPr>
          <w:rFonts w:ascii="Times New Roman" w:hAnsi="Times New Roman" w:cs="Times New Roman"/>
          <w:bCs/>
          <w:sz w:val="24"/>
          <w:szCs w:val="24"/>
        </w:rPr>
        <w:t> </w:t>
      </w:r>
      <w:r w:rsidRPr="00E66B46">
        <w:rPr>
          <w:rFonts w:ascii="Times New Roman" w:hAnsi="Times New Roman" w:cs="Times New Roman"/>
          <w:bCs/>
          <w:sz w:val="24"/>
          <w:szCs w:val="24"/>
        </w:rPr>
        <w:t>maija direktīva</w:t>
      </w:r>
      <w:r w:rsidR="00A63104" w:rsidRPr="00E66B46">
        <w:rPr>
          <w:rFonts w:ascii="Times New Roman" w:hAnsi="Times New Roman" w:cs="Times New Roman"/>
          <w:bCs/>
          <w:sz w:val="24"/>
          <w:szCs w:val="24"/>
        </w:rPr>
        <w:t> </w:t>
      </w:r>
      <w:r w:rsidRPr="00E66B46">
        <w:rPr>
          <w:rFonts w:ascii="Times New Roman" w:hAnsi="Times New Roman" w:cs="Times New Roman"/>
          <w:bCs/>
          <w:sz w:val="24"/>
          <w:szCs w:val="24"/>
        </w:rPr>
        <w:t>2014/59/ES, ar ko izveido kredītiestāžu un ieguldījumu brokeru sabiedrību atveseļošanas un noregulējuma režīmu un groza Padomes direktīvu</w:t>
      </w:r>
      <w:r w:rsidR="00A63104" w:rsidRPr="00E66B46">
        <w:rPr>
          <w:rFonts w:ascii="Times New Roman" w:hAnsi="Times New Roman" w:cs="Times New Roman"/>
          <w:bCs/>
          <w:sz w:val="24"/>
          <w:szCs w:val="24"/>
        </w:rPr>
        <w:t> </w:t>
      </w:r>
      <w:r w:rsidRPr="00E66B46">
        <w:rPr>
          <w:rFonts w:ascii="Times New Roman" w:hAnsi="Times New Roman" w:cs="Times New Roman"/>
          <w:bCs/>
          <w:sz w:val="24"/>
          <w:szCs w:val="24"/>
        </w:rPr>
        <w:t xml:space="preserve">82/891/EEK un Eiropas Parlamenta un Padomes </w:t>
      </w:r>
      <w:r w:rsidR="00A63104" w:rsidRPr="00E66B46">
        <w:rPr>
          <w:rFonts w:ascii="Times New Roman" w:hAnsi="Times New Roman" w:cs="Times New Roman"/>
          <w:bCs/>
          <w:sz w:val="24"/>
          <w:szCs w:val="24"/>
        </w:rPr>
        <w:t>direktīvas </w:t>
      </w:r>
      <w:r w:rsidRPr="00E66B46">
        <w:rPr>
          <w:rFonts w:ascii="Times New Roman" w:hAnsi="Times New Roman" w:cs="Times New Roman"/>
          <w:bCs/>
          <w:sz w:val="24"/>
          <w:szCs w:val="24"/>
        </w:rPr>
        <w:t>2001/24/EK, 2002/47/EK, 2004/25/EK, 2005/56/EK, 2007/36/EK, 2011/35/ES, 2012/30/ES un 2013/36/ES, un Eiropas Parlamenta un Padomes regulas (ES) Nr.</w:t>
      </w:r>
      <w:r w:rsidR="00A06C18" w:rsidRPr="00E66B46">
        <w:rPr>
          <w:rFonts w:ascii="Times New Roman" w:hAnsi="Times New Roman" w:cs="Times New Roman"/>
          <w:bCs/>
          <w:sz w:val="24"/>
          <w:szCs w:val="24"/>
        </w:rPr>
        <w:t> </w:t>
      </w:r>
      <w:r w:rsidRPr="00E66B46">
        <w:rPr>
          <w:rFonts w:ascii="Times New Roman" w:hAnsi="Times New Roman" w:cs="Times New Roman"/>
          <w:bCs/>
          <w:sz w:val="24"/>
          <w:szCs w:val="24"/>
        </w:rPr>
        <w:t>1093/2010 un (ES) Nr.</w:t>
      </w:r>
      <w:r w:rsidR="00A06C18" w:rsidRPr="00E66B46">
        <w:rPr>
          <w:rFonts w:ascii="Times New Roman" w:hAnsi="Times New Roman" w:cs="Times New Roman"/>
          <w:bCs/>
          <w:sz w:val="24"/>
          <w:szCs w:val="24"/>
        </w:rPr>
        <w:t> </w:t>
      </w:r>
      <w:r w:rsidRPr="00E66B46">
        <w:rPr>
          <w:rFonts w:ascii="Times New Roman" w:hAnsi="Times New Roman" w:cs="Times New Roman"/>
          <w:bCs/>
          <w:sz w:val="24"/>
          <w:szCs w:val="24"/>
        </w:rPr>
        <w:t>648/2012 (turpmāk</w:t>
      </w:r>
      <w:r w:rsidR="00A06C18" w:rsidRPr="00E66B46">
        <w:rPr>
          <w:rFonts w:ascii="Times New Roman" w:hAnsi="Times New Roman" w:cs="Times New Roman"/>
          <w:bCs/>
          <w:sz w:val="24"/>
          <w:szCs w:val="24"/>
        </w:rPr>
        <w:t> </w:t>
      </w:r>
      <w:r w:rsidRPr="00E66B46">
        <w:rPr>
          <w:rFonts w:ascii="Times New Roman" w:hAnsi="Times New Roman" w:cs="Times New Roman"/>
          <w:bCs/>
          <w:sz w:val="24"/>
          <w:szCs w:val="24"/>
        </w:rPr>
        <w:t>– Direktīva</w:t>
      </w:r>
      <w:r w:rsidR="00A63104" w:rsidRPr="00E66B46">
        <w:rPr>
          <w:rFonts w:ascii="Times New Roman" w:hAnsi="Times New Roman" w:cs="Times New Roman"/>
          <w:bCs/>
          <w:sz w:val="24"/>
          <w:szCs w:val="24"/>
        </w:rPr>
        <w:t> </w:t>
      </w:r>
      <w:r w:rsidRPr="00E66B46">
        <w:rPr>
          <w:rFonts w:ascii="Times New Roman" w:hAnsi="Times New Roman" w:cs="Times New Roman"/>
          <w:bCs/>
          <w:sz w:val="24"/>
          <w:szCs w:val="24"/>
        </w:rPr>
        <w:t>2014/59/ES)</w:t>
      </w:r>
      <w:r w:rsidR="00250E7D">
        <w:rPr>
          <w:rFonts w:ascii="Times New Roman" w:hAnsi="Times New Roman" w:cs="Times New Roman"/>
          <w:bCs/>
          <w:sz w:val="24"/>
          <w:szCs w:val="24"/>
        </w:rPr>
        <w:t>;</w:t>
      </w:r>
    </w:p>
    <w:p w14:paraId="5117E944" w14:textId="5E5182F2" w:rsidR="00250E7D" w:rsidRPr="00E66B46" w:rsidRDefault="00250E7D" w:rsidP="00E66B46">
      <w:pPr>
        <w:pStyle w:val="ListParagraph"/>
        <w:numPr>
          <w:ilvl w:val="0"/>
          <w:numId w:val="5"/>
        </w:numPr>
        <w:spacing w:after="0" w:line="240" w:lineRule="auto"/>
        <w:jc w:val="both"/>
        <w:rPr>
          <w:rFonts w:ascii="Times New Roman" w:hAnsi="Times New Roman" w:cs="Times New Roman"/>
          <w:bCs/>
          <w:sz w:val="24"/>
          <w:szCs w:val="24"/>
        </w:rPr>
      </w:pPr>
      <w:r w:rsidRPr="00250E7D">
        <w:rPr>
          <w:rFonts w:ascii="Times New Roman" w:hAnsi="Times New Roman" w:cs="Times New Roman"/>
          <w:bCs/>
          <w:sz w:val="24"/>
          <w:szCs w:val="24"/>
        </w:rPr>
        <w:t>Eiropas Parlamenta un Padomes 2019.</w:t>
      </w:r>
      <w:r w:rsidR="00EE78A0">
        <w:rPr>
          <w:rFonts w:ascii="Times New Roman" w:hAnsi="Times New Roman" w:cs="Times New Roman"/>
          <w:bCs/>
          <w:sz w:val="24"/>
          <w:szCs w:val="24"/>
        </w:rPr>
        <w:t> </w:t>
      </w:r>
      <w:r w:rsidRPr="00250E7D">
        <w:rPr>
          <w:rFonts w:ascii="Times New Roman" w:hAnsi="Times New Roman" w:cs="Times New Roman"/>
          <w:bCs/>
          <w:sz w:val="24"/>
          <w:szCs w:val="24"/>
        </w:rPr>
        <w:t>gada 20.</w:t>
      </w:r>
      <w:r w:rsidR="00EE78A0">
        <w:rPr>
          <w:rFonts w:ascii="Times New Roman" w:hAnsi="Times New Roman" w:cs="Times New Roman"/>
          <w:bCs/>
          <w:sz w:val="24"/>
          <w:szCs w:val="24"/>
        </w:rPr>
        <w:t> </w:t>
      </w:r>
      <w:r w:rsidRPr="00250E7D">
        <w:rPr>
          <w:rFonts w:ascii="Times New Roman" w:hAnsi="Times New Roman" w:cs="Times New Roman"/>
          <w:bCs/>
          <w:sz w:val="24"/>
          <w:szCs w:val="24"/>
        </w:rPr>
        <w:t>maija direktīva</w:t>
      </w:r>
      <w:r w:rsidR="00EE78A0">
        <w:rPr>
          <w:rFonts w:ascii="Times New Roman" w:hAnsi="Times New Roman" w:cs="Times New Roman"/>
          <w:bCs/>
          <w:sz w:val="24"/>
          <w:szCs w:val="24"/>
        </w:rPr>
        <w:t xml:space="preserve"> (ES)</w:t>
      </w:r>
      <w:r w:rsidRPr="00250E7D">
        <w:rPr>
          <w:rFonts w:ascii="Times New Roman" w:hAnsi="Times New Roman" w:cs="Times New Roman"/>
          <w:bCs/>
          <w:sz w:val="24"/>
          <w:szCs w:val="24"/>
        </w:rPr>
        <w:t xml:space="preserve"> 2019/879</w:t>
      </w:r>
      <w:r w:rsidR="00095B6A">
        <w:rPr>
          <w:rFonts w:ascii="Times New Roman" w:hAnsi="Times New Roman" w:cs="Times New Roman"/>
          <w:bCs/>
          <w:sz w:val="24"/>
          <w:szCs w:val="24"/>
        </w:rPr>
        <w:t>,</w:t>
      </w:r>
      <w:r w:rsidRPr="00250E7D">
        <w:rPr>
          <w:rFonts w:ascii="Times New Roman" w:hAnsi="Times New Roman" w:cs="Times New Roman"/>
          <w:bCs/>
          <w:sz w:val="24"/>
          <w:szCs w:val="24"/>
        </w:rPr>
        <w:t xml:space="preserve"> ar ko groza </w:t>
      </w:r>
      <w:r w:rsidR="00EE78A0">
        <w:rPr>
          <w:rFonts w:ascii="Times New Roman" w:hAnsi="Times New Roman" w:cs="Times New Roman"/>
          <w:bCs/>
          <w:sz w:val="24"/>
          <w:szCs w:val="24"/>
        </w:rPr>
        <w:t>d</w:t>
      </w:r>
      <w:r w:rsidRPr="00250E7D">
        <w:rPr>
          <w:rFonts w:ascii="Times New Roman" w:hAnsi="Times New Roman" w:cs="Times New Roman"/>
          <w:bCs/>
          <w:sz w:val="24"/>
          <w:szCs w:val="24"/>
        </w:rPr>
        <w:t xml:space="preserve">irektīvu 2014/59/ES attiecībā uz zaudējumu absorbcijas un rekapitalizācijas spēju kredītiestādēm un ieguldījumu brokeru sabiedrībām un </w:t>
      </w:r>
      <w:r w:rsidR="00EE78A0">
        <w:rPr>
          <w:rFonts w:ascii="Times New Roman" w:hAnsi="Times New Roman" w:cs="Times New Roman"/>
          <w:bCs/>
          <w:sz w:val="24"/>
          <w:szCs w:val="24"/>
        </w:rPr>
        <w:t>d</w:t>
      </w:r>
      <w:r w:rsidRPr="00250E7D">
        <w:rPr>
          <w:rFonts w:ascii="Times New Roman" w:hAnsi="Times New Roman" w:cs="Times New Roman"/>
          <w:bCs/>
          <w:sz w:val="24"/>
          <w:szCs w:val="24"/>
        </w:rPr>
        <w:t>irektīvu 98/26/EK</w:t>
      </w:r>
      <w:r>
        <w:rPr>
          <w:rFonts w:ascii="Times New Roman" w:hAnsi="Times New Roman" w:cs="Times New Roman"/>
          <w:bCs/>
          <w:sz w:val="24"/>
          <w:szCs w:val="24"/>
        </w:rPr>
        <w:t xml:space="preserve"> </w:t>
      </w:r>
      <w:r w:rsidRPr="00250E7D">
        <w:rPr>
          <w:rFonts w:ascii="Times New Roman" w:hAnsi="Times New Roman" w:cs="Times New Roman"/>
          <w:bCs/>
          <w:sz w:val="24"/>
          <w:szCs w:val="24"/>
        </w:rPr>
        <w:t>(turpmāk</w:t>
      </w:r>
      <w:r w:rsidR="00EE78A0">
        <w:rPr>
          <w:rFonts w:ascii="Times New Roman" w:hAnsi="Times New Roman" w:cs="Times New Roman"/>
          <w:bCs/>
          <w:sz w:val="24"/>
          <w:szCs w:val="24"/>
        </w:rPr>
        <w:t> </w:t>
      </w:r>
      <w:r w:rsidRPr="00250E7D">
        <w:rPr>
          <w:rFonts w:ascii="Times New Roman" w:hAnsi="Times New Roman" w:cs="Times New Roman"/>
          <w:bCs/>
          <w:sz w:val="24"/>
          <w:szCs w:val="24"/>
        </w:rPr>
        <w:t>– Direktīva 201</w:t>
      </w:r>
      <w:r>
        <w:rPr>
          <w:rFonts w:ascii="Times New Roman" w:hAnsi="Times New Roman" w:cs="Times New Roman"/>
          <w:bCs/>
          <w:sz w:val="24"/>
          <w:szCs w:val="24"/>
        </w:rPr>
        <w:t>9</w:t>
      </w:r>
      <w:r w:rsidRPr="00250E7D">
        <w:rPr>
          <w:rFonts w:ascii="Times New Roman" w:hAnsi="Times New Roman" w:cs="Times New Roman"/>
          <w:bCs/>
          <w:sz w:val="24"/>
          <w:szCs w:val="24"/>
        </w:rPr>
        <w:t>/</w:t>
      </w:r>
      <w:r>
        <w:rPr>
          <w:rFonts w:ascii="Times New Roman" w:hAnsi="Times New Roman" w:cs="Times New Roman"/>
          <w:bCs/>
          <w:sz w:val="24"/>
          <w:szCs w:val="24"/>
        </w:rPr>
        <w:t>87</w:t>
      </w:r>
      <w:r w:rsidRPr="00250E7D">
        <w:rPr>
          <w:rFonts w:ascii="Times New Roman" w:hAnsi="Times New Roman" w:cs="Times New Roman"/>
          <w:bCs/>
          <w:sz w:val="24"/>
          <w:szCs w:val="24"/>
        </w:rPr>
        <w:t>9)</w:t>
      </w:r>
    </w:p>
    <w:p w14:paraId="1CE28F0B" w14:textId="77777777" w:rsidR="005032FF" w:rsidRDefault="005032FF" w:rsidP="00AD60D7">
      <w:pPr>
        <w:spacing w:after="0" w:line="240" w:lineRule="auto"/>
        <w:jc w:val="both"/>
        <w:rPr>
          <w:rFonts w:ascii="Times New Roman" w:hAnsi="Times New Roman" w:cs="Times New Roman"/>
          <w:bCs/>
          <w:sz w:val="24"/>
          <w:szCs w:val="24"/>
        </w:rPr>
      </w:pPr>
    </w:p>
    <w:tbl>
      <w:tblPr>
        <w:tblStyle w:val="TableGrid"/>
        <w:tblW w:w="14486" w:type="dxa"/>
        <w:tblLook w:val="04A0" w:firstRow="1" w:lastRow="0" w:firstColumn="1" w:lastColumn="0" w:noHBand="0" w:noVBand="1"/>
      </w:tblPr>
      <w:tblGrid>
        <w:gridCol w:w="2438"/>
        <w:gridCol w:w="2438"/>
        <w:gridCol w:w="2438"/>
        <w:gridCol w:w="2179"/>
        <w:gridCol w:w="1984"/>
        <w:gridCol w:w="3009"/>
      </w:tblGrid>
      <w:tr w:rsidR="00A63104" w:rsidRPr="00A63104" w14:paraId="2FEC93E3" w14:textId="77777777" w:rsidTr="000C694B">
        <w:tc>
          <w:tcPr>
            <w:tcW w:w="2438" w:type="dxa"/>
          </w:tcPr>
          <w:p w14:paraId="0F9B14D2" w14:textId="77777777" w:rsidR="00F57F13" w:rsidRPr="00A63104" w:rsidRDefault="00F57F13" w:rsidP="00AD60D7">
            <w:pPr>
              <w:jc w:val="center"/>
              <w:rPr>
                <w:color w:val="auto"/>
                <w:sz w:val="22"/>
                <w:szCs w:val="22"/>
              </w:rPr>
            </w:pPr>
            <w:r w:rsidRPr="00A63104">
              <w:rPr>
                <w:b/>
                <w:bCs/>
                <w:color w:val="auto"/>
                <w:sz w:val="22"/>
                <w:szCs w:val="22"/>
              </w:rPr>
              <w:t xml:space="preserve">Eiropas Savienības tiesību akta pants, punkts vai apakšpunkts, kurā paredzētās prasības Latvijā jāizpilda </w:t>
            </w:r>
            <w:r w:rsidRPr="00A63104">
              <w:rPr>
                <w:i/>
                <w:iCs/>
                <w:color w:val="auto"/>
                <w:sz w:val="22"/>
                <w:szCs w:val="22"/>
              </w:rPr>
              <w:t>(Norāda pēc iespējas konkrētāku teksta vienību)</w:t>
            </w:r>
          </w:p>
        </w:tc>
        <w:tc>
          <w:tcPr>
            <w:tcW w:w="2438" w:type="dxa"/>
          </w:tcPr>
          <w:p w14:paraId="4B7A70AA" w14:textId="77777777" w:rsidR="00F57F13" w:rsidRPr="00A63104" w:rsidRDefault="00F57F13" w:rsidP="00AD60D7">
            <w:pPr>
              <w:jc w:val="center"/>
              <w:rPr>
                <w:b/>
                <w:bCs/>
                <w:color w:val="auto"/>
                <w:sz w:val="22"/>
                <w:szCs w:val="22"/>
              </w:rPr>
            </w:pPr>
            <w:r w:rsidRPr="00A63104">
              <w:rPr>
                <w:b/>
                <w:bCs/>
                <w:color w:val="auto"/>
                <w:sz w:val="22"/>
                <w:szCs w:val="22"/>
              </w:rPr>
              <w:t>Projekta punkts vai apakšpunkts, kas izpilda A ailē minēto prasību</w:t>
            </w:r>
          </w:p>
          <w:p w14:paraId="33410253" w14:textId="77777777" w:rsidR="00F57F13" w:rsidRPr="00A63104" w:rsidRDefault="00F57F13" w:rsidP="00AD60D7">
            <w:pPr>
              <w:jc w:val="center"/>
              <w:rPr>
                <w:b/>
                <w:bCs/>
                <w:color w:val="auto"/>
                <w:sz w:val="22"/>
                <w:szCs w:val="22"/>
              </w:rPr>
            </w:pPr>
            <w:r w:rsidRPr="00A63104">
              <w:rPr>
                <w:i/>
                <w:iCs/>
                <w:color w:val="auto"/>
                <w:sz w:val="22"/>
                <w:szCs w:val="22"/>
              </w:rPr>
              <w:t>(Norāda pēc iespējas konkrētāku teksta vienību)</w:t>
            </w:r>
          </w:p>
        </w:tc>
        <w:tc>
          <w:tcPr>
            <w:tcW w:w="2438" w:type="dxa"/>
          </w:tcPr>
          <w:p w14:paraId="6002F873" w14:textId="77777777" w:rsidR="00F57F13" w:rsidRPr="00A63104" w:rsidRDefault="00F57F13" w:rsidP="00AD60D7">
            <w:pPr>
              <w:jc w:val="center"/>
              <w:rPr>
                <w:b/>
                <w:bCs/>
                <w:color w:val="auto"/>
                <w:sz w:val="22"/>
                <w:szCs w:val="22"/>
              </w:rPr>
            </w:pPr>
            <w:r w:rsidRPr="00A63104">
              <w:rPr>
                <w:b/>
                <w:bCs/>
                <w:color w:val="auto"/>
                <w:sz w:val="22"/>
                <w:szCs w:val="22"/>
              </w:rPr>
              <w:t>Vai A ailē minētā prasība ar B ailē minēto projekta punktu vai apakšpunktu tiek izpildīta pilnībā vai daļēji?</w:t>
            </w:r>
          </w:p>
          <w:p w14:paraId="6D024CDC" w14:textId="77777777" w:rsidR="00F57F13" w:rsidRPr="00A63104" w:rsidRDefault="00F57F13" w:rsidP="00AD60D7">
            <w:pPr>
              <w:jc w:val="center"/>
              <w:rPr>
                <w:b/>
                <w:bCs/>
                <w:color w:val="auto"/>
                <w:sz w:val="22"/>
                <w:szCs w:val="22"/>
              </w:rPr>
            </w:pPr>
            <w:r w:rsidRPr="00A63104">
              <w:rPr>
                <w:i/>
                <w:iCs/>
                <w:color w:val="auto"/>
                <w:sz w:val="22"/>
                <w:szCs w:val="22"/>
              </w:rPr>
              <w:t>(Ja daļēji, norāda, kur un kā ir vai tiks nodrošināta prasības pilnīga izpilde)</w:t>
            </w:r>
          </w:p>
        </w:tc>
        <w:tc>
          <w:tcPr>
            <w:tcW w:w="2179" w:type="dxa"/>
          </w:tcPr>
          <w:p w14:paraId="0C4B8225" w14:textId="77777777" w:rsidR="00F57F13" w:rsidRPr="00A63104" w:rsidRDefault="00F57F13" w:rsidP="00AD60D7">
            <w:pPr>
              <w:jc w:val="center"/>
              <w:rPr>
                <w:b/>
                <w:bCs/>
                <w:color w:val="auto"/>
                <w:sz w:val="22"/>
                <w:szCs w:val="22"/>
              </w:rPr>
            </w:pPr>
            <w:r w:rsidRPr="00A63104">
              <w:rPr>
                <w:b/>
                <w:bCs/>
                <w:color w:val="auto"/>
                <w:sz w:val="22"/>
                <w:szCs w:val="22"/>
              </w:rPr>
              <w:t>Vai B ailē norādītais projekta punkts vai apakšpunkts paredz stingrākas prasības nekā A ailē minētā prasība?</w:t>
            </w:r>
          </w:p>
          <w:p w14:paraId="47CC8069" w14:textId="77777777" w:rsidR="00F57F13" w:rsidRPr="00A63104" w:rsidRDefault="00F57F13" w:rsidP="00AD60D7">
            <w:pPr>
              <w:jc w:val="center"/>
              <w:rPr>
                <w:b/>
                <w:bCs/>
                <w:color w:val="auto"/>
                <w:sz w:val="22"/>
                <w:szCs w:val="22"/>
              </w:rPr>
            </w:pPr>
            <w:r w:rsidRPr="00A63104">
              <w:rPr>
                <w:i/>
                <w:iCs/>
                <w:color w:val="auto"/>
                <w:sz w:val="22"/>
                <w:szCs w:val="22"/>
              </w:rPr>
              <w:t>(Ja paredz stingrākas prasības, norāda pamatojumu šādu stingrāku prasību nepieciešamībai)</w:t>
            </w:r>
          </w:p>
        </w:tc>
        <w:tc>
          <w:tcPr>
            <w:tcW w:w="1984" w:type="dxa"/>
          </w:tcPr>
          <w:p w14:paraId="0B67141D" w14:textId="77777777" w:rsidR="00F57F13" w:rsidRPr="00A63104" w:rsidRDefault="00F57F13" w:rsidP="00AD60D7">
            <w:pPr>
              <w:jc w:val="center"/>
              <w:rPr>
                <w:b/>
                <w:bCs/>
                <w:color w:val="auto"/>
                <w:sz w:val="22"/>
                <w:szCs w:val="22"/>
              </w:rPr>
            </w:pPr>
            <w:r w:rsidRPr="00A63104">
              <w:rPr>
                <w:b/>
                <w:bCs/>
                <w:color w:val="auto"/>
                <w:sz w:val="22"/>
                <w:szCs w:val="22"/>
              </w:rPr>
              <w:t>Vai A ailē minētā prasība ir jāizpilda obligāti?</w:t>
            </w:r>
          </w:p>
          <w:p w14:paraId="0C7B5975" w14:textId="77777777" w:rsidR="00F57F13" w:rsidRPr="00A63104" w:rsidRDefault="00F57F13" w:rsidP="00AD60D7">
            <w:pPr>
              <w:jc w:val="center"/>
              <w:rPr>
                <w:i/>
                <w:iCs/>
                <w:color w:val="auto"/>
                <w:sz w:val="22"/>
                <w:szCs w:val="22"/>
              </w:rPr>
            </w:pPr>
            <w:r w:rsidRPr="00A63104">
              <w:rPr>
                <w:i/>
                <w:iCs/>
                <w:color w:val="auto"/>
                <w:sz w:val="22"/>
                <w:szCs w:val="22"/>
              </w:rPr>
              <w:t>(Ja Eiropas Savienības tiesību akts paredz izvēles iespēju, norāda, vai un kādēļ šī rīcības brīvība Latvijā ir vai nav jāizmanto)</w:t>
            </w:r>
          </w:p>
          <w:p w14:paraId="73238477" w14:textId="77777777" w:rsidR="00F57F13" w:rsidRPr="00A63104" w:rsidRDefault="00F57F13" w:rsidP="00AD60D7">
            <w:pPr>
              <w:jc w:val="center"/>
              <w:rPr>
                <w:b/>
                <w:bCs/>
                <w:color w:val="auto"/>
                <w:sz w:val="22"/>
                <w:szCs w:val="22"/>
              </w:rPr>
            </w:pPr>
          </w:p>
          <w:p w14:paraId="349DB474" w14:textId="77777777" w:rsidR="00F57F13" w:rsidRPr="00A63104" w:rsidRDefault="00F57F13" w:rsidP="00AD60D7">
            <w:pPr>
              <w:jc w:val="center"/>
              <w:rPr>
                <w:b/>
                <w:bCs/>
                <w:color w:val="auto"/>
                <w:sz w:val="22"/>
                <w:szCs w:val="22"/>
              </w:rPr>
            </w:pPr>
          </w:p>
        </w:tc>
        <w:tc>
          <w:tcPr>
            <w:tcW w:w="3009" w:type="dxa"/>
            <w:tcBorders>
              <w:bottom w:val="single" w:sz="4" w:space="0" w:color="auto"/>
            </w:tcBorders>
          </w:tcPr>
          <w:p w14:paraId="21209D49" w14:textId="77777777" w:rsidR="00F57F13" w:rsidRPr="00A63104" w:rsidRDefault="00F57F13" w:rsidP="00AD60D7">
            <w:pPr>
              <w:jc w:val="center"/>
              <w:rPr>
                <w:b/>
                <w:bCs/>
                <w:color w:val="auto"/>
                <w:sz w:val="22"/>
                <w:szCs w:val="22"/>
              </w:rPr>
            </w:pPr>
            <w:r w:rsidRPr="00A63104">
              <w:rPr>
                <w:b/>
                <w:bCs/>
                <w:color w:val="auto"/>
                <w:sz w:val="22"/>
                <w:szCs w:val="22"/>
              </w:rPr>
              <w:t>Vai A ailē minētais Eiropas Savienības tiesību akts paredz dalībvalsts paziņošanas pienākumu Eiropas Savienības institūcijām?</w:t>
            </w:r>
          </w:p>
          <w:p w14:paraId="7B3EB682" w14:textId="77777777" w:rsidR="00F57F13" w:rsidRPr="00A63104" w:rsidRDefault="00F57F13" w:rsidP="00AD60D7">
            <w:pPr>
              <w:jc w:val="center"/>
              <w:rPr>
                <w:b/>
                <w:bCs/>
                <w:color w:val="auto"/>
                <w:sz w:val="22"/>
                <w:szCs w:val="22"/>
              </w:rPr>
            </w:pPr>
            <w:r w:rsidRPr="00A63104">
              <w:rPr>
                <w:i/>
                <w:iCs/>
                <w:color w:val="auto"/>
                <w:sz w:val="22"/>
                <w:szCs w:val="22"/>
              </w:rPr>
              <w:t>(Ja paredz, norāda, kas un kādā termiņā šo paziņošanas pienākumu izpildīs)</w:t>
            </w:r>
          </w:p>
        </w:tc>
      </w:tr>
      <w:tr w:rsidR="00A63104" w:rsidRPr="00A63104" w14:paraId="693E7946" w14:textId="77777777" w:rsidTr="000C694B">
        <w:tc>
          <w:tcPr>
            <w:tcW w:w="2438" w:type="dxa"/>
          </w:tcPr>
          <w:p w14:paraId="21F22C48" w14:textId="77777777" w:rsidR="00F57F13" w:rsidRPr="00A63104" w:rsidRDefault="00F57F13" w:rsidP="00AD60D7">
            <w:pPr>
              <w:jc w:val="center"/>
              <w:rPr>
                <w:color w:val="auto"/>
                <w:sz w:val="22"/>
                <w:szCs w:val="22"/>
              </w:rPr>
            </w:pPr>
            <w:r w:rsidRPr="00A63104">
              <w:rPr>
                <w:color w:val="auto"/>
                <w:sz w:val="22"/>
                <w:szCs w:val="22"/>
              </w:rPr>
              <w:t>A</w:t>
            </w:r>
          </w:p>
        </w:tc>
        <w:tc>
          <w:tcPr>
            <w:tcW w:w="2438" w:type="dxa"/>
          </w:tcPr>
          <w:p w14:paraId="62997E33" w14:textId="77777777" w:rsidR="00F57F13" w:rsidRPr="00A63104" w:rsidRDefault="00F57F13" w:rsidP="00AD60D7">
            <w:pPr>
              <w:jc w:val="center"/>
              <w:rPr>
                <w:color w:val="auto"/>
                <w:sz w:val="22"/>
                <w:szCs w:val="22"/>
              </w:rPr>
            </w:pPr>
            <w:r w:rsidRPr="00A63104">
              <w:rPr>
                <w:color w:val="auto"/>
                <w:sz w:val="22"/>
                <w:szCs w:val="22"/>
              </w:rPr>
              <w:t>B</w:t>
            </w:r>
          </w:p>
        </w:tc>
        <w:tc>
          <w:tcPr>
            <w:tcW w:w="2438" w:type="dxa"/>
          </w:tcPr>
          <w:p w14:paraId="358B65A3" w14:textId="77777777" w:rsidR="00F57F13" w:rsidRPr="00A63104" w:rsidRDefault="00F57F13" w:rsidP="00AD60D7">
            <w:pPr>
              <w:jc w:val="center"/>
              <w:rPr>
                <w:color w:val="auto"/>
                <w:sz w:val="22"/>
                <w:szCs w:val="22"/>
              </w:rPr>
            </w:pPr>
            <w:r w:rsidRPr="00A63104">
              <w:rPr>
                <w:color w:val="auto"/>
                <w:sz w:val="22"/>
                <w:szCs w:val="22"/>
              </w:rPr>
              <w:t>C</w:t>
            </w:r>
          </w:p>
        </w:tc>
        <w:tc>
          <w:tcPr>
            <w:tcW w:w="2179" w:type="dxa"/>
          </w:tcPr>
          <w:p w14:paraId="3FC6E266" w14:textId="77777777" w:rsidR="00F57F13" w:rsidRPr="00A63104" w:rsidRDefault="00F57F13" w:rsidP="00AD60D7">
            <w:pPr>
              <w:jc w:val="center"/>
              <w:rPr>
                <w:color w:val="auto"/>
                <w:sz w:val="22"/>
                <w:szCs w:val="22"/>
              </w:rPr>
            </w:pPr>
            <w:r w:rsidRPr="00A63104">
              <w:rPr>
                <w:color w:val="auto"/>
                <w:sz w:val="22"/>
                <w:szCs w:val="22"/>
              </w:rPr>
              <w:t>D</w:t>
            </w:r>
          </w:p>
        </w:tc>
        <w:tc>
          <w:tcPr>
            <w:tcW w:w="1984" w:type="dxa"/>
          </w:tcPr>
          <w:p w14:paraId="4BE84822" w14:textId="77777777" w:rsidR="00F57F13" w:rsidRPr="00A63104" w:rsidRDefault="00F57F13" w:rsidP="00AD60D7">
            <w:pPr>
              <w:jc w:val="center"/>
              <w:rPr>
                <w:color w:val="auto"/>
                <w:sz w:val="22"/>
                <w:szCs w:val="22"/>
              </w:rPr>
            </w:pPr>
            <w:r w:rsidRPr="00A63104">
              <w:rPr>
                <w:color w:val="auto"/>
                <w:sz w:val="22"/>
                <w:szCs w:val="22"/>
              </w:rPr>
              <w:t>E</w:t>
            </w:r>
          </w:p>
        </w:tc>
        <w:tc>
          <w:tcPr>
            <w:tcW w:w="3009" w:type="dxa"/>
            <w:tcBorders>
              <w:bottom w:val="single" w:sz="4" w:space="0" w:color="auto"/>
            </w:tcBorders>
          </w:tcPr>
          <w:p w14:paraId="29241B77" w14:textId="77777777" w:rsidR="00F57F13" w:rsidRPr="00A63104" w:rsidRDefault="00F57F13" w:rsidP="00AD60D7">
            <w:pPr>
              <w:jc w:val="center"/>
              <w:rPr>
                <w:color w:val="auto"/>
                <w:sz w:val="22"/>
                <w:szCs w:val="22"/>
              </w:rPr>
            </w:pPr>
            <w:r w:rsidRPr="00A63104">
              <w:rPr>
                <w:color w:val="auto"/>
                <w:sz w:val="22"/>
                <w:szCs w:val="22"/>
              </w:rPr>
              <w:t>F</w:t>
            </w:r>
          </w:p>
        </w:tc>
      </w:tr>
      <w:tr w:rsidR="00F57F13" w:rsidRPr="00A63104" w14:paraId="6C0CD7CD" w14:textId="77777777" w:rsidTr="000C694B">
        <w:tc>
          <w:tcPr>
            <w:tcW w:w="2438" w:type="dxa"/>
          </w:tcPr>
          <w:p w14:paraId="1CBF527E" w14:textId="183D7EDB" w:rsidR="00F57F13" w:rsidRPr="00A63104" w:rsidRDefault="00F57F13" w:rsidP="00AD60D7">
            <w:pPr>
              <w:jc w:val="left"/>
              <w:rPr>
                <w:color w:val="auto"/>
                <w:sz w:val="22"/>
                <w:szCs w:val="22"/>
              </w:rPr>
            </w:pPr>
            <w:r w:rsidRPr="00A63104">
              <w:rPr>
                <w:rStyle w:val="cf01"/>
                <w:rFonts w:ascii="Times New Roman" w:hAnsi="Times New Roman" w:cs="Times New Roman"/>
                <w:color w:val="auto"/>
                <w:sz w:val="22"/>
                <w:szCs w:val="22"/>
              </w:rPr>
              <w:t>Direktīvas</w:t>
            </w:r>
            <w:r w:rsidR="00A63104" w:rsidRPr="00A63104">
              <w:rPr>
                <w:rStyle w:val="cf01"/>
                <w:rFonts w:ascii="Times New Roman" w:hAnsi="Times New Roman" w:cs="Times New Roman"/>
                <w:color w:val="auto"/>
                <w:sz w:val="22"/>
                <w:szCs w:val="22"/>
              </w:rPr>
              <w:t> </w:t>
            </w:r>
            <w:r w:rsidRPr="00A63104">
              <w:rPr>
                <w:rStyle w:val="cf01"/>
                <w:rFonts w:ascii="Times New Roman" w:hAnsi="Times New Roman" w:cs="Times New Roman"/>
                <w:color w:val="auto"/>
                <w:sz w:val="22"/>
                <w:szCs w:val="22"/>
              </w:rPr>
              <w:t>2014/59/ES pielikuma B</w:t>
            </w:r>
            <w:r w:rsidR="00A63104">
              <w:rPr>
                <w:rStyle w:val="cf01"/>
                <w:rFonts w:ascii="Times New Roman" w:hAnsi="Times New Roman" w:cs="Times New Roman"/>
                <w:color w:val="auto"/>
                <w:sz w:val="22"/>
                <w:szCs w:val="22"/>
              </w:rPr>
              <w:t> </w:t>
            </w:r>
            <w:r w:rsidRPr="00A63104">
              <w:rPr>
                <w:rStyle w:val="cf01"/>
                <w:rFonts w:ascii="Times New Roman" w:hAnsi="Times New Roman" w:cs="Times New Roman"/>
                <w:color w:val="auto"/>
                <w:sz w:val="22"/>
                <w:szCs w:val="22"/>
              </w:rPr>
              <w:t>iedaļa</w:t>
            </w:r>
          </w:p>
        </w:tc>
        <w:tc>
          <w:tcPr>
            <w:tcW w:w="2438" w:type="dxa"/>
          </w:tcPr>
          <w:p w14:paraId="72CC5A00" w14:textId="2CDA077C" w:rsidR="00F57F13" w:rsidRPr="00A63104" w:rsidRDefault="00F57F13" w:rsidP="00A63104">
            <w:pPr>
              <w:jc w:val="left"/>
              <w:rPr>
                <w:color w:val="auto"/>
                <w:sz w:val="22"/>
                <w:szCs w:val="22"/>
              </w:rPr>
            </w:pPr>
            <w:r w:rsidRPr="00A63104">
              <w:rPr>
                <w:color w:val="auto"/>
                <w:sz w:val="22"/>
                <w:szCs w:val="22"/>
              </w:rPr>
              <w:t xml:space="preserve">Projekta </w:t>
            </w:r>
            <w:r w:rsidR="0038656D" w:rsidRPr="00A63104">
              <w:rPr>
                <w:color w:val="auto"/>
                <w:sz w:val="22"/>
                <w:szCs w:val="22"/>
              </w:rPr>
              <w:t>5</w:t>
            </w:r>
            <w:r w:rsidRPr="00A63104">
              <w:rPr>
                <w:color w:val="auto"/>
                <w:sz w:val="22"/>
                <w:szCs w:val="22"/>
              </w:rPr>
              <w:t>.</w:t>
            </w:r>
            <w:r w:rsidR="00A63104">
              <w:rPr>
                <w:color w:val="auto"/>
                <w:sz w:val="22"/>
                <w:szCs w:val="22"/>
              </w:rPr>
              <w:t> </w:t>
            </w:r>
            <w:r w:rsidRPr="00A63104">
              <w:rPr>
                <w:color w:val="auto"/>
                <w:sz w:val="22"/>
                <w:szCs w:val="22"/>
              </w:rPr>
              <w:t>punkts</w:t>
            </w:r>
          </w:p>
        </w:tc>
        <w:tc>
          <w:tcPr>
            <w:tcW w:w="2438" w:type="dxa"/>
          </w:tcPr>
          <w:p w14:paraId="24A5B4FA" w14:textId="77777777" w:rsidR="00F57F13" w:rsidRPr="00A63104" w:rsidRDefault="00F57F13" w:rsidP="00A63104">
            <w:pPr>
              <w:jc w:val="left"/>
              <w:rPr>
                <w:color w:val="auto"/>
                <w:sz w:val="22"/>
                <w:szCs w:val="22"/>
              </w:rPr>
            </w:pPr>
            <w:r w:rsidRPr="00A63104">
              <w:rPr>
                <w:color w:val="auto"/>
                <w:sz w:val="22"/>
                <w:szCs w:val="22"/>
              </w:rPr>
              <w:t>Izpilda pilnībā</w:t>
            </w:r>
          </w:p>
        </w:tc>
        <w:tc>
          <w:tcPr>
            <w:tcW w:w="2179" w:type="dxa"/>
          </w:tcPr>
          <w:p w14:paraId="041CA1C8" w14:textId="77777777" w:rsidR="00F57F13" w:rsidRPr="00A63104" w:rsidRDefault="00F57F13" w:rsidP="00A63104">
            <w:pPr>
              <w:jc w:val="left"/>
              <w:rPr>
                <w:color w:val="auto"/>
                <w:sz w:val="22"/>
                <w:szCs w:val="22"/>
              </w:rPr>
            </w:pPr>
            <w:r w:rsidRPr="00A63104">
              <w:rPr>
                <w:color w:val="auto"/>
                <w:sz w:val="22"/>
                <w:szCs w:val="22"/>
              </w:rPr>
              <w:t>Nē</w:t>
            </w:r>
          </w:p>
        </w:tc>
        <w:tc>
          <w:tcPr>
            <w:tcW w:w="1984" w:type="dxa"/>
            <w:tcBorders>
              <w:right w:val="single" w:sz="4" w:space="0" w:color="auto"/>
            </w:tcBorders>
          </w:tcPr>
          <w:p w14:paraId="597729A8" w14:textId="77777777" w:rsidR="00F57F13" w:rsidRPr="00A63104" w:rsidRDefault="00F57F13" w:rsidP="00A63104">
            <w:pPr>
              <w:jc w:val="left"/>
              <w:rPr>
                <w:color w:val="auto"/>
                <w:sz w:val="22"/>
                <w:szCs w:val="22"/>
              </w:rPr>
            </w:pPr>
            <w:r w:rsidRPr="00A63104">
              <w:rPr>
                <w:color w:val="auto"/>
                <w:sz w:val="22"/>
                <w:szCs w:val="22"/>
              </w:rPr>
              <w:t>Jā</w:t>
            </w:r>
          </w:p>
        </w:tc>
        <w:tc>
          <w:tcPr>
            <w:tcW w:w="3009" w:type="dxa"/>
            <w:tcBorders>
              <w:top w:val="single" w:sz="4" w:space="0" w:color="auto"/>
              <w:left w:val="single" w:sz="4" w:space="0" w:color="auto"/>
              <w:bottom w:val="single" w:sz="4" w:space="0" w:color="auto"/>
              <w:right w:val="single" w:sz="4" w:space="0" w:color="auto"/>
            </w:tcBorders>
          </w:tcPr>
          <w:p w14:paraId="37FB1018" w14:textId="0C0C7DCF" w:rsidR="00A70BB0" w:rsidRDefault="00F57F13" w:rsidP="00A63104">
            <w:pPr>
              <w:jc w:val="left"/>
              <w:rPr>
                <w:color w:val="auto"/>
                <w:sz w:val="22"/>
                <w:szCs w:val="22"/>
              </w:rPr>
            </w:pPr>
            <w:r w:rsidRPr="00A63104">
              <w:rPr>
                <w:color w:val="auto"/>
                <w:sz w:val="22"/>
                <w:szCs w:val="22"/>
              </w:rPr>
              <w:t>Direktīvas</w:t>
            </w:r>
            <w:r w:rsidR="00A63104">
              <w:rPr>
                <w:color w:val="auto"/>
                <w:sz w:val="22"/>
                <w:szCs w:val="22"/>
              </w:rPr>
              <w:t> </w:t>
            </w:r>
            <w:r w:rsidRPr="00A63104">
              <w:rPr>
                <w:color w:val="auto"/>
                <w:sz w:val="22"/>
                <w:szCs w:val="22"/>
              </w:rPr>
              <w:t>2014/59</w:t>
            </w:r>
            <w:r w:rsidR="0038656D" w:rsidRPr="00A63104">
              <w:rPr>
                <w:color w:val="auto"/>
                <w:sz w:val="22"/>
                <w:szCs w:val="22"/>
              </w:rPr>
              <w:t>/ES</w:t>
            </w:r>
            <w:r w:rsidRPr="00A63104">
              <w:rPr>
                <w:color w:val="auto"/>
                <w:sz w:val="22"/>
                <w:szCs w:val="22"/>
              </w:rPr>
              <w:t xml:space="preserve"> 130.</w:t>
            </w:r>
            <w:r w:rsidR="00D4539B" w:rsidRPr="00A63104">
              <w:rPr>
                <w:color w:val="auto"/>
                <w:sz w:val="22"/>
                <w:szCs w:val="22"/>
              </w:rPr>
              <w:t> </w:t>
            </w:r>
            <w:r w:rsidRPr="00A63104">
              <w:rPr>
                <w:color w:val="auto"/>
                <w:sz w:val="22"/>
                <w:szCs w:val="22"/>
              </w:rPr>
              <w:t>panta 3.</w:t>
            </w:r>
            <w:r w:rsidR="00D4539B" w:rsidRPr="00A63104">
              <w:rPr>
                <w:color w:val="auto"/>
                <w:sz w:val="22"/>
                <w:szCs w:val="22"/>
              </w:rPr>
              <w:t> </w:t>
            </w:r>
            <w:r w:rsidRPr="00A63104">
              <w:rPr>
                <w:color w:val="auto"/>
                <w:sz w:val="22"/>
                <w:szCs w:val="22"/>
              </w:rPr>
              <w:t>punkts paredz,</w:t>
            </w:r>
            <w:r w:rsidR="00A06C18" w:rsidRPr="00A63104">
              <w:rPr>
                <w:color w:val="auto"/>
              </w:rPr>
              <w:t xml:space="preserve"> </w:t>
            </w:r>
            <w:r w:rsidR="00A06C18" w:rsidRPr="00A63104">
              <w:rPr>
                <w:color w:val="auto"/>
                <w:sz w:val="22"/>
                <w:szCs w:val="22"/>
              </w:rPr>
              <w:t>ka dalībvalstis dara Eiropas Komisijai</w:t>
            </w:r>
            <w:r w:rsidR="000C694B">
              <w:rPr>
                <w:color w:val="auto"/>
                <w:sz w:val="22"/>
                <w:szCs w:val="22"/>
              </w:rPr>
              <w:t xml:space="preserve"> un</w:t>
            </w:r>
            <w:r w:rsidR="000C694B" w:rsidRPr="000C694B">
              <w:rPr>
                <w:color w:val="auto"/>
                <w:sz w:val="22"/>
                <w:szCs w:val="22"/>
              </w:rPr>
              <w:t xml:space="preserve"> Eiropas Banku iestādei</w:t>
            </w:r>
            <w:r w:rsidR="000C694B">
              <w:rPr>
                <w:color w:val="auto"/>
                <w:sz w:val="22"/>
                <w:szCs w:val="22"/>
              </w:rPr>
              <w:t xml:space="preserve"> </w:t>
            </w:r>
            <w:r w:rsidR="00A06C18" w:rsidRPr="00A63104">
              <w:rPr>
                <w:color w:val="auto"/>
                <w:sz w:val="22"/>
                <w:szCs w:val="22"/>
              </w:rPr>
              <w:t xml:space="preserve">zināmus savu tiesību aktu galvenos noteikumus, ko </w:t>
            </w:r>
            <w:r w:rsidR="00A06C18" w:rsidRPr="00A63104">
              <w:rPr>
                <w:color w:val="auto"/>
                <w:sz w:val="22"/>
                <w:szCs w:val="22"/>
              </w:rPr>
              <w:lastRenderedPageBreak/>
              <w:t xml:space="preserve">tās pieņem jomā, uz kuru attiecas šī direktīva. </w:t>
            </w:r>
          </w:p>
          <w:p w14:paraId="53A15A15" w14:textId="53861FF4" w:rsidR="000C694B" w:rsidRPr="000C694B" w:rsidRDefault="000C694B" w:rsidP="000C694B">
            <w:pPr>
              <w:jc w:val="left"/>
              <w:rPr>
                <w:color w:val="auto"/>
                <w:sz w:val="22"/>
                <w:szCs w:val="22"/>
              </w:rPr>
            </w:pPr>
            <w:r w:rsidRPr="000C694B">
              <w:rPr>
                <w:color w:val="auto"/>
                <w:sz w:val="22"/>
                <w:szCs w:val="22"/>
              </w:rPr>
              <w:t>Pēc projekta apstiprināšanas Latvijas Bankas</w:t>
            </w:r>
            <w:r>
              <w:rPr>
                <w:color w:val="auto"/>
                <w:sz w:val="22"/>
                <w:szCs w:val="22"/>
              </w:rPr>
              <w:t xml:space="preserve"> </w:t>
            </w:r>
            <w:r w:rsidRPr="000C694B">
              <w:rPr>
                <w:color w:val="auto"/>
                <w:sz w:val="22"/>
                <w:szCs w:val="22"/>
              </w:rPr>
              <w:t xml:space="preserve">padomē minēto paziņošanas pienākumu attiecībā uz Eiropas Komisiju </w:t>
            </w:r>
          </w:p>
          <w:p w14:paraId="4B85EE1E" w14:textId="3E14EB3F" w:rsidR="00F57F13" w:rsidRPr="00A63104" w:rsidRDefault="000C694B" w:rsidP="000C694B">
            <w:pPr>
              <w:jc w:val="left"/>
              <w:rPr>
                <w:color w:val="auto"/>
                <w:sz w:val="22"/>
                <w:szCs w:val="22"/>
              </w:rPr>
            </w:pPr>
            <w:r w:rsidRPr="000C694B">
              <w:rPr>
                <w:color w:val="auto"/>
                <w:sz w:val="22"/>
                <w:szCs w:val="22"/>
              </w:rPr>
              <w:t>izpildīs Finanšu</w:t>
            </w:r>
            <w:r>
              <w:rPr>
                <w:color w:val="auto"/>
                <w:sz w:val="22"/>
                <w:szCs w:val="22"/>
              </w:rPr>
              <w:t xml:space="preserve"> </w:t>
            </w:r>
            <w:r w:rsidRPr="000C694B">
              <w:rPr>
                <w:color w:val="auto"/>
                <w:sz w:val="22"/>
                <w:szCs w:val="22"/>
              </w:rPr>
              <w:t>ministrija, savukārt Eiropas Banku iestādei paziņos Latvijas</w:t>
            </w:r>
            <w:r>
              <w:rPr>
                <w:color w:val="auto"/>
                <w:sz w:val="22"/>
                <w:szCs w:val="22"/>
              </w:rPr>
              <w:t xml:space="preserve"> </w:t>
            </w:r>
            <w:r w:rsidRPr="000C694B">
              <w:rPr>
                <w:color w:val="auto"/>
                <w:sz w:val="22"/>
                <w:szCs w:val="22"/>
              </w:rPr>
              <w:t>Banka.</w:t>
            </w:r>
          </w:p>
        </w:tc>
      </w:tr>
      <w:tr w:rsidR="00250E7D" w:rsidRPr="00A63104" w14:paraId="1C3FB0D6" w14:textId="77777777" w:rsidTr="000C694B">
        <w:tc>
          <w:tcPr>
            <w:tcW w:w="2438" w:type="dxa"/>
          </w:tcPr>
          <w:p w14:paraId="5347420A" w14:textId="29044DA0" w:rsidR="00250E7D" w:rsidRPr="00A63104" w:rsidRDefault="00250E7D" w:rsidP="00F9012D">
            <w:pPr>
              <w:jc w:val="left"/>
              <w:rPr>
                <w:rStyle w:val="cf01"/>
                <w:rFonts w:ascii="Times New Roman" w:hAnsi="Times New Roman" w:cs="Times New Roman"/>
                <w:sz w:val="22"/>
                <w:szCs w:val="22"/>
              </w:rPr>
            </w:pPr>
            <w:r w:rsidRPr="00250E7D">
              <w:rPr>
                <w:rStyle w:val="cf01"/>
                <w:rFonts w:ascii="Times New Roman" w:hAnsi="Times New Roman" w:cs="Times New Roman"/>
                <w:sz w:val="22"/>
                <w:szCs w:val="22"/>
              </w:rPr>
              <w:lastRenderedPageBreak/>
              <w:t>Direktīva</w:t>
            </w:r>
            <w:r>
              <w:rPr>
                <w:rStyle w:val="cf01"/>
                <w:rFonts w:ascii="Times New Roman" w:hAnsi="Times New Roman" w:cs="Times New Roman"/>
                <w:sz w:val="22"/>
                <w:szCs w:val="22"/>
              </w:rPr>
              <w:t>s</w:t>
            </w:r>
            <w:r w:rsidRPr="00250E7D">
              <w:rPr>
                <w:rStyle w:val="cf01"/>
                <w:rFonts w:ascii="Times New Roman" w:hAnsi="Times New Roman" w:cs="Times New Roman"/>
                <w:sz w:val="22"/>
                <w:szCs w:val="22"/>
              </w:rPr>
              <w:t xml:space="preserve"> 2019/879</w:t>
            </w:r>
            <w:r>
              <w:rPr>
                <w:rStyle w:val="cf01"/>
                <w:rFonts w:ascii="Times New Roman" w:hAnsi="Times New Roman" w:cs="Times New Roman"/>
                <w:sz w:val="22"/>
                <w:szCs w:val="22"/>
              </w:rPr>
              <w:t xml:space="preserve"> </w:t>
            </w:r>
            <w:r w:rsidRPr="00E66B46">
              <w:rPr>
                <w:rStyle w:val="cf01"/>
                <w:rFonts w:ascii="Times New Roman" w:hAnsi="Times New Roman" w:cs="Times New Roman"/>
                <w:sz w:val="22"/>
                <w:szCs w:val="22"/>
              </w:rPr>
              <w:t>1.</w:t>
            </w:r>
            <w:r w:rsidR="00EE78A0">
              <w:rPr>
                <w:rStyle w:val="cf01"/>
                <w:rFonts w:ascii="Times New Roman" w:hAnsi="Times New Roman" w:cs="Times New Roman"/>
                <w:sz w:val="22"/>
                <w:szCs w:val="22"/>
              </w:rPr>
              <w:t> </w:t>
            </w:r>
            <w:r w:rsidRPr="00E66B46">
              <w:rPr>
                <w:rStyle w:val="cf01"/>
                <w:rFonts w:ascii="Times New Roman" w:hAnsi="Times New Roman" w:cs="Times New Roman"/>
                <w:sz w:val="22"/>
                <w:szCs w:val="22"/>
              </w:rPr>
              <w:t>panta 36.</w:t>
            </w:r>
            <w:r w:rsidR="00EE78A0">
              <w:rPr>
                <w:rStyle w:val="cf01"/>
                <w:rFonts w:ascii="Times New Roman" w:hAnsi="Times New Roman" w:cs="Times New Roman"/>
                <w:sz w:val="22"/>
                <w:szCs w:val="22"/>
              </w:rPr>
              <w:t> </w:t>
            </w:r>
            <w:r w:rsidRPr="00E66B46">
              <w:rPr>
                <w:rStyle w:val="cf01"/>
                <w:rFonts w:ascii="Times New Roman" w:hAnsi="Times New Roman" w:cs="Times New Roman"/>
                <w:sz w:val="22"/>
                <w:szCs w:val="22"/>
              </w:rPr>
              <w:t>punkts</w:t>
            </w:r>
            <w:r w:rsidR="00EE78A0">
              <w:rPr>
                <w:rStyle w:val="cf01"/>
                <w:rFonts w:ascii="Times New Roman" w:hAnsi="Times New Roman" w:cs="Times New Roman"/>
                <w:sz w:val="22"/>
                <w:szCs w:val="22"/>
              </w:rPr>
              <w:t xml:space="preserve"> (grozījums </w:t>
            </w:r>
            <w:r w:rsidR="00EE78A0" w:rsidRPr="00A63104">
              <w:rPr>
                <w:rStyle w:val="cf01"/>
                <w:rFonts w:ascii="Times New Roman" w:hAnsi="Times New Roman" w:cs="Times New Roman"/>
                <w:color w:val="auto"/>
                <w:sz w:val="22"/>
                <w:szCs w:val="22"/>
              </w:rPr>
              <w:t>Direktīvas 2014/59/ES pielikuma B</w:t>
            </w:r>
            <w:r w:rsidR="00EE78A0">
              <w:rPr>
                <w:rStyle w:val="cf01"/>
                <w:rFonts w:ascii="Times New Roman" w:hAnsi="Times New Roman" w:cs="Times New Roman"/>
                <w:color w:val="auto"/>
                <w:sz w:val="22"/>
                <w:szCs w:val="22"/>
              </w:rPr>
              <w:t> </w:t>
            </w:r>
            <w:r w:rsidR="00EE78A0" w:rsidRPr="00A63104">
              <w:rPr>
                <w:rStyle w:val="cf01"/>
                <w:rFonts w:ascii="Times New Roman" w:hAnsi="Times New Roman" w:cs="Times New Roman"/>
                <w:color w:val="auto"/>
                <w:sz w:val="22"/>
                <w:szCs w:val="22"/>
              </w:rPr>
              <w:t>iedaļa</w:t>
            </w:r>
            <w:r w:rsidR="00EE78A0">
              <w:rPr>
                <w:rStyle w:val="cf01"/>
                <w:rFonts w:ascii="Times New Roman" w:hAnsi="Times New Roman" w:cs="Times New Roman"/>
                <w:color w:val="auto"/>
                <w:sz w:val="22"/>
                <w:szCs w:val="22"/>
              </w:rPr>
              <w:t>s 6. punktā)</w:t>
            </w:r>
          </w:p>
        </w:tc>
        <w:tc>
          <w:tcPr>
            <w:tcW w:w="2438" w:type="dxa"/>
          </w:tcPr>
          <w:p w14:paraId="6FBD56FE" w14:textId="2522CE64" w:rsidR="00250E7D" w:rsidRPr="00E66B46" w:rsidRDefault="00250E7D" w:rsidP="00EE78A0">
            <w:pPr>
              <w:rPr>
                <w:sz w:val="22"/>
                <w:szCs w:val="22"/>
              </w:rPr>
            </w:pPr>
            <w:r w:rsidRPr="00E66B46">
              <w:rPr>
                <w:rStyle w:val="cf01"/>
                <w:rFonts w:ascii="Times New Roman" w:hAnsi="Times New Roman" w:cs="Times New Roman"/>
                <w:sz w:val="22"/>
                <w:szCs w:val="22"/>
              </w:rPr>
              <w:t>Projekta 5.6.</w:t>
            </w:r>
            <w:r w:rsidR="00EE78A0">
              <w:rPr>
                <w:rStyle w:val="cf01"/>
                <w:rFonts w:ascii="Times New Roman" w:hAnsi="Times New Roman" w:cs="Times New Roman"/>
                <w:sz w:val="22"/>
                <w:szCs w:val="22"/>
              </w:rPr>
              <w:t> apakš</w:t>
            </w:r>
            <w:r w:rsidRPr="00E66B46">
              <w:rPr>
                <w:rStyle w:val="cf01"/>
                <w:rFonts w:ascii="Times New Roman" w:hAnsi="Times New Roman" w:cs="Times New Roman"/>
                <w:sz w:val="22"/>
                <w:szCs w:val="22"/>
              </w:rPr>
              <w:t>punkts</w:t>
            </w:r>
          </w:p>
        </w:tc>
        <w:tc>
          <w:tcPr>
            <w:tcW w:w="2438" w:type="dxa"/>
          </w:tcPr>
          <w:p w14:paraId="4DBF348D" w14:textId="7E7A9D2B" w:rsidR="00250E7D" w:rsidRPr="00A63104" w:rsidRDefault="00250E7D" w:rsidP="00A63104">
            <w:r w:rsidRPr="00A63104">
              <w:rPr>
                <w:color w:val="auto"/>
                <w:sz w:val="22"/>
                <w:szCs w:val="22"/>
              </w:rPr>
              <w:t>Izpilda pilnībā</w:t>
            </w:r>
          </w:p>
        </w:tc>
        <w:tc>
          <w:tcPr>
            <w:tcW w:w="2179" w:type="dxa"/>
          </w:tcPr>
          <w:p w14:paraId="3B4FDCD0" w14:textId="470ED7CD" w:rsidR="00250E7D" w:rsidRPr="00A63104" w:rsidRDefault="00250E7D" w:rsidP="00A63104">
            <w:r w:rsidRPr="00A63104">
              <w:rPr>
                <w:color w:val="auto"/>
                <w:sz w:val="22"/>
                <w:szCs w:val="22"/>
              </w:rPr>
              <w:t>Nē</w:t>
            </w:r>
          </w:p>
        </w:tc>
        <w:tc>
          <w:tcPr>
            <w:tcW w:w="1984" w:type="dxa"/>
            <w:tcBorders>
              <w:right w:val="single" w:sz="4" w:space="0" w:color="auto"/>
            </w:tcBorders>
          </w:tcPr>
          <w:p w14:paraId="01D6FE5E" w14:textId="3B814EF9" w:rsidR="00250E7D" w:rsidRPr="00A63104" w:rsidRDefault="00250E7D" w:rsidP="00A63104">
            <w:r w:rsidRPr="00A63104">
              <w:rPr>
                <w:color w:val="auto"/>
                <w:sz w:val="22"/>
                <w:szCs w:val="22"/>
              </w:rPr>
              <w:t>Jā</w:t>
            </w:r>
          </w:p>
        </w:tc>
        <w:tc>
          <w:tcPr>
            <w:tcW w:w="3009" w:type="dxa"/>
            <w:tcBorders>
              <w:top w:val="single" w:sz="4" w:space="0" w:color="auto"/>
              <w:left w:val="single" w:sz="4" w:space="0" w:color="auto"/>
              <w:bottom w:val="single" w:sz="4" w:space="0" w:color="auto"/>
              <w:right w:val="single" w:sz="4" w:space="0" w:color="auto"/>
            </w:tcBorders>
          </w:tcPr>
          <w:p w14:paraId="76AB2A4F" w14:textId="05D66F00" w:rsidR="00095B6A" w:rsidRPr="00F9012D" w:rsidRDefault="00250E7D" w:rsidP="00E66B46">
            <w:pPr>
              <w:rPr>
                <w:color w:val="auto"/>
                <w:sz w:val="22"/>
                <w:szCs w:val="22"/>
              </w:rPr>
            </w:pPr>
            <w:r w:rsidRPr="00F9012D">
              <w:rPr>
                <w:color w:val="auto"/>
                <w:sz w:val="22"/>
                <w:szCs w:val="22"/>
              </w:rPr>
              <w:t>Direktīvas</w:t>
            </w:r>
            <w:r w:rsidR="00F9012D" w:rsidRPr="00F9012D">
              <w:rPr>
                <w:color w:val="auto"/>
                <w:sz w:val="22"/>
                <w:szCs w:val="22"/>
              </w:rPr>
              <w:t> </w:t>
            </w:r>
            <w:r w:rsidRPr="00F9012D">
              <w:rPr>
                <w:color w:val="auto"/>
                <w:sz w:val="22"/>
                <w:szCs w:val="22"/>
              </w:rPr>
              <w:t>2019/879</w:t>
            </w:r>
          </w:p>
          <w:p w14:paraId="2ED332DF" w14:textId="7BCE17FA" w:rsidR="00250E7D" w:rsidRPr="00F9012D" w:rsidRDefault="00250E7D" w:rsidP="00F9012D">
            <w:pPr>
              <w:jc w:val="left"/>
              <w:rPr>
                <w:color w:val="auto"/>
                <w:sz w:val="22"/>
                <w:szCs w:val="22"/>
              </w:rPr>
            </w:pPr>
            <w:r w:rsidRPr="00F9012D">
              <w:rPr>
                <w:color w:val="auto"/>
                <w:sz w:val="22"/>
                <w:szCs w:val="22"/>
              </w:rPr>
              <w:t>3.</w:t>
            </w:r>
            <w:r w:rsidR="00F9012D" w:rsidRPr="00F9012D">
              <w:rPr>
                <w:color w:val="auto"/>
                <w:sz w:val="22"/>
                <w:szCs w:val="22"/>
              </w:rPr>
              <w:t> </w:t>
            </w:r>
            <w:r w:rsidRPr="00F9012D">
              <w:rPr>
                <w:color w:val="auto"/>
                <w:sz w:val="22"/>
                <w:szCs w:val="22"/>
              </w:rPr>
              <w:t>panta 3.</w:t>
            </w:r>
            <w:r w:rsidR="00F9012D">
              <w:rPr>
                <w:color w:val="auto"/>
                <w:sz w:val="22"/>
                <w:szCs w:val="22"/>
              </w:rPr>
              <w:t> </w:t>
            </w:r>
            <w:r w:rsidRPr="00F9012D">
              <w:rPr>
                <w:color w:val="auto"/>
                <w:sz w:val="22"/>
                <w:szCs w:val="22"/>
              </w:rPr>
              <w:t xml:space="preserve">punkts paredz, ka dalībvalstis dara Eiropas Komisijai un Eiropas Banku iestādei zināmus savu tiesību aktu galvenos noteikumus, ko tās pieņem jomā, uz kuru attiecas šī direktīva. Pēc projekta apstiprināšanas Latvijas Bankas padomē minēto paziņošanas pienākumu attiecībā uz Eiropas Komisiju </w:t>
            </w:r>
          </w:p>
          <w:p w14:paraId="2FE917B8" w14:textId="77536ED9" w:rsidR="00250E7D" w:rsidRPr="00F9012D" w:rsidRDefault="00250E7D" w:rsidP="00F9012D">
            <w:pPr>
              <w:jc w:val="left"/>
              <w:rPr>
                <w:color w:val="auto"/>
                <w:sz w:val="22"/>
                <w:szCs w:val="22"/>
              </w:rPr>
            </w:pPr>
            <w:r w:rsidRPr="00F9012D">
              <w:rPr>
                <w:color w:val="auto"/>
                <w:sz w:val="22"/>
                <w:szCs w:val="22"/>
              </w:rPr>
              <w:t>izpildīs Finanšu ministrija, savukārt Eiropas Banku iestādei paziņos Latvijas Banka.</w:t>
            </w:r>
          </w:p>
        </w:tc>
      </w:tr>
    </w:tbl>
    <w:p w14:paraId="7FE2B768" w14:textId="77777777" w:rsidR="00F57F13" w:rsidRPr="00A63104" w:rsidRDefault="00F57F13" w:rsidP="00AD60D7">
      <w:pPr>
        <w:spacing w:after="0" w:line="240" w:lineRule="auto"/>
        <w:rPr>
          <w:rFonts w:ascii="Times New Roman" w:hAnsi="Times New Roman" w:cs="Times New Roman"/>
          <w:sz w:val="24"/>
          <w:szCs w:val="24"/>
        </w:rPr>
      </w:pPr>
    </w:p>
    <w:sectPr w:rsidR="00F57F13" w:rsidRPr="00A63104" w:rsidSect="00F57F13">
      <w:pgSz w:w="16838" w:h="11906" w:orient="landscape" w:code="9"/>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6B540" w14:textId="77777777" w:rsidR="00E158C2" w:rsidRDefault="00E158C2" w:rsidP="009B27BE">
      <w:pPr>
        <w:spacing w:after="0" w:line="240" w:lineRule="auto"/>
      </w:pPr>
      <w:r>
        <w:separator/>
      </w:r>
    </w:p>
  </w:endnote>
  <w:endnote w:type="continuationSeparator" w:id="0">
    <w:p w14:paraId="230682B9" w14:textId="77777777" w:rsidR="00E158C2" w:rsidRDefault="00E158C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BE774" w14:textId="77777777" w:rsidR="00E158C2" w:rsidRDefault="00E158C2" w:rsidP="009B27BE">
      <w:pPr>
        <w:spacing w:after="0" w:line="240" w:lineRule="auto"/>
      </w:pPr>
      <w:r>
        <w:separator/>
      </w:r>
    </w:p>
  </w:footnote>
  <w:footnote w:type="continuationSeparator" w:id="0">
    <w:p w14:paraId="15ABD211" w14:textId="77777777" w:rsidR="00E158C2" w:rsidRDefault="00E158C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49B7EC04"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FE6345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C7775"/>
    <w:multiLevelType w:val="hybridMultilevel"/>
    <w:tmpl w:val="46D0EEC6"/>
    <w:lvl w:ilvl="0" w:tplc="9D8EF3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097BA8"/>
    <w:multiLevelType w:val="hybridMultilevel"/>
    <w:tmpl w:val="6E04EF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335BA5"/>
    <w:multiLevelType w:val="hybridMultilevel"/>
    <w:tmpl w:val="B58C5E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D6D0BBE"/>
    <w:multiLevelType w:val="hybridMultilevel"/>
    <w:tmpl w:val="9C5022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D7B2B5A"/>
    <w:multiLevelType w:val="hybridMultilevel"/>
    <w:tmpl w:val="B1BC0F70"/>
    <w:lvl w:ilvl="0" w:tplc="7C040962">
      <w:start w:val="1"/>
      <w:numFmt w:val="decimal"/>
      <w:lvlText w:val="%1)"/>
      <w:lvlJc w:val="left"/>
      <w:pPr>
        <w:ind w:left="1020" w:hanging="360"/>
      </w:pPr>
    </w:lvl>
    <w:lvl w:ilvl="1" w:tplc="3E3042C4">
      <w:start w:val="1"/>
      <w:numFmt w:val="decimal"/>
      <w:lvlText w:val="%2)"/>
      <w:lvlJc w:val="left"/>
      <w:pPr>
        <w:ind w:left="1020" w:hanging="360"/>
      </w:pPr>
    </w:lvl>
    <w:lvl w:ilvl="2" w:tplc="CDB09192">
      <w:start w:val="1"/>
      <w:numFmt w:val="decimal"/>
      <w:lvlText w:val="%3)"/>
      <w:lvlJc w:val="left"/>
      <w:pPr>
        <w:ind w:left="1020" w:hanging="360"/>
      </w:pPr>
    </w:lvl>
    <w:lvl w:ilvl="3" w:tplc="18D2ABAC">
      <w:start w:val="1"/>
      <w:numFmt w:val="decimal"/>
      <w:lvlText w:val="%4)"/>
      <w:lvlJc w:val="left"/>
      <w:pPr>
        <w:ind w:left="1020" w:hanging="360"/>
      </w:pPr>
    </w:lvl>
    <w:lvl w:ilvl="4" w:tplc="7ACA2B0E">
      <w:start w:val="1"/>
      <w:numFmt w:val="decimal"/>
      <w:lvlText w:val="%5)"/>
      <w:lvlJc w:val="left"/>
      <w:pPr>
        <w:ind w:left="1020" w:hanging="360"/>
      </w:pPr>
    </w:lvl>
    <w:lvl w:ilvl="5" w:tplc="16C4E614">
      <w:start w:val="1"/>
      <w:numFmt w:val="decimal"/>
      <w:lvlText w:val="%6)"/>
      <w:lvlJc w:val="left"/>
      <w:pPr>
        <w:ind w:left="1020" w:hanging="360"/>
      </w:pPr>
    </w:lvl>
    <w:lvl w:ilvl="6" w:tplc="4454DA18">
      <w:start w:val="1"/>
      <w:numFmt w:val="decimal"/>
      <w:lvlText w:val="%7)"/>
      <w:lvlJc w:val="left"/>
      <w:pPr>
        <w:ind w:left="1020" w:hanging="360"/>
      </w:pPr>
    </w:lvl>
    <w:lvl w:ilvl="7" w:tplc="54DE43A0">
      <w:start w:val="1"/>
      <w:numFmt w:val="decimal"/>
      <w:lvlText w:val="%8)"/>
      <w:lvlJc w:val="left"/>
      <w:pPr>
        <w:ind w:left="1020" w:hanging="360"/>
      </w:pPr>
    </w:lvl>
    <w:lvl w:ilvl="8" w:tplc="A852D41C">
      <w:start w:val="1"/>
      <w:numFmt w:val="decimal"/>
      <w:lvlText w:val="%9)"/>
      <w:lvlJc w:val="left"/>
      <w:pPr>
        <w:ind w:left="1020" w:hanging="360"/>
      </w:pPr>
    </w:lvl>
  </w:abstractNum>
  <w:num w:numId="1" w16cid:durableId="686904637">
    <w:abstractNumId w:val="2"/>
  </w:num>
  <w:num w:numId="2" w16cid:durableId="2006779785">
    <w:abstractNumId w:val="4"/>
  </w:num>
  <w:num w:numId="3" w16cid:durableId="44304098">
    <w:abstractNumId w:val="1"/>
  </w:num>
  <w:num w:numId="4" w16cid:durableId="732392063">
    <w:abstractNumId w:val="3"/>
  </w:num>
  <w:num w:numId="5" w16cid:durableId="1210527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F1F"/>
    <w:rsid w:val="000263F5"/>
    <w:rsid w:val="000441B7"/>
    <w:rsid w:val="00051912"/>
    <w:rsid w:val="00077263"/>
    <w:rsid w:val="0008510E"/>
    <w:rsid w:val="00095B6A"/>
    <w:rsid w:val="0009616F"/>
    <w:rsid w:val="00097341"/>
    <w:rsid w:val="000A4630"/>
    <w:rsid w:val="000B3FF7"/>
    <w:rsid w:val="000B4E0A"/>
    <w:rsid w:val="000C19D9"/>
    <w:rsid w:val="000C41B4"/>
    <w:rsid w:val="000C694B"/>
    <w:rsid w:val="000D0A66"/>
    <w:rsid w:val="000D7500"/>
    <w:rsid w:val="000E254B"/>
    <w:rsid w:val="001054A2"/>
    <w:rsid w:val="00117185"/>
    <w:rsid w:val="00131F45"/>
    <w:rsid w:val="00132070"/>
    <w:rsid w:val="00133F6A"/>
    <w:rsid w:val="00137E1E"/>
    <w:rsid w:val="00143A48"/>
    <w:rsid w:val="00162606"/>
    <w:rsid w:val="00183904"/>
    <w:rsid w:val="001847B2"/>
    <w:rsid w:val="001A1AC8"/>
    <w:rsid w:val="001A5171"/>
    <w:rsid w:val="001A5B42"/>
    <w:rsid w:val="001A78D0"/>
    <w:rsid w:val="001B543D"/>
    <w:rsid w:val="001C0AEF"/>
    <w:rsid w:val="001C1438"/>
    <w:rsid w:val="001C566B"/>
    <w:rsid w:val="001E5D6E"/>
    <w:rsid w:val="001E5E18"/>
    <w:rsid w:val="001F6EF7"/>
    <w:rsid w:val="002205F4"/>
    <w:rsid w:val="00224B3A"/>
    <w:rsid w:val="002402A3"/>
    <w:rsid w:val="00246B00"/>
    <w:rsid w:val="00250E7D"/>
    <w:rsid w:val="00281945"/>
    <w:rsid w:val="00283ABA"/>
    <w:rsid w:val="002C576C"/>
    <w:rsid w:val="002D6A15"/>
    <w:rsid w:val="002E3780"/>
    <w:rsid w:val="002F2C94"/>
    <w:rsid w:val="002F7E59"/>
    <w:rsid w:val="0030610E"/>
    <w:rsid w:val="00326C9A"/>
    <w:rsid w:val="003344C2"/>
    <w:rsid w:val="003442F6"/>
    <w:rsid w:val="00376177"/>
    <w:rsid w:val="0038077E"/>
    <w:rsid w:val="0038656D"/>
    <w:rsid w:val="003B481B"/>
    <w:rsid w:val="003D7E5B"/>
    <w:rsid w:val="00411DD9"/>
    <w:rsid w:val="00422C83"/>
    <w:rsid w:val="004374A1"/>
    <w:rsid w:val="00437798"/>
    <w:rsid w:val="00447A71"/>
    <w:rsid w:val="00454DEB"/>
    <w:rsid w:val="0047366C"/>
    <w:rsid w:val="00482D55"/>
    <w:rsid w:val="004842F9"/>
    <w:rsid w:val="00486B68"/>
    <w:rsid w:val="0049248A"/>
    <w:rsid w:val="004969AB"/>
    <w:rsid w:val="004A080A"/>
    <w:rsid w:val="004A6970"/>
    <w:rsid w:val="004B3EEE"/>
    <w:rsid w:val="004C03AC"/>
    <w:rsid w:val="004C5C74"/>
    <w:rsid w:val="004C65BA"/>
    <w:rsid w:val="00500FCF"/>
    <w:rsid w:val="00501B0F"/>
    <w:rsid w:val="005032FF"/>
    <w:rsid w:val="00503840"/>
    <w:rsid w:val="005249A5"/>
    <w:rsid w:val="00532A83"/>
    <w:rsid w:val="0055312B"/>
    <w:rsid w:val="00560FBB"/>
    <w:rsid w:val="00582C97"/>
    <w:rsid w:val="00587B76"/>
    <w:rsid w:val="005A6E1A"/>
    <w:rsid w:val="005B3E28"/>
    <w:rsid w:val="005B47E6"/>
    <w:rsid w:val="005F56C6"/>
    <w:rsid w:val="005F5ADB"/>
    <w:rsid w:val="0060016E"/>
    <w:rsid w:val="00623AF5"/>
    <w:rsid w:val="00626F20"/>
    <w:rsid w:val="00633416"/>
    <w:rsid w:val="00642172"/>
    <w:rsid w:val="00650F2A"/>
    <w:rsid w:val="0065146C"/>
    <w:rsid w:val="00673ED8"/>
    <w:rsid w:val="006830AF"/>
    <w:rsid w:val="007056DE"/>
    <w:rsid w:val="00707BED"/>
    <w:rsid w:val="0071350E"/>
    <w:rsid w:val="00734B4D"/>
    <w:rsid w:val="00740043"/>
    <w:rsid w:val="007439A2"/>
    <w:rsid w:val="0075269A"/>
    <w:rsid w:val="00756820"/>
    <w:rsid w:val="00762371"/>
    <w:rsid w:val="00785FFE"/>
    <w:rsid w:val="00790CDB"/>
    <w:rsid w:val="007C12C1"/>
    <w:rsid w:val="007C2E87"/>
    <w:rsid w:val="007D412C"/>
    <w:rsid w:val="007D5CD5"/>
    <w:rsid w:val="007E313B"/>
    <w:rsid w:val="007E774F"/>
    <w:rsid w:val="007F136C"/>
    <w:rsid w:val="007F2D87"/>
    <w:rsid w:val="007F6D0A"/>
    <w:rsid w:val="00800567"/>
    <w:rsid w:val="008131F4"/>
    <w:rsid w:val="00816BAF"/>
    <w:rsid w:val="00845298"/>
    <w:rsid w:val="00850238"/>
    <w:rsid w:val="00855C49"/>
    <w:rsid w:val="00860F06"/>
    <w:rsid w:val="00867E29"/>
    <w:rsid w:val="008814A9"/>
    <w:rsid w:val="00884078"/>
    <w:rsid w:val="00884C2B"/>
    <w:rsid w:val="0089296C"/>
    <w:rsid w:val="00897496"/>
    <w:rsid w:val="008A4F1F"/>
    <w:rsid w:val="008E2750"/>
    <w:rsid w:val="008E412F"/>
    <w:rsid w:val="008F3FCA"/>
    <w:rsid w:val="00910DA1"/>
    <w:rsid w:val="00920831"/>
    <w:rsid w:val="00944D1B"/>
    <w:rsid w:val="00996937"/>
    <w:rsid w:val="009A27A7"/>
    <w:rsid w:val="009A2E11"/>
    <w:rsid w:val="009A39B4"/>
    <w:rsid w:val="009A6F74"/>
    <w:rsid w:val="009B08CE"/>
    <w:rsid w:val="009B27BE"/>
    <w:rsid w:val="009B73FF"/>
    <w:rsid w:val="009C2169"/>
    <w:rsid w:val="009D69BC"/>
    <w:rsid w:val="009D6BD6"/>
    <w:rsid w:val="00A020E7"/>
    <w:rsid w:val="00A0418B"/>
    <w:rsid w:val="00A06C18"/>
    <w:rsid w:val="00A23267"/>
    <w:rsid w:val="00A349BB"/>
    <w:rsid w:val="00A42788"/>
    <w:rsid w:val="00A4339B"/>
    <w:rsid w:val="00A51FB5"/>
    <w:rsid w:val="00A61C51"/>
    <w:rsid w:val="00A63104"/>
    <w:rsid w:val="00A70BB0"/>
    <w:rsid w:val="00AA04C3"/>
    <w:rsid w:val="00AB0BA5"/>
    <w:rsid w:val="00AC19DC"/>
    <w:rsid w:val="00AC660A"/>
    <w:rsid w:val="00AD3537"/>
    <w:rsid w:val="00AD3C46"/>
    <w:rsid w:val="00AD60D7"/>
    <w:rsid w:val="00AF1B46"/>
    <w:rsid w:val="00AF5B11"/>
    <w:rsid w:val="00B141E7"/>
    <w:rsid w:val="00B218EC"/>
    <w:rsid w:val="00B239A5"/>
    <w:rsid w:val="00B4643F"/>
    <w:rsid w:val="00B5073E"/>
    <w:rsid w:val="00B5136F"/>
    <w:rsid w:val="00B62244"/>
    <w:rsid w:val="00B64B37"/>
    <w:rsid w:val="00B70B78"/>
    <w:rsid w:val="00B71F61"/>
    <w:rsid w:val="00B7299E"/>
    <w:rsid w:val="00B91BC1"/>
    <w:rsid w:val="00B95918"/>
    <w:rsid w:val="00B95DAB"/>
    <w:rsid w:val="00BB5A1B"/>
    <w:rsid w:val="00BD0701"/>
    <w:rsid w:val="00BE08BA"/>
    <w:rsid w:val="00BF4DCC"/>
    <w:rsid w:val="00BF62A6"/>
    <w:rsid w:val="00C2023C"/>
    <w:rsid w:val="00C517F3"/>
    <w:rsid w:val="00C61B0C"/>
    <w:rsid w:val="00C63885"/>
    <w:rsid w:val="00C731B5"/>
    <w:rsid w:val="00C85C34"/>
    <w:rsid w:val="00C9297A"/>
    <w:rsid w:val="00CA28AB"/>
    <w:rsid w:val="00CA31CF"/>
    <w:rsid w:val="00CA6A4E"/>
    <w:rsid w:val="00CB5FAA"/>
    <w:rsid w:val="00CD25B9"/>
    <w:rsid w:val="00CD6858"/>
    <w:rsid w:val="00CE06D1"/>
    <w:rsid w:val="00CE3CB6"/>
    <w:rsid w:val="00CE51F5"/>
    <w:rsid w:val="00CE52C8"/>
    <w:rsid w:val="00CF1BA4"/>
    <w:rsid w:val="00D06D35"/>
    <w:rsid w:val="00D11898"/>
    <w:rsid w:val="00D17D5D"/>
    <w:rsid w:val="00D2308B"/>
    <w:rsid w:val="00D30355"/>
    <w:rsid w:val="00D33353"/>
    <w:rsid w:val="00D376B1"/>
    <w:rsid w:val="00D4539B"/>
    <w:rsid w:val="00D508D3"/>
    <w:rsid w:val="00D51997"/>
    <w:rsid w:val="00D526EB"/>
    <w:rsid w:val="00D63A7B"/>
    <w:rsid w:val="00D73436"/>
    <w:rsid w:val="00D76FC4"/>
    <w:rsid w:val="00D94DEA"/>
    <w:rsid w:val="00DA6CC4"/>
    <w:rsid w:val="00DB3A09"/>
    <w:rsid w:val="00DC21B4"/>
    <w:rsid w:val="00DC4183"/>
    <w:rsid w:val="00DC7150"/>
    <w:rsid w:val="00DE6344"/>
    <w:rsid w:val="00DF628D"/>
    <w:rsid w:val="00DF7887"/>
    <w:rsid w:val="00E04474"/>
    <w:rsid w:val="00E04906"/>
    <w:rsid w:val="00E141A0"/>
    <w:rsid w:val="00E158C2"/>
    <w:rsid w:val="00E253DA"/>
    <w:rsid w:val="00E53509"/>
    <w:rsid w:val="00E53DE9"/>
    <w:rsid w:val="00E60064"/>
    <w:rsid w:val="00E648F5"/>
    <w:rsid w:val="00E66B46"/>
    <w:rsid w:val="00E81C8C"/>
    <w:rsid w:val="00E832AD"/>
    <w:rsid w:val="00EA5C3B"/>
    <w:rsid w:val="00EB261C"/>
    <w:rsid w:val="00ED0185"/>
    <w:rsid w:val="00EE1D54"/>
    <w:rsid w:val="00EE78A0"/>
    <w:rsid w:val="00EF0181"/>
    <w:rsid w:val="00EF330D"/>
    <w:rsid w:val="00F06147"/>
    <w:rsid w:val="00F43979"/>
    <w:rsid w:val="00F4714F"/>
    <w:rsid w:val="00F5342F"/>
    <w:rsid w:val="00F578AE"/>
    <w:rsid w:val="00F57F13"/>
    <w:rsid w:val="00F757B1"/>
    <w:rsid w:val="00F824D3"/>
    <w:rsid w:val="00F838C7"/>
    <w:rsid w:val="00F9012D"/>
    <w:rsid w:val="00F9127A"/>
    <w:rsid w:val="00FA4B91"/>
    <w:rsid w:val="00FB5346"/>
    <w:rsid w:val="00FB6527"/>
    <w:rsid w:val="00FC7A74"/>
    <w:rsid w:val="00FE6A7B"/>
    <w:rsid w:val="00FF01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075BA"/>
  <w15:chartTrackingRefBased/>
  <w15:docId w15:val="{32D26951-AA71-4155-AA8A-84D0C2AE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587B76"/>
    <w:pPr>
      <w:spacing w:after="0" w:line="240" w:lineRule="auto"/>
    </w:pPr>
  </w:style>
  <w:style w:type="character" w:styleId="CommentReference">
    <w:name w:val="annotation reference"/>
    <w:basedOn w:val="DefaultParagraphFont"/>
    <w:uiPriority w:val="99"/>
    <w:semiHidden/>
    <w:unhideWhenUsed/>
    <w:rsid w:val="00650F2A"/>
    <w:rPr>
      <w:sz w:val="16"/>
      <w:szCs w:val="16"/>
    </w:rPr>
  </w:style>
  <w:style w:type="paragraph" w:styleId="CommentText">
    <w:name w:val="annotation text"/>
    <w:basedOn w:val="Normal"/>
    <w:link w:val="CommentTextChar"/>
    <w:uiPriority w:val="99"/>
    <w:unhideWhenUsed/>
    <w:rsid w:val="00650F2A"/>
    <w:pPr>
      <w:spacing w:line="240" w:lineRule="auto"/>
    </w:pPr>
    <w:rPr>
      <w:sz w:val="20"/>
      <w:szCs w:val="20"/>
    </w:rPr>
  </w:style>
  <w:style w:type="character" w:customStyle="1" w:styleId="CommentTextChar">
    <w:name w:val="Comment Text Char"/>
    <w:basedOn w:val="DefaultParagraphFont"/>
    <w:link w:val="CommentText"/>
    <w:uiPriority w:val="99"/>
    <w:rsid w:val="00650F2A"/>
    <w:rPr>
      <w:sz w:val="20"/>
      <w:szCs w:val="20"/>
    </w:rPr>
  </w:style>
  <w:style w:type="paragraph" w:styleId="CommentSubject">
    <w:name w:val="annotation subject"/>
    <w:basedOn w:val="CommentText"/>
    <w:next w:val="CommentText"/>
    <w:link w:val="CommentSubjectChar"/>
    <w:uiPriority w:val="99"/>
    <w:semiHidden/>
    <w:unhideWhenUsed/>
    <w:rsid w:val="00650F2A"/>
    <w:rPr>
      <w:b/>
      <w:bCs/>
    </w:rPr>
  </w:style>
  <w:style w:type="character" w:customStyle="1" w:styleId="CommentSubjectChar">
    <w:name w:val="Comment Subject Char"/>
    <w:basedOn w:val="CommentTextChar"/>
    <w:link w:val="CommentSubject"/>
    <w:uiPriority w:val="99"/>
    <w:semiHidden/>
    <w:rsid w:val="00650F2A"/>
    <w:rPr>
      <w:b/>
      <w:bCs/>
      <w:sz w:val="20"/>
      <w:szCs w:val="20"/>
    </w:rPr>
  </w:style>
  <w:style w:type="paragraph" w:styleId="ListParagraph">
    <w:name w:val="List Paragraph"/>
    <w:basedOn w:val="Normal"/>
    <w:uiPriority w:val="34"/>
    <w:qFormat/>
    <w:rsid w:val="00626F20"/>
    <w:pPr>
      <w:ind w:left="720"/>
      <w:contextualSpacing/>
    </w:pPr>
  </w:style>
  <w:style w:type="character" w:customStyle="1" w:styleId="cf01">
    <w:name w:val="cf01"/>
    <w:basedOn w:val="DefaultParagraphFont"/>
    <w:rsid w:val="00F57F13"/>
    <w:rPr>
      <w:rFonts w:ascii="Segoe UI" w:hAnsi="Segoe UI" w:cs="Segoe UI" w:hint="default"/>
      <w:sz w:val="18"/>
      <w:szCs w:val="18"/>
    </w:rPr>
  </w:style>
  <w:style w:type="table" w:styleId="TableGrid">
    <w:name w:val="Table Grid"/>
    <w:basedOn w:val="TableNormal"/>
    <w:uiPriority w:val="39"/>
    <w:rsid w:val="00F57F13"/>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8</TotalTime>
  <Pages>7</Pages>
  <Words>8282</Words>
  <Characters>4721</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Veļhovska</dc:creator>
  <cp:keywords/>
  <dc:description/>
  <cp:lastModifiedBy>Ilze Grava</cp:lastModifiedBy>
  <cp:revision>4</cp:revision>
  <dcterms:created xsi:type="dcterms:W3CDTF">2024-11-14T19:04:00Z</dcterms:created>
  <dcterms:modified xsi:type="dcterms:W3CDTF">2024-11-15T12:08:00Z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