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2E245" w14:textId="77777777" w:rsidR="009C42A8" w:rsidRPr="0079205D" w:rsidRDefault="00616955"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01A68B980EC847478910CE44F3C6C583"/>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762F4CB3"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040436BE" w14:textId="77777777" w:rsidTr="00811BE5">
        <w:sdt>
          <w:sdtPr>
            <w:rPr>
              <w:rFonts w:cs="Times New Roman"/>
            </w:rPr>
            <w:id w:val="25447574"/>
            <w:lock w:val="sdtLocked"/>
            <w:placeholder>
              <w:docPart w:val="ACA3166E33EA49FEB9B93B4AE8BB9F3D"/>
            </w:placeholder>
            <w:showingPlcHdr/>
          </w:sdtPr>
          <w:sdtEndPr/>
          <w:sdtContent>
            <w:tc>
              <w:tcPr>
                <w:tcW w:w="4360" w:type="dxa"/>
                <w:vAlign w:val="bottom"/>
              </w:tcPr>
              <w:p w14:paraId="0F9E74DA"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4CF5928E" w14:textId="77777777" w:rsidR="003C1EF2" w:rsidRDefault="00616955" w:rsidP="00C523D5">
            <w:pPr>
              <w:pStyle w:val="NoSpacing"/>
              <w:ind w:right="-111"/>
              <w:jc w:val="right"/>
            </w:pPr>
            <w:sdt>
              <w:sdtPr>
                <w:id w:val="32932642"/>
                <w:lock w:val="sdtContentLocked"/>
                <w:placeholder>
                  <w:docPart w:val="27BD22AAFC94425A9679B09485AC1568"/>
                </w:placeholder>
                <w:showingPlcHdr/>
              </w:sdtPr>
              <w:sdtEndPr/>
              <w:sdtContent>
                <w:r w:rsidR="00F13DD7">
                  <w:t xml:space="preserve">Noteikumi </w:t>
                </w:r>
              </w:sdtContent>
            </w:sdt>
            <w:sdt>
              <w:sdtPr>
                <w:id w:val="25447619"/>
                <w:lock w:val="sdtContentLocked"/>
                <w:placeholder>
                  <w:docPart w:val="9BADB6798727478FA026FEB30AF1F6CB"/>
                </w:placeholder>
                <w:showingPlcHdr/>
              </w:sdtPr>
              <w:sdtEndPr/>
              <w:sdtContent>
                <w:r w:rsidR="003C1EF2">
                  <w:t xml:space="preserve">Nr. </w:t>
                </w:r>
              </w:sdtContent>
            </w:sdt>
            <w:sdt>
              <w:sdtPr>
                <w:id w:val="25447645"/>
                <w:lock w:val="sdtLocked"/>
                <w:placeholder>
                  <w:docPart w:val="B01B5B29DE1E466C838C41D16984E5CB"/>
                </w:placeholder>
                <w:showingPlcHdr/>
              </w:sdtPr>
              <w:sdtEndPr/>
              <w:sdtContent>
                <w:r w:rsidR="007A4159">
                  <w:t>_____</w:t>
                </w:r>
              </w:sdtContent>
            </w:sdt>
          </w:p>
        </w:tc>
      </w:tr>
    </w:tbl>
    <w:sdt>
      <w:sdtPr>
        <w:rPr>
          <w:rFonts w:cs="Times New Roman"/>
          <w:szCs w:val="24"/>
        </w:rPr>
        <w:id w:val="25447675"/>
        <w:lock w:val="sdtContentLocked"/>
        <w:placeholder>
          <w:docPart w:val="D7C54790B4DA40EFB8A72BF917730A3A"/>
        </w:placeholder>
        <w:showingPlcHdr/>
      </w:sdtPr>
      <w:sdtEndPr/>
      <w:sdtContent>
        <w:p w14:paraId="30B4D2BE" w14:textId="77777777" w:rsidR="003C1EF2" w:rsidRDefault="00C2284A" w:rsidP="00C2284A">
          <w:pPr>
            <w:rPr>
              <w:rFonts w:cs="Times New Roman"/>
              <w:szCs w:val="24"/>
            </w:rPr>
          </w:pPr>
          <w:r>
            <w:rPr>
              <w:rFonts w:cs="Times New Roman"/>
              <w:szCs w:val="24"/>
            </w:rPr>
            <w:t>Rīgā</w:t>
          </w:r>
        </w:p>
      </w:sdtContent>
    </w:sdt>
    <w:p w14:paraId="240593F3" w14:textId="321A0B10" w:rsidR="00C2284A" w:rsidRDefault="00616955" w:rsidP="00C2284A">
      <w:pPr>
        <w:spacing w:before="240" w:after="240"/>
        <w:rPr>
          <w:rFonts w:cs="Times New Roman"/>
          <w:b/>
          <w:szCs w:val="24"/>
        </w:rPr>
      </w:pPr>
      <w:sdt>
        <w:sdtPr>
          <w:rPr>
            <w:rFonts w:cs="Times New Roman"/>
            <w:b/>
            <w:szCs w:val="24"/>
          </w:rPr>
          <w:alias w:val="Nosaukums"/>
          <w:tag w:val="Nosaukums"/>
          <w:id w:val="25447728"/>
          <w:placeholder>
            <w:docPart w:val="6BDF513A8A354C80B455BA44413B1102"/>
          </w:placeholder>
        </w:sdtPr>
        <w:sdtEndPr/>
        <w:sdtContent>
          <w:r w:rsidR="00AB3B36" w:rsidRPr="00AB3B36">
            <w:rPr>
              <w:rFonts w:cs="Times New Roman"/>
              <w:b/>
              <w:szCs w:val="24"/>
            </w:rPr>
            <w:t>Privāto pensiju fondu maksātspējas normas un pašu kapitāla aprēķināšanas noteikumi</w:t>
          </w:r>
        </w:sdtContent>
      </w:sdt>
    </w:p>
    <w:p w14:paraId="05098B5A" w14:textId="77777777" w:rsidR="00C2284A" w:rsidRDefault="00616955" w:rsidP="00DB385B">
      <w:pPr>
        <w:jc w:val="right"/>
        <w:rPr>
          <w:rFonts w:cs="Times New Roman"/>
          <w:szCs w:val="24"/>
        </w:rPr>
      </w:pPr>
      <w:sdt>
        <w:sdtPr>
          <w:rPr>
            <w:rFonts w:cs="Times New Roman"/>
            <w:color w:val="808080"/>
            <w:szCs w:val="24"/>
          </w:rPr>
          <w:id w:val="32932717"/>
          <w:lock w:val="sdtContentLocked"/>
          <w:placeholder>
            <w:docPart w:val="5CE0E63A4731417DB30CEEDCDCEA2A75"/>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5DC25A285B534264B9BD82DF5DBEF6AF"/>
          </w:placeholder>
          <w:showingPlcHdr/>
        </w:sdtPr>
        <w:sdtEndPr/>
        <w:sdtContent>
          <w:r w:rsidR="00301089">
            <w:rPr>
              <w:rFonts w:cs="Times New Roman"/>
              <w:szCs w:val="24"/>
            </w:rPr>
            <w:t>saskaņā ar</w:t>
          </w:r>
        </w:sdtContent>
      </w:sdt>
    </w:p>
    <w:sdt>
      <w:sdtPr>
        <w:rPr>
          <w:rFonts w:cs="Times New Roman"/>
          <w:szCs w:val="24"/>
        </w:rPr>
        <w:id w:val="25447800"/>
        <w:placeholder>
          <w:docPart w:val="1013039B90C248169CCC39ACD989CEF3"/>
        </w:placeholder>
      </w:sdtPr>
      <w:sdtEndPr/>
      <w:sdtContent>
        <w:p w14:paraId="5A33A667" w14:textId="07756B48" w:rsidR="00301089" w:rsidRDefault="00AB3B36" w:rsidP="00DB385B">
          <w:pPr>
            <w:jc w:val="right"/>
            <w:rPr>
              <w:rFonts w:cs="Times New Roman"/>
              <w:szCs w:val="24"/>
            </w:rPr>
          </w:pPr>
          <w:r w:rsidRPr="00AB3B36">
            <w:rPr>
              <w:rFonts w:cs="Times New Roman"/>
              <w:szCs w:val="24"/>
            </w:rPr>
            <w:t>Privāto pensiju fondu likuma</w:t>
          </w:r>
        </w:p>
      </w:sdtContent>
    </w:sdt>
    <w:p w14:paraId="0A83ABCA" w14:textId="668E3DCB" w:rsidR="00301089" w:rsidRDefault="00616955" w:rsidP="00DB385B">
      <w:pPr>
        <w:jc w:val="right"/>
        <w:rPr>
          <w:rFonts w:cs="Times New Roman"/>
          <w:color w:val="808080"/>
          <w:szCs w:val="24"/>
        </w:rPr>
      </w:pPr>
      <w:sdt>
        <w:sdtPr>
          <w:rPr>
            <w:rFonts w:cs="Times New Roman"/>
            <w:color w:val="000000" w:themeColor="text1"/>
            <w:szCs w:val="24"/>
          </w:rPr>
          <w:id w:val="25447827"/>
          <w:placeholder>
            <w:docPart w:val="4BF3A64F5AAC464697E6D815FE9D984E"/>
          </w:placeholder>
        </w:sdtPr>
        <w:sdtEndPr/>
        <w:sdtContent>
          <w:r w:rsidR="00AB3B36">
            <w:rPr>
              <w:rFonts w:cs="Times New Roman"/>
              <w:color w:val="000000" w:themeColor="text1"/>
              <w:szCs w:val="24"/>
            </w:rPr>
            <w:t>25</w:t>
          </w:r>
        </w:sdtContent>
      </w:sdt>
      <w:sdt>
        <w:sdtPr>
          <w:rPr>
            <w:rFonts w:cs="Times New Roman"/>
            <w:color w:val="808080"/>
            <w:szCs w:val="24"/>
          </w:rPr>
          <w:id w:val="25447854"/>
          <w:placeholder>
            <w:docPart w:val="C73F8DC89CC94BC1AB9E8D2B4C1C0CD6"/>
          </w:placeholder>
          <w:showingPlcHdr/>
        </w:sdtPr>
        <w:sdtEndPr/>
        <w:sdtContent>
          <w:r w:rsidR="00DB385B">
            <w:rPr>
              <w:rFonts w:cs="Times New Roman"/>
              <w:szCs w:val="24"/>
            </w:rPr>
            <w:t>. panta</w:t>
          </w:r>
        </w:sdtContent>
      </w:sdt>
      <w:r w:rsidR="00DB385B">
        <w:rPr>
          <w:rFonts w:cs="Times New Roman"/>
          <w:szCs w:val="24"/>
        </w:rPr>
        <w:t xml:space="preserve"> </w:t>
      </w:r>
      <w:sdt>
        <w:sdtPr>
          <w:rPr>
            <w:rFonts w:cs="Times New Roman"/>
            <w:szCs w:val="24"/>
          </w:rPr>
          <w:id w:val="25447881"/>
          <w:placeholder>
            <w:docPart w:val="8F60D2C69AC64C268A372F73E5E0C4D8"/>
          </w:placeholder>
        </w:sdtPr>
        <w:sdtEndPr/>
        <w:sdtContent>
          <w:r w:rsidR="00AB3B36">
            <w:rPr>
              <w:rFonts w:cs="Times New Roman"/>
              <w:szCs w:val="24"/>
            </w:rPr>
            <w:t>sesto</w:t>
          </w:r>
        </w:sdtContent>
      </w:sdt>
      <w:r w:rsidR="00DB385B">
        <w:rPr>
          <w:rFonts w:cs="Times New Roman"/>
          <w:szCs w:val="24"/>
        </w:rPr>
        <w:t xml:space="preserve"> daļ</w:t>
      </w:r>
      <w:r w:rsidR="00AB3B36">
        <w:rPr>
          <w:rFonts w:cs="Times New Roman"/>
          <w:szCs w:val="24"/>
        </w:rPr>
        <w:t>u</w:t>
      </w:r>
    </w:p>
    <w:p w14:paraId="55F11B1F" w14:textId="47473F7C" w:rsidR="00AB3B36" w:rsidRDefault="00745937" w:rsidP="001E693E">
      <w:pPr>
        <w:pStyle w:val="NApunkts1"/>
      </w:pPr>
      <w:r>
        <w:t>N</w:t>
      </w:r>
      <w:r w:rsidR="00AB3B36">
        <w:t xml:space="preserve">oteikumi </w:t>
      </w:r>
      <w:r w:rsidR="00102613">
        <w:t>nosaka m</w:t>
      </w:r>
      <w:r w:rsidR="00102613" w:rsidRPr="00102613">
        <w:t xml:space="preserve">aksātspējas normas un pašu kapitāla aprēķināšanas kārtību privātajiem pensiju fondiem, kuri piedāvā noteikto iemaksu pensiju plānus ar garantētu ienesīgumu vai noteikto izmaksu pensiju plānus vai pensiju plānos paredz </w:t>
      </w:r>
      <w:proofErr w:type="spellStart"/>
      <w:r w:rsidR="00102613" w:rsidRPr="00102613">
        <w:t>biometrisko</w:t>
      </w:r>
      <w:proofErr w:type="spellEnd"/>
      <w:r w:rsidR="00102613" w:rsidRPr="00102613">
        <w:t xml:space="preserve"> risku segumu (turpmāk – pensiju fond</w:t>
      </w:r>
      <w:r w:rsidR="00FD0EED">
        <w:t>s</w:t>
      </w:r>
      <w:r w:rsidR="00102613" w:rsidRPr="00102613">
        <w:t>)</w:t>
      </w:r>
      <w:r w:rsidR="00DF32DD">
        <w:t xml:space="preserve">, izņemot </w:t>
      </w:r>
      <w:r w:rsidR="00DF32DD" w:rsidRPr="00DF32DD">
        <w:t>slēgt</w:t>
      </w:r>
      <w:r w:rsidR="00DF32DD">
        <w:t>os</w:t>
      </w:r>
      <w:r w:rsidR="00DF32DD" w:rsidRPr="00DF32DD">
        <w:t xml:space="preserve"> pensiju fond</w:t>
      </w:r>
      <w:r w:rsidR="00DF32DD">
        <w:t>us</w:t>
      </w:r>
      <w:r w:rsidR="00DF32DD" w:rsidRPr="00DF32DD">
        <w:t>, ja darba devējs ir uzņēmies atbildību par slēgtā pensiju fonda pensiju plānos noteikto saistību izpildi</w:t>
      </w:r>
      <w:r w:rsidR="00AB3B36">
        <w:t>.</w:t>
      </w:r>
    </w:p>
    <w:p w14:paraId="295DAECD" w14:textId="135B3FE8" w:rsidR="00AB3B36" w:rsidRDefault="00AB3B36" w:rsidP="00AB3B36">
      <w:pPr>
        <w:pStyle w:val="NApunkts1"/>
      </w:pPr>
      <w:r>
        <w:t>Noteikumos lietoti</w:t>
      </w:r>
      <w:r w:rsidR="00CD6735">
        <w:t xml:space="preserve"> šādi</w:t>
      </w:r>
      <w:r>
        <w:t xml:space="preserve"> termini: </w:t>
      </w:r>
    </w:p>
    <w:p w14:paraId="0A07B0B6" w14:textId="10060587" w:rsidR="00AB3B36" w:rsidRPr="00616955" w:rsidRDefault="00AB3B36" w:rsidP="00AB3B36">
      <w:pPr>
        <w:pStyle w:val="NApunkts2"/>
      </w:pPr>
      <w:r>
        <w:t>riskam pakļautais bruto kapitāls</w:t>
      </w:r>
      <w:r w:rsidR="005D2EFA">
        <w:t> </w:t>
      </w:r>
      <w:r>
        <w:t xml:space="preserve">– lielums, kas veidojas, atņemot no bruto summas, kas izmaksājama nāves </w:t>
      </w:r>
      <w:r w:rsidRPr="00616955">
        <w:t>gadījumā saskaņā ar pensiju plāna dalībniekam garantēto nāves riska segumu, bruto pensiju tehniskās rezerves;</w:t>
      </w:r>
    </w:p>
    <w:p w14:paraId="47DF9821" w14:textId="4DC1527E" w:rsidR="00AB3B36" w:rsidRPr="00616955" w:rsidRDefault="00AB3B36" w:rsidP="00DF32DD">
      <w:pPr>
        <w:pStyle w:val="NApunkts2"/>
      </w:pPr>
      <w:r w:rsidRPr="00616955">
        <w:t>riskam pakļautais neto kapitāls</w:t>
      </w:r>
      <w:r w:rsidR="005D2EFA" w:rsidRPr="00616955">
        <w:t> </w:t>
      </w:r>
      <w:r w:rsidRPr="00616955">
        <w:t>– lielums, kas veidojas, atņemot no neto summas, kas izmaksājama nāves gadījumā saskaņā ar pensiju plāna dalībniekam garantēto nāves riska segumu, neto pensiju tehniskās rezerves</w:t>
      </w:r>
      <w:r w:rsidR="009C389D" w:rsidRPr="00616955">
        <w:t>.</w:t>
      </w:r>
    </w:p>
    <w:p w14:paraId="362916EE" w14:textId="5FE8FA2D" w:rsidR="00AB3B36" w:rsidRPr="00616955" w:rsidRDefault="00AB3B36" w:rsidP="00AB3B36">
      <w:pPr>
        <w:pStyle w:val="NApunkts1"/>
      </w:pPr>
      <w:r w:rsidRPr="00616955">
        <w:t>Pensiju fonda maksātspējas norma ir šādu lielumu summa:</w:t>
      </w:r>
    </w:p>
    <w:p w14:paraId="61616D78" w14:textId="1ACD6083" w:rsidR="00AB3B36" w:rsidRPr="00616955" w:rsidRDefault="00AB3B36" w:rsidP="00AB3B36">
      <w:pPr>
        <w:pStyle w:val="NApunkts2"/>
      </w:pPr>
      <w:r w:rsidRPr="00616955">
        <w:t xml:space="preserve">ja pensiju fonds piedāvā noteikto iemaksu pensiju plānus ar garantētu ienesīgumu vai noteikto izmaksu pensiju plānus, tad aprēķina </w:t>
      </w:r>
      <w:r w:rsidR="00CD6735" w:rsidRPr="00616955">
        <w:t>četrus</w:t>
      </w:r>
      <w:r w:rsidR="00F10BC6" w:rsidRPr="00616955">
        <w:t xml:space="preserve"> </w:t>
      </w:r>
      <w:r w:rsidRPr="00616955">
        <w:t>procentus no bruto pensiju tehniskajām rezervēm, kas attiecas uz šiem pensiju plānu dalības līgumiem. Iegūt</w:t>
      </w:r>
      <w:r w:rsidR="00CD6735" w:rsidRPr="00616955">
        <w:t>o</w:t>
      </w:r>
      <w:r w:rsidRPr="00616955">
        <w:t xml:space="preserve"> lielum</w:t>
      </w:r>
      <w:r w:rsidR="00CD6735" w:rsidRPr="00616955">
        <w:t>u reizina</w:t>
      </w:r>
      <w:r w:rsidRPr="00616955">
        <w:t xml:space="preserve"> ar koeficientu, kas </w:t>
      </w:r>
      <w:r w:rsidR="00040440" w:rsidRPr="00616955">
        <w:t xml:space="preserve">aprēķināts </w:t>
      </w:r>
      <w:r w:rsidRPr="00616955">
        <w:t>kā attiecība starp šo dalības līgumu neto pensiju tehniskajām rezervēm un šo dalības līgumu bruto pensiju tehniskajām rezervēm pārskata perioda beigās. Šis koeficients nedrīkst būt mazāks par 0</w:t>
      </w:r>
      <w:r w:rsidR="00F10BC6" w:rsidRPr="00616955">
        <w:t>.</w:t>
      </w:r>
      <w:r w:rsidRPr="00616955">
        <w:t>85;</w:t>
      </w:r>
    </w:p>
    <w:p w14:paraId="71B17998" w14:textId="588CBC06" w:rsidR="00AB3B36" w:rsidRPr="00616955" w:rsidRDefault="00AB3B36" w:rsidP="00AB3B36">
      <w:pPr>
        <w:pStyle w:val="NApunkts2"/>
      </w:pPr>
      <w:r w:rsidRPr="00616955">
        <w:t xml:space="preserve">ja pensiju fonds piedāvā noteikto iemaksu pensiju plānus bez garantēta ienesīguma, kuros paredzēts </w:t>
      </w:r>
      <w:proofErr w:type="spellStart"/>
      <w:r w:rsidRPr="00616955">
        <w:t>biometrisko</w:t>
      </w:r>
      <w:proofErr w:type="spellEnd"/>
      <w:r w:rsidRPr="00616955">
        <w:t xml:space="preserve"> risku segums, tad aprēķina </w:t>
      </w:r>
      <w:r w:rsidR="00CD6735" w:rsidRPr="00616955">
        <w:t>vienu</w:t>
      </w:r>
      <w:r w:rsidR="00F10BC6" w:rsidRPr="00616955">
        <w:t xml:space="preserve"> </w:t>
      </w:r>
      <w:r w:rsidRPr="00616955">
        <w:t>procentu no bruto pensiju tehniskajām rezervēm, kas attiecas uz šiem dalības līgumiem. Iegūt</w:t>
      </w:r>
      <w:r w:rsidR="00CD6735" w:rsidRPr="00616955">
        <w:t>o</w:t>
      </w:r>
      <w:r w:rsidRPr="00616955">
        <w:t xml:space="preserve"> lielum</w:t>
      </w:r>
      <w:r w:rsidR="00CD6735" w:rsidRPr="00616955">
        <w:t>u reizina</w:t>
      </w:r>
      <w:r w:rsidRPr="00616955">
        <w:t xml:space="preserve"> ar koeficientu, kas </w:t>
      </w:r>
      <w:r w:rsidR="00040440" w:rsidRPr="00616955">
        <w:t xml:space="preserve">aprēķināts </w:t>
      </w:r>
      <w:r w:rsidRPr="00616955">
        <w:t>kā attiecība starp šo dalības līgumu neto pensiju tehniskajām rezervēm un šo dalības līgumu bruto pensiju tehniskajām rezervēm pārskata perioda beigās. Šis koeficients nedrīkst būt mazāks par 0</w:t>
      </w:r>
      <w:r w:rsidR="00F10BC6" w:rsidRPr="00616955">
        <w:t>.</w:t>
      </w:r>
      <w:r w:rsidRPr="00616955">
        <w:t>85;</w:t>
      </w:r>
    </w:p>
    <w:p w14:paraId="75264A85" w14:textId="20769FC1" w:rsidR="00840034" w:rsidRPr="00616955" w:rsidRDefault="00AB3B36" w:rsidP="00AB3B36">
      <w:pPr>
        <w:pStyle w:val="NApunkts2"/>
      </w:pPr>
      <w:r w:rsidRPr="00616955">
        <w:t>ja šo noteikumu 3.1.</w:t>
      </w:r>
      <w:r w:rsidR="00F10BC6" w:rsidRPr="00616955">
        <w:t> </w:t>
      </w:r>
      <w:r w:rsidRPr="00616955">
        <w:t>un 3.2.</w:t>
      </w:r>
      <w:r w:rsidR="005D2EFA" w:rsidRPr="00616955">
        <w:t> apakš</w:t>
      </w:r>
      <w:r w:rsidRPr="00616955">
        <w:t>punktā minētajos pensiju plānos paredzēts nāves riska segums, tad pensiju plāna dalības līgumiem, kuriem riskam pakļautais bruto kapitāls nav negatīvs lielums, aprēķina 0</w:t>
      </w:r>
      <w:r w:rsidR="00F10BC6" w:rsidRPr="00616955">
        <w:t>.</w:t>
      </w:r>
      <w:r w:rsidRPr="00616955">
        <w:t>3</w:t>
      </w:r>
      <w:r w:rsidR="005D2EFA" w:rsidRPr="00616955">
        <w:t> </w:t>
      </w:r>
      <w:r w:rsidRPr="00616955">
        <w:t>procentus no riskam pakļautā bruto kapitāla un iegūto lielumu kopsummu reizina ar koeficientu, kas aprēķināts kā attiecība starp riskam pakļauto neto kapitālu un riskam pakļauto bruto kapitālu. Šis koeficients nedrīkst būt mazāks par 0</w:t>
      </w:r>
      <w:r w:rsidR="00F10BC6" w:rsidRPr="00616955">
        <w:t>.</w:t>
      </w:r>
      <w:r w:rsidRPr="00616955">
        <w:t>5.</w:t>
      </w:r>
    </w:p>
    <w:p w14:paraId="57217B14" w14:textId="064AFC7A" w:rsidR="00AB3B36" w:rsidRPr="00616955" w:rsidRDefault="00AB3B36" w:rsidP="00AB3B36">
      <w:pPr>
        <w:pStyle w:val="NApunkts1"/>
      </w:pPr>
      <w:r w:rsidRPr="00616955">
        <w:lastRenderedPageBreak/>
        <w:t>Pensiju fonda pašu kapitāla aprēķinā iekļauj:</w:t>
      </w:r>
    </w:p>
    <w:p w14:paraId="3A7B9751" w14:textId="5034888A" w:rsidR="00AB3B36" w:rsidRPr="00616955" w:rsidRDefault="00AB3B36" w:rsidP="00AB3B36">
      <w:pPr>
        <w:pStyle w:val="NApunkts2"/>
      </w:pPr>
      <w:r w:rsidRPr="00616955">
        <w:t>pensiju fonda apmaksāto pamatkapitālu, kas samazināts par priekšrocību akcijām ar dividenžu uzkrāšanu;</w:t>
      </w:r>
    </w:p>
    <w:p w14:paraId="3268CB3A" w14:textId="09053C9A" w:rsidR="00AB3B36" w:rsidRPr="00616955" w:rsidRDefault="00AB3B36" w:rsidP="00AB3B36">
      <w:pPr>
        <w:pStyle w:val="NApunkts2"/>
      </w:pPr>
      <w:r w:rsidRPr="00616955">
        <w:t>akciju emisijas uzcenojumu;</w:t>
      </w:r>
    </w:p>
    <w:p w14:paraId="794950E0" w14:textId="08F3CC65" w:rsidR="00AB3B36" w:rsidRPr="00616955" w:rsidRDefault="00AB3B36" w:rsidP="00AB3B36">
      <w:pPr>
        <w:pStyle w:val="NApunkts2"/>
      </w:pPr>
      <w:r w:rsidRPr="00616955">
        <w:t>rezerves kapitālu un pārējās rezerves, izņemot pensiju tehniskās rezerves un pārvērtēšanas rezerves;</w:t>
      </w:r>
    </w:p>
    <w:p w14:paraId="0CB0954B" w14:textId="1F076141" w:rsidR="00AB3B36" w:rsidRPr="00616955" w:rsidRDefault="00AB3B36" w:rsidP="00AB3B36">
      <w:pPr>
        <w:pStyle w:val="NApunkts2"/>
      </w:pPr>
      <w:r w:rsidRPr="00616955">
        <w:t>iepriekšējo gadu revidēto nesadalīto peļņu vai zaudējumus;</w:t>
      </w:r>
    </w:p>
    <w:p w14:paraId="6D5C11B8" w14:textId="7ED25533" w:rsidR="00AB3B36" w:rsidRPr="00616955" w:rsidRDefault="00AB3B36" w:rsidP="00AB3B36">
      <w:pPr>
        <w:pStyle w:val="NApunkts2"/>
      </w:pPr>
      <w:r w:rsidRPr="00616955">
        <w:t>samazinājumu par:</w:t>
      </w:r>
    </w:p>
    <w:p w14:paraId="0020B7E2" w14:textId="456C3272" w:rsidR="00AB3B36" w:rsidRPr="00616955" w:rsidRDefault="00AB3B36" w:rsidP="00F527C2">
      <w:pPr>
        <w:pStyle w:val="NApunkts3"/>
      </w:pPr>
      <w:r w:rsidRPr="00616955">
        <w:t>pensiju fonda īpašumā esošajām pašu akcijām, nemateriālajiem aktīviem un pārskata perioda zaudējumiem;</w:t>
      </w:r>
    </w:p>
    <w:p w14:paraId="023B0C48" w14:textId="01DB6644" w:rsidR="00AB3B36" w:rsidRPr="00616955" w:rsidRDefault="00AB3B36" w:rsidP="00F527C2">
      <w:pPr>
        <w:pStyle w:val="NApunkts3"/>
      </w:pPr>
      <w:r w:rsidRPr="00616955">
        <w:t>ieguldījumiem tādu kredītiestāžu, finanšu iestāžu</w:t>
      </w:r>
      <w:r w:rsidR="00DF32DD" w:rsidRPr="00616955">
        <w:t xml:space="preserve"> Kredītiestāžu likuma izpratnē</w:t>
      </w:r>
      <w:r w:rsidRPr="00616955">
        <w:t xml:space="preserve">, apdrošināšanas sabiedrību un </w:t>
      </w:r>
      <w:proofErr w:type="spellStart"/>
      <w:r w:rsidRPr="00616955">
        <w:t>pārapdrošinātāju</w:t>
      </w:r>
      <w:proofErr w:type="spellEnd"/>
      <w:r w:rsidRPr="00616955">
        <w:t xml:space="preserve"> kapitālā un rezervēs un subordinētajā kapitālā, kuros pensiju fondam tieši vai netieši pieder 20</w:t>
      </w:r>
      <w:r w:rsidR="005D2EFA" w:rsidRPr="00616955">
        <w:t> </w:t>
      </w:r>
      <w:r w:rsidRPr="00616955">
        <w:t>procent</w:t>
      </w:r>
      <w:r w:rsidR="00F10BC6" w:rsidRPr="00616955">
        <w:t>u</w:t>
      </w:r>
      <w:r w:rsidRPr="00616955">
        <w:t xml:space="preserve"> vai vairāk no pamatkapitāla vai kopējā balsstiesīgo akciju, paju vai daļu skaita.</w:t>
      </w:r>
    </w:p>
    <w:p w14:paraId="3BCD17E4" w14:textId="51D938B2" w:rsidR="00AB3B36" w:rsidRPr="00616955" w:rsidRDefault="00AB3B36" w:rsidP="00F527C2">
      <w:pPr>
        <w:pStyle w:val="NApunkts1"/>
      </w:pPr>
      <w:r w:rsidRPr="00616955">
        <w:t>Pensiju fonda pašu kapitāla aprēķinā papildus iekļauj:</w:t>
      </w:r>
    </w:p>
    <w:p w14:paraId="461A4DDF" w14:textId="0E991421" w:rsidR="00AB3B36" w:rsidRPr="00616955" w:rsidRDefault="00AB3B36" w:rsidP="00AB3B36">
      <w:pPr>
        <w:pStyle w:val="NApunkts2"/>
      </w:pPr>
      <w:r w:rsidRPr="00616955">
        <w:t xml:space="preserve"> subordinēto kapitālu</w:t>
      </w:r>
      <w:r w:rsidR="005D2EFA" w:rsidRPr="00616955">
        <w:t> </w:t>
      </w:r>
      <w:r w:rsidRPr="00616955">
        <w:t>– pensiju fonda aizņēmumus, kuru rakstveida darījumu aktos nepārprotami noteikts, ka aizdevējs ir tiesīgs prasīt aizdevuma atmaksu pirms termiņa vienīgi pensiju fonda likvidācijas gadījumā un aizdevēja prasījums tiek apmierināts tikai pēc visu citu kreditoru prasībām, bet pirms akcionāru prasībām un aizņēmuma līgums atbilst šādiem nosacījumiem:</w:t>
      </w:r>
    </w:p>
    <w:p w14:paraId="7A2A4378" w14:textId="58EEE630" w:rsidR="00AB3B36" w:rsidRPr="00616955" w:rsidRDefault="00AB3B36" w:rsidP="00F527C2">
      <w:pPr>
        <w:pStyle w:val="NApunkts3"/>
      </w:pPr>
      <w:r w:rsidRPr="00616955">
        <w:t xml:space="preserve">noteiktā termiņā atmaksājamā subordinētā kapitāla aizņēmuma sākotnējais termiņš nav mazāks par pieciem gadiem vai beztermiņa subordinētā kapitāla aizņēmuma līgumā ir paredzēts, ka to atmaksā ne </w:t>
      </w:r>
      <w:r w:rsidR="00040440" w:rsidRPr="00616955">
        <w:t>ag</w:t>
      </w:r>
      <w:r w:rsidRPr="00616955">
        <w:t>rāk kā piecus gadus pēc paziņojuma par aizņēmuma uzteikum</w:t>
      </w:r>
      <w:r w:rsidR="000060C5" w:rsidRPr="00616955">
        <w:t>a</w:t>
      </w:r>
      <w:r w:rsidRPr="00616955">
        <w:t xml:space="preserve"> saņemšanas;</w:t>
      </w:r>
    </w:p>
    <w:p w14:paraId="426B3C2B" w14:textId="5D98315F" w:rsidR="00AB3B36" w:rsidRPr="00616955" w:rsidRDefault="00AB3B36" w:rsidP="00F527C2">
      <w:pPr>
        <w:pStyle w:val="NApunkts3"/>
      </w:pPr>
      <w:r w:rsidRPr="00616955">
        <w:t xml:space="preserve">aizņēmuma līgumā nav noteikti citi nosacījumi aizņēmuma pirmstermiņa atmaksai, izņemot pensiju fonda likvidāciju vai ja saņemta </w:t>
      </w:r>
      <w:r w:rsidR="009C389D" w:rsidRPr="00616955">
        <w:t xml:space="preserve">Latvijas Bankas </w:t>
      </w:r>
      <w:r w:rsidRPr="00616955">
        <w:t>atļauja</w:t>
      </w:r>
      <w:r w:rsidR="0025768B" w:rsidRPr="00616955">
        <w:t>, kuru izsniedz, ja pēc aizņēmuma atmaksāšanas tiks izpildīta Privāto pensiju fondu likuma 25. panta ceturtajā un piektajā daļā noteiktā maksātspējas prasība</w:t>
      </w:r>
      <w:r w:rsidRPr="00616955">
        <w:t>;</w:t>
      </w:r>
    </w:p>
    <w:p w14:paraId="26F014EA" w14:textId="6D3734EA" w:rsidR="00AB3B36" w:rsidRPr="00616955" w:rsidRDefault="00AB3B36" w:rsidP="00F527C2">
      <w:pPr>
        <w:pStyle w:val="NApunkts3"/>
      </w:pPr>
      <w:r w:rsidRPr="00616955">
        <w:t xml:space="preserve">aizņēmuma līguma noteikumus var grozīt tikai ar </w:t>
      </w:r>
      <w:r w:rsidR="009C389D" w:rsidRPr="00616955">
        <w:t xml:space="preserve">Latvijas Bankas </w:t>
      </w:r>
      <w:r w:rsidRPr="00616955">
        <w:t>iepriekšēju rakstveida atļauju;</w:t>
      </w:r>
    </w:p>
    <w:p w14:paraId="635F1FEF" w14:textId="6347623E" w:rsidR="00AB3B36" w:rsidRPr="00616955" w:rsidRDefault="00AB3B36" w:rsidP="00AB3B36">
      <w:pPr>
        <w:pStyle w:val="NApunkts2"/>
      </w:pPr>
      <w:r w:rsidRPr="00616955">
        <w:t xml:space="preserve">priekšrocību akcijas ar dividenžu uzkrāšanu ar noteikumu, ka pensiju fonda likvidācijas gadījumā šīs akcijas tiek atmaksātas pēc visu citu kreditoru prasībām, bet pirms pārējo akcionāru prasībām, </w:t>
      </w:r>
      <w:r w:rsidR="000060C5" w:rsidRPr="00616955">
        <w:t>tai skaitā</w:t>
      </w:r>
      <w:r w:rsidRPr="00616955">
        <w:t>:</w:t>
      </w:r>
    </w:p>
    <w:p w14:paraId="5359063D" w14:textId="123D419E" w:rsidR="00AB3B36" w:rsidRPr="00616955" w:rsidRDefault="00AB3B36" w:rsidP="00F527C2">
      <w:pPr>
        <w:pStyle w:val="NApunkts3"/>
      </w:pPr>
      <w:r w:rsidRPr="00616955">
        <w:t>noteiktā termiņā dzēšamās priekšrocību akcijas ar dividenžu uzkrāšanu;</w:t>
      </w:r>
    </w:p>
    <w:p w14:paraId="19513A03" w14:textId="3A227A5A" w:rsidR="00AB3B36" w:rsidRPr="00616955" w:rsidRDefault="00AB3B36" w:rsidP="00F527C2">
      <w:pPr>
        <w:pStyle w:val="NApunkts3"/>
      </w:pPr>
      <w:r w:rsidRPr="00616955">
        <w:t>beztermiņa priekšrocību akcijas ar dividenžu uzkrāšanu, kas atbilst šādiem nosacījumiem:</w:t>
      </w:r>
    </w:p>
    <w:p w14:paraId="5C2B557D" w14:textId="213C01D2" w:rsidR="00AB3B36" w:rsidRPr="00616955" w:rsidRDefault="00AB3B36" w:rsidP="00F527C2">
      <w:pPr>
        <w:pStyle w:val="NApunkts4"/>
      </w:pPr>
      <w:r w:rsidRPr="00616955">
        <w:t xml:space="preserve">tās nevar atmaksāt pēc turētāja iniciatīvas vai bez </w:t>
      </w:r>
      <w:r w:rsidR="009C389D" w:rsidRPr="00616955">
        <w:t xml:space="preserve">Latvijas </w:t>
      </w:r>
      <w:r w:rsidR="000060C5" w:rsidRPr="00616955">
        <w:t>B</w:t>
      </w:r>
      <w:r w:rsidR="009C389D" w:rsidRPr="00616955">
        <w:t xml:space="preserve">ankas </w:t>
      </w:r>
      <w:r w:rsidRPr="00616955">
        <w:t>iepriekšējas atļaujas</w:t>
      </w:r>
      <w:r w:rsidR="005D2EFA" w:rsidRPr="00616955">
        <w:t>;</w:t>
      </w:r>
    </w:p>
    <w:p w14:paraId="057B726F" w14:textId="2B27E332" w:rsidR="00AB3B36" w:rsidRPr="00616955" w:rsidRDefault="00AB3B36" w:rsidP="00F527C2">
      <w:pPr>
        <w:pStyle w:val="NApunkts4"/>
      </w:pPr>
      <w:r w:rsidRPr="00616955">
        <w:t>emisijas prospektā ir paredzēts, ka pensiju fondam ir tiesības atlikt dividenžu izmaksu un parāda saistību samaksu, ja pensiju fondam pēc šādu maksājumu veikšanas veidojas nepietiekams pašu kapitāla apmērs;</w:t>
      </w:r>
    </w:p>
    <w:p w14:paraId="6BE1AD84" w14:textId="6001B513" w:rsidR="00AB3B36" w:rsidRPr="00616955" w:rsidRDefault="00AB3B36" w:rsidP="00AB3B36">
      <w:pPr>
        <w:pStyle w:val="NApunkts2"/>
      </w:pPr>
      <w:r w:rsidRPr="00616955">
        <w:t>pilnībā saņemto noteiktā termiņā atmaksājamo un beztermiņa subordinēto kapitālu un noteiktā termiņā dzēšamās un beztermiņa priekšrocību akcijas ar dividenžu uzkrāšanu tādā apmērā, kas kopsummā nepārsniedz 50</w:t>
      </w:r>
      <w:r w:rsidR="005D2EFA" w:rsidRPr="00616955">
        <w:t> </w:t>
      </w:r>
      <w:r w:rsidRPr="00616955">
        <w:t>procentu no mazākā no šādiem lielumiem:</w:t>
      </w:r>
    </w:p>
    <w:p w14:paraId="4BCA8CB3" w14:textId="30C5B8D6" w:rsidR="00AB3B36" w:rsidRPr="00616955" w:rsidRDefault="00AB3B36" w:rsidP="00F527C2">
      <w:pPr>
        <w:pStyle w:val="NApunkts3"/>
      </w:pPr>
      <w:r w:rsidRPr="00616955">
        <w:t>pašu kapitāla, kas aprēķināts saskaņā ar šo noteikumu 4.</w:t>
      </w:r>
      <w:r w:rsidR="005D2EFA" w:rsidRPr="00616955">
        <w:t> </w:t>
      </w:r>
      <w:r w:rsidRPr="00616955">
        <w:t>punkta prasībām;</w:t>
      </w:r>
    </w:p>
    <w:p w14:paraId="5CAE70DE" w14:textId="7E959946" w:rsidR="00AB3B36" w:rsidRPr="00616955" w:rsidRDefault="00AB3B36" w:rsidP="007D62B3">
      <w:pPr>
        <w:pStyle w:val="NApunkts3"/>
      </w:pPr>
      <w:r w:rsidRPr="00616955">
        <w:t>saskaņā ar šo noteikumu 3.</w:t>
      </w:r>
      <w:r w:rsidR="005D2EFA" w:rsidRPr="00616955">
        <w:t> </w:t>
      </w:r>
      <w:r w:rsidRPr="00616955">
        <w:t>punkta prasībām aprēķinātās maksātspējas normas.</w:t>
      </w:r>
    </w:p>
    <w:p w14:paraId="03E14051" w14:textId="7BF968FF" w:rsidR="000060C5" w:rsidRPr="00616955" w:rsidRDefault="000060C5" w:rsidP="00F527C2">
      <w:pPr>
        <w:pStyle w:val="NApunkts1"/>
      </w:pPr>
      <w:r w:rsidRPr="00616955">
        <w:t>Subordinētā kapitāla daļu, kas tiek iekļauta pašu kapitāla aprēķinā, pēdējos piecus gadus pirms aizņēmuma termiņa beigām katru gadu samazina par 20 procentiem.</w:t>
      </w:r>
    </w:p>
    <w:p w14:paraId="75ABED05" w14:textId="25352BE2" w:rsidR="00AB3B36" w:rsidRPr="00616955" w:rsidRDefault="00AB3B36" w:rsidP="00F527C2">
      <w:pPr>
        <w:pStyle w:val="NApunkts1"/>
      </w:pPr>
      <w:r w:rsidRPr="00616955">
        <w:lastRenderedPageBreak/>
        <w:t>Šo noteikumu 5.3.</w:t>
      </w:r>
      <w:r w:rsidR="005D2EFA" w:rsidRPr="00616955">
        <w:t> apakš</w:t>
      </w:r>
      <w:r w:rsidRPr="00616955">
        <w:t>punktā minēto noteiktā termiņā atmaksājamā subordinētā kapitāla vai noteiktā termiņā dzēšamo priekšrocību akciju ar dividenžu uzkrāšanu apmērs nedrīkst pārsniegt 25</w:t>
      </w:r>
      <w:r w:rsidR="005D2EFA" w:rsidRPr="00616955">
        <w:t> </w:t>
      </w:r>
      <w:r w:rsidRPr="00616955">
        <w:t>procentus no mazākā no šādiem lielumiem:</w:t>
      </w:r>
    </w:p>
    <w:p w14:paraId="5FB0DC50" w14:textId="4EDBC9FC" w:rsidR="00AB3B36" w:rsidRPr="00616955" w:rsidRDefault="00AB3B36" w:rsidP="00AB3B36">
      <w:pPr>
        <w:pStyle w:val="NApunkts2"/>
      </w:pPr>
      <w:r w:rsidRPr="00616955">
        <w:t>pašu kapitāla, kas aprēķināts saskaņā ar šo noteikumu 4.</w:t>
      </w:r>
      <w:r w:rsidR="005D2EFA" w:rsidRPr="00616955">
        <w:t> </w:t>
      </w:r>
      <w:r w:rsidRPr="00616955">
        <w:t>punkta prasībām;</w:t>
      </w:r>
    </w:p>
    <w:p w14:paraId="1F00E0E0" w14:textId="26F3086C" w:rsidR="00AB3B36" w:rsidRPr="00616955" w:rsidRDefault="00AB3B36" w:rsidP="00AB3B36">
      <w:pPr>
        <w:pStyle w:val="NApunkts2"/>
      </w:pPr>
      <w:r w:rsidRPr="00616955">
        <w:t>saskaņā ar šo noteikumu 3.</w:t>
      </w:r>
      <w:r w:rsidR="005D2EFA" w:rsidRPr="00616955">
        <w:t> </w:t>
      </w:r>
      <w:r w:rsidRPr="00616955">
        <w:t>punkta prasībām aprēķinātās maksātspējas normas.</w:t>
      </w:r>
    </w:p>
    <w:p w14:paraId="4D17E757" w14:textId="1CF4217D" w:rsidR="00840034" w:rsidRPr="00CE5C02" w:rsidRDefault="00840034" w:rsidP="00840034">
      <w:pPr>
        <w:pStyle w:val="NApunkts1"/>
      </w:pPr>
      <w:r w:rsidRPr="00616955">
        <w:t>Atzīt par spēku zaudējušiem</w:t>
      </w:r>
      <w:r w:rsidR="009C389D" w:rsidRPr="00616955">
        <w:t xml:space="preserve"> Finanšu un kapitāla tirgus komisijas 2020.</w:t>
      </w:r>
      <w:r w:rsidR="005D2EFA" w:rsidRPr="00616955">
        <w:t> </w:t>
      </w:r>
      <w:r w:rsidR="009C389D" w:rsidRPr="00616955">
        <w:t>gada 31.</w:t>
      </w:r>
      <w:r w:rsidR="005D2EFA" w:rsidRPr="00616955">
        <w:t> </w:t>
      </w:r>
      <w:r w:rsidR="009C389D" w:rsidRPr="00616955">
        <w:t>marta normatīvos noteikumus Nr.</w:t>
      </w:r>
      <w:r w:rsidR="005D2EFA" w:rsidRPr="00616955">
        <w:t> </w:t>
      </w:r>
      <w:r w:rsidR="009C389D" w:rsidRPr="00616955">
        <w:t>33 "Privāto</w:t>
      </w:r>
      <w:r w:rsidR="009C389D" w:rsidRPr="009C389D">
        <w:t xml:space="preserve"> pensiju fondu maksātspējas normas un pašu kapitāla aprēķināšanas normatīvie noteikumi" (Latvijas Vēstnesis, 202</w:t>
      </w:r>
      <w:r w:rsidR="009C389D">
        <w:t>0</w:t>
      </w:r>
      <w:r w:rsidR="009C389D" w:rsidRPr="009C389D">
        <w:t>, Nr.</w:t>
      </w:r>
      <w:r w:rsidR="005D2EFA">
        <w:t> </w:t>
      </w:r>
      <w:r w:rsidR="009C389D">
        <w:t>69</w:t>
      </w:r>
      <w:r w:rsidR="009C389D" w:rsidRPr="009C389D">
        <w:t>)</w:t>
      </w:r>
      <w:r>
        <w:t>.</w:t>
      </w:r>
    </w:p>
    <w:p w14:paraId="540CA401" w14:textId="0B556780" w:rsidR="00F527C2" w:rsidRPr="004F29B1" w:rsidRDefault="00F527C2" w:rsidP="00F527C2">
      <w:pPr>
        <w:pStyle w:val="NApunkts1"/>
        <w:numPr>
          <w:ilvl w:val="0"/>
          <w:numId w:val="0"/>
        </w:numPr>
      </w:pPr>
      <w:r w:rsidRPr="00F527C2">
        <w:rPr>
          <w:b/>
        </w:rPr>
        <w:t xml:space="preserve">Informatīva atsauce uz Eiropas Savienības </w:t>
      </w:r>
      <w:r w:rsidR="005D2EFA">
        <w:rPr>
          <w:b/>
        </w:rPr>
        <w:t>direktīvu</w:t>
      </w:r>
    </w:p>
    <w:p w14:paraId="33486441" w14:textId="7ED85262" w:rsidR="00F527C2" w:rsidRDefault="00F527C2" w:rsidP="00F527C2">
      <w:pPr>
        <w:pStyle w:val="NApunkts1"/>
        <w:keepNext/>
        <w:keepLines/>
        <w:numPr>
          <w:ilvl w:val="0"/>
          <w:numId w:val="0"/>
        </w:numPr>
      </w:pPr>
      <w:r w:rsidRPr="00F527C2">
        <w:t>Noteikumos iekļautas tiesību normas, kas izriet no Eiropas Parlamenta un Padomes 2016.</w:t>
      </w:r>
      <w:r w:rsidR="005D2EFA">
        <w:t> </w:t>
      </w:r>
      <w:r w:rsidRPr="00F527C2">
        <w:t>gada 14.</w:t>
      </w:r>
      <w:r w:rsidR="005D2EFA">
        <w:t> </w:t>
      </w:r>
      <w:r w:rsidRPr="00F527C2">
        <w:t xml:space="preserve">decembra </w:t>
      </w:r>
      <w:r w:rsidR="005D2EFA">
        <w:t>d</w:t>
      </w:r>
      <w:r w:rsidRPr="00F527C2">
        <w:t xml:space="preserve">irektīvas 2016/2341 par </w:t>
      </w:r>
      <w:proofErr w:type="spellStart"/>
      <w:r w:rsidRPr="00F527C2">
        <w:t>arodpensijas</w:t>
      </w:r>
      <w:proofErr w:type="spellEnd"/>
      <w:r w:rsidRPr="00F527C2">
        <w:t xml:space="preserve"> kapitāla uzkrāšanas institūciju (AKUI) darbību un uzraudzību.</w:t>
      </w:r>
    </w:p>
    <w:p w14:paraId="546F3B97"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25B89C57" w14:textId="77777777" w:rsidTr="00811BE5">
        <w:tc>
          <w:tcPr>
            <w:tcW w:w="4928" w:type="dxa"/>
            <w:vAlign w:val="bottom"/>
          </w:tcPr>
          <w:p w14:paraId="4A4DF010" w14:textId="1B9E3CC9" w:rsidR="00966987" w:rsidRDefault="00616955" w:rsidP="00FA055C">
            <w:pPr>
              <w:pStyle w:val="NoSpacing"/>
              <w:ind w:left="-107"/>
              <w:rPr>
                <w:rFonts w:cs="Times New Roman"/>
              </w:rPr>
            </w:pPr>
            <w:sdt>
              <w:sdtPr>
                <w:rPr>
                  <w:rFonts w:cs="Times New Roman"/>
                </w:rPr>
                <w:alias w:val="Amats"/>
                <w:tag w:val="Amats"/>
                <w:id w:val="45201534"/>
                <w:lock w:val="sdtLocked"/>
                <w:placeholder>
                  <w:docPart w:val="F0363B2188C045BEADD35D7C9CE2343F"/>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745937">
                  <w:rPr>
                    <w:rFonts w:cs="Times New Roman"/>
                  </w:rPr>
                  <w:t>Latvijas Bankas prezidents</w:t>
                </w:r>
              </w:sdtContent>
            </w:sdt>
          </w:p>
        </w:tc>
        <w:sdt>
          <w:sdtPr>
            <w:rPr>
              <w:rFonts w:cs="Times New Roman"/>
            </w:rPr>
            <w:alias w:val="V. Uzvārds"/>
            <w:tag w:val="V. Uzvārds"/>
            <w:id w:val="46411162"/>
            <w:lock w:val="sdtLocked"/>
            <w:placeholder>
              <w:docPart w:val="D6CF0640147A450FB4DAA2D184D72AC9"/>
            </w:placeholder>
          </w:sdtPr>
          <w:sdtEndPr/>
          <w:sdtContent>
            <w:tc>
              <w:tcPr>
                <w:tcW w:w="3792" w:type="dxa"/>
                <w:vAlign w:val="bottom"/>
              </w:tcPr>
              <w:p w14:paraId="2AFF7858" w14:textId="186EC35B" w:rsidR="00966987" w:rsidRDefault="00745937" w:rsidP="00C523D5">
                <w:pPr>
                  <w:pStyle w:val="NoSpacing"/>
                  <w:ind w:right="-111"/>
                  <w:jc w:val="right"/>
                  <w:rPr>
                    <w:rFonts w:cs="Times New Roman"/>
                  </w:rPr>
                </w:pPr>
                <w:r>
                  <w:rPr>
                    <w:rFonts w:cs="Times New Roman"/>
                  </w:rPr>
                  <w:t>M.</w:t>
                </w:r>
                <w:r w:rsidR="005D2EFA">
                  <w:rPr>
                    <w:rFonts w:cs="Times New Roman"/>
                  </w:rPr>
                  <w:t> </w:t>
                </w:r>
                <w:r>
                  <w:rPr>
                    <w:rFonts w:cs="Times New Roman"/>
                  </w:rPr>
                  <w:t>Kazāks</w:t>
                </w:r>
              </w:p>
            </w:tc>
          </w:sdtContent>
        </w:sdt>
      </w:tr>
    </w:tbl>
    <w:p w14:paraId="7F16A898" w14:textId="77777777" w:rsidR="006D395C" w:rsidRPr="006D395C" w:rsidRDefault="006D395C" w:rsidP="005D2EFA">
      <w:pPr>
        <w:rPr>
          <w:rFonts w:cs="Times New Roman"/>
          <w:szCs w:val="24"/>
        </w:rPr>
      </w:pPr>
    </w:p>
    <w:sectPr w:rsidR="006D395C" w:rsidRPr="006D395C" w:rsidSect="00EA6CA5">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FD5868" w14:textId="77777777" w:rsidR="00AB3B36" w:rsidRDefault="00AB3B36" w:rsidP="00AC4B00">
      <w:r>
        <w:separator/>
      </w:r>
    </w:p>
  </w:endnote>
  <w:endnote w:type="continuationSeparator" w:id="0">
    <w:p w14:paraId="30ACA6BC" w14:textId="77777777" w:rsidR="00AB3B36" w:rsidRDefault="00AB3B36"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altName w:val="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338E1B" w14:textId="77777777" w:rsidR="00AB3B36" w:rsidRDefault="00AB3B36" w:rsidP="00AC4B00">
      <w:r>
        <w:separator/>
      </w:r>
    </w:p>
  </w:footnote>
  <w:footnote w:type="continuationSeparator" w:id="0">
    <w:p w14:paraId="72D6C9A3" w14:textId="77777777" w:rsidR="00AB3B36" w:rsidRDefault="00AB3B36"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1794F8EA"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D4130" w14:textId="77777777" w:rsidR="009C42A8" w:rsidRPr="009C42A8" w:rsidRDefault="00EA6CA5" w:rsidP="00AA4809">
    <w:pPr>
      <w:pStyle w:val="Header"/>
      <w:spacing w:before="560"/>
      <w:jc w:val="center"/>
    </w:pPr>
    <w:r>
      <w:rPr>
        <w:noProof/>
      </w:rPr>
      <w:drawing>
        <wp:inline distT="0" distB="0" distL="0" distR="0" wp14:anchorId="2D8D6A42" wp14:editId="25323CF8">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1359CB84" wp14:editId="76E13D20">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F33A67"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2135360">
    <w:abstractNumId w:val="1"/>
  </w:num>
  <w:num w:numId="2" w16cid:durableId="765492621">
    <w:abstractNumId w:val="2"/>
  </w:num>
  <w:num w:numId="3" w16cid:durableId="6568832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B36"/>
    <w:rsid w:val="00001229"/>
    <w:rsid w:val="00003926"/>
    <w:rsid w:val="000060C5"/>
    <w:rsid w:val="00017C12"/>
    <w:rsid w:val="000239BA"/>
    <w:rsid w:val="00032F04"/>
    <w:rsid w:val="00034E35"/>
    <w:rsid w:val="00040440"/>
    <w:rsid w:val="00057385"/>
    <w:rsid w:val="00060D2F"/>
    <w:rsid w:val="00081D7E"/>
    <w:rsid w:val="000973A6"/>
    <w:rsid w:val="000A5F7E"/>
    <w:rsid w:val="000B3673"/>
    <w:rsid w:val="000B41DB"/>
    <w:rsid w:val="000D18A5"/>
    <w:rsid w:val="000D5637"/>
    <w:rsid w:val="000E4379"/>
    <w:rsid w:val="000F000D"/>
    <w:rsid w:val="00102613"/>
    <w:rsid w:val="001026BB"/>
    <w:rsid w:val="00123001"/>
    <w:rsid w:val="00127AB7"/>
    <w:rsid w:val="001306DB"/>
    <w:rsid w:val="00142533"/>
    <w:rsid w:val="00145D4F"/>
    <w:rsid w:val="00151E1B"/>
    <w:rsid w:val="001644DA"/>
    <w:rsid w:val="0019595C"/>
    <w:rsid w:val="001E4A06"/>
    <w:rsid w:val="001E693E"/>
    <w:rsid w:val="001F51BD"/>
    <w:rsid w:val="002016F8"/>
    <w:rsid w:val="0021210D"/>
    <w:rsid w:val="00215938"/>
    <w:rsid w:val="00216AAD"/>
    <w:rsid w:val="002220E9"/>
    <w:rsid w:val="0023463E"/>
    <w:rsid w:val="00243BCE"/>
    <w:rsid w:val="002528E9"/>
    <w:rsid w:val="00253708"/>
    <w:rsid w:val="002573A6"/>
    <w:rsid w:val="0025768B"/>
    <w:rsid w:val="00266408"/>
    <w:rsid w:val="0026765A"/>
    <w:rsid w:val="002728B2"/>
    <w:rsid w:val="00294F01"/>
    <w:rsid w:val="002A44B0"/>
    <w:rsid w:val="002A617A"/>
    <w:rsid w:val="002C08EB"/>
    <w:rsid w:val="002C6FD2"/>
    <w:rsid w:val="002E2E65"/>
    <w:rsid w:val="002F6068"/>
    <w:rsid w:val="00301089"/>
    <w:rsid w:val="0030371A"/>
    <w:rsid w:val="00330899"/>
    <w:rsid w:val="00333D26"/>
    <w:rsid w:val="00334BEC"/>
    <w:rsid w:val="00365CD6"/>
    <w:rsid w:val="00366379"/>
    <w:rsid w:val="00373960"/>
    <w:rsid w:val="00373AEA"/>
    <w:rsid w:val="003842A9"/>
    <w:rsid w:val="00385699"/>
    <w:rsid w:val="003A7E0E"/>
    <w:rsid w:val="003B122C"/>
    <w:rsid w:val="003C1EF2"/>
    <w:rsid w:val="003D5327"/>
    <w:rsid w:val="003E088C"/>
    <w:rsid w:val="003E0FBE"/>
    <w:rsid w:val="003E3B26"/>
    <w:rsid w:val="003E46F5"/>
    <w:rsid w:val="003E47EE"/>
    <w:rsid w:val="00402B09"/>
    <w:rsid w:val="00403FF6"/>
    <w:rsid w:val="00405DF6"/>
    <w:rsid w:val="004239C6"/>
    <w:rsid w:val="00440CAF"/>
    <w:rsid w:val="00463E5D"/>
    <w:rsid w:val="00470B6A"/>
    <w:rsid w:val="0049232C"/>
    <w:rsid w:val="004A63EE"/>
    <w:rsid w:val="004B092F"/>
    <w:rsid w:val="004E3633"/>
    <w:rsid w:val="004F6D30"/>
    <w:rsid w:val="0051604E"/>
    <w:rsid w:val="0051668E"/>
    <w:rsid w:val="005350BC"/>
    <w:rsid w:val="00535B61"/>
    <w:rsid w:val="00553206"/>
    <w:rsid w:val="005543AC"/>
    <w:rsid w:val="005778F7"/>
    <w:rsid w:val="005A22DF"/>
    <w:rsid w:val="005A78C2"/>
    <w:rsid w:val="005B116D"/>
    <w:rsid w:val="005C43B0"/>
    <w:rsid w:val="005C4F9F"/>
    <w:rsid w:val="005D2EFA"/>
    <w:rsid w:val="005E582F"/>
    <w:rsid w:val="005F62A8"/>
    <w:rsid w:val="005F65BC"/>
    <w:rsid w:val="00616955"/>
    <w:rsid w:val="00621950"/>
    <w:rsid w:val="00626D42"/>
    <w:rsid w:val="00671C3D"/>
    <w:rsid w:val="006A70E0"/>
    <w:rsid w:val="006D1A57"/>
    <w:rsid w:val="006D395C"/>
    <w:rsid w:val="006E6DD0"/>
    <w:rsid w:val="006F5854"/>
    <w:rsid w:val="00704600"/>
    <w:rsid w:val="00733D91"/>
    <w:rsid w:val="007404B0"/>
    <w:rsid w:val="00745937"/>
    <w:rsid w:val="00746FE1"/>
    <w:rsid w:val="00754B84"/>
    <w:rsid w:val="007577AE"/>
    <w:rsid w:val="007616A1"/>
    <w:rsid w:val="00771CB0"/>
    <w:rsid w:val="0077573E"/>
    <w:rsid w:val="00784DCB"/>
    <w:rsid w:val="0079205D"/>
    <w:rsid w:val="007A05A7"/>
    <w:rsid w:val="007A4159"/>
    <w:rsid w:val="007D62B3"/>
    <w:rsid w:val="007F2179"/>
    <w:rsid w:val="007F4A16"/>
    <w:rsid w:val="007F51AD"/>
    <w:rsid w:val="00803C74"/>
    <w:rsid w:val="00811BE5"/>
    <w:rsid w:val="0083221C"/>
    <w:rsid w:val="008327FC"/>
    <w:rsid w:val="00834230"/>
    <w:rsid w:val="00840034"/>
    <w:rsid w:val="0084631E"/>
    <w:rsid w:val="008548A6"/>
    <w:rsid w:val="008575CE"/>
    <w:rsid w:val="0086737E"/>
    <w:rsid w:val="008738FB"/>
    <w:rsid w:val="008A529A"/>
    <w:rsid w:val="008D1286"/>
    <w:rsid w:val="008E2C2F"/>
    <w:rsid w:val="008F3272"/>
    <w:rsid w:val="00914E2B"/>
    <w:rsid w:val="00926D2C"/>
    <w:rsid w:val="00932794"/>
    <w:rsid w:val="00934ACC"/>
    <w:rsid w:val="00937AA2"/>
    <w:rsid w:val="009400BA"/>
    <w:rsid w:val="00944EE2"/>
    <w:rsid w:val="00960648"/>
    <w:rsid w:val="00962F4A"/>
    <w:rsid w:val="00966987"/>
    <w:rsid w:val="00966FB8"/>
    <w:rsid w:val="00970F4A"/>
    <w:rsid w:val="00985755"/>
    <w:rsid w:val="00991D6F"/>
    <w:rsid w:val="009A43CE"/>
    <w:rsid w:val="009A5519"/>
    <w:rsid w:val="009B042A"/>
    <w:rsid w:val="009B7B30"/>
    <w:rsid w:val="009C389D"/>
    <w:rsid w:val="009C42A8"/>
    <w:rsid w:val="009C7FF1"/>
    <w:rsid w:val="009E0DC1"/>
    <w:rsid w:val="009F2C75"/>
    <w:rsid w:val="009F79BF"/>
    <w:rsid w:val="00A24CF1"/>
    <w:rsid w:val="00A35387"/>
    <w:rsid w:val="00A457E8"/>
    <w:rsid w:val="00A45CCD"/>
    <w:rsid w:val="00A56918"/>
    <w:rsid w:val="00A57663"/>
    <w:rsid w:val="00A64981"/>
    <w:rsid w:val="00A72A98"/>
    <w:rsid w:val="00A8178F"/>
    <w:rsid w:val="00AA1C50"/>
    <w:rsid w:val="00AA4809"/>
    <w:rsid w:val="00AB0BEE"/>
    <w:rsid w:val="00AB3B36"/>
    <w:rsid w:val="00AC4B00"/>
    <w:rsid w:val="00AC6EC8"/>
    <w:rsid w:val="00AD376A"/>
    <w:rsid w:val="00AD65E6"/>
    <w:rsid w:val="00AF06D9"/>
    <w:rsid w:val="00AF236D"/>
    <w:rsid w:val="00B22E69"/>
    <w:rsid w:val="00B31CE7"/>
    <w:rsid w:val="00B400EE"/>
    <w:rsid w:val="00B42744"/>
    <w:rsid w:val="00B62B07"/>
    <w:rsid w:val="00B85E98"/>
    <w:rsid w:val="00B90A76"/>
    <w:rsid w:val="00BB311D"/>
    <w:rsid w:val="00BB3763"/>
    <w:rsid w:val="00BD0D4D"/>
    <w:rsid w:val="00BF0E8D"/>
    <w:rsid w:val="00BF41BD"/>
    <w:rsid w:val="00C13664"/>
    <w:rsid w:val="00C2284A"/>
    <w:rsid w:val="00C23D14"/>
    <w:rsid w:val="00C378F8"/>
    <w:rsid w:val="00C443AC"/>
    <w:rsid w:val="00C523D5"/>
    <w:rsid w:val="00C54D54"/>
    <w:rsid w:val="00C5530F"/>
    <w:rsid w:val="00C66E83"/>
    <w:rsid w:val="00C73633"/>
    <w:rsid w:val="00C902AC"/>
    <w:rsid w:val="00CA78AB"/>
    <w:rsid w:val="00CB559F"/>
    <w:rsid w:val="00CC18A1"/>
    <w:rsid w:val="00CC367A"/>
    <w:rsid w:val="00CD3BD9"/>
    <w:rsid w:val="00CD6735"/>
    <w:rsid w:val="00CF43D0"/>
    <w:rsid w:val="00CF6323"/>
    <w:rsid w:val="00CF7AE3"/>
    <w:rsid w:val="00D02919"/>
    <w:rsid w:val="00D07390"/>
    <w:rsid w:val="00D1410C"/>
    <w:rsid w:val="00D26119"/>
    <w:rsid w:val="00D4242A"/>
    <w:rsid w:val="00D93FC7"/>
    <w:rsid w:val="00DB385B"/>
    <w:rsid w:val="00DB66D4"/>
    <w:rsid w:val="00DB784C"/>
    <w:rsid w:val="00DD3C90"/>
    <w:rsid w:val="00DE1F09"/>
    <w:rsid w:val="00DE3861"/>
    <w:rsid w:val="00DE5516"/>
    <w:rsid w:val="00DE671B"/>
    <w:rsid w:val="00DF32DD"/>
    <w:rsid w:val="00E3140C"/>
    <w:rsid w:val="00E36793"/>
    <w:rsid w:val="00E3696A"/>
    <w:rsid w:val="00E70723"/>
    <w:rsid w:val="00E76F9E"/>
    <w:rsid w:val="00E814E9"/>
    <w:rsid w:val="00E818D0"/>
    <w:rsid w:val="00EA6CA5"/>
    <w:rsid w:val="00EC1D6E"/>
    <w:rsid w:val="00ED4E6C"/>
    <w:rsid w:val="00ED77C1"/>
    <w:rsid w:val="00EE7DCC"/>
    <w:rsid w:val="00EF3F79"/>
    <w:rsid w:val="00EF6956"/>
    <w:rsid w:val="00F018B2"/>
    <w:rsid w:val="00F10222"/>
    <w:rsid w:val="00F10BC6"/>
    <w:rsid w:val="00F1192F"/>
    <w:rsid w:val="00F13DD7"/>
    <w:rsid w:val="00F15FC7"/>
    <w:rsid w:val="00F306D8"/>
    <w:rsid w:val="00F30773"/>
    <w:rsid w:val="00F30F87"/>
    <w:rsid w:val="00F3140E"/>
    <w:rsid w:val="00F3441F"/>
    <w:rsid w:val="00F51202"/>
    <w:rsid w:val="00F527C2"/>
    <w:rsid w:val="00F5647B"/>
    <w:rsid w:val="00F639B6"/>
    <w:rsid w:val="00F72CA5"/>
    <w:rsid w:val="00F75A2C"/>
    <w:rsid w:val="00F8030A"/>
    <w:rsid w:val="00F84CD0"/>
    <w:rsid w:val="00F8643C"/>
    <w:rsid w:val="00F91ECF"/>
    <w:rsid w:val="00FA055C"/>
    <w:rsid w:val="00FA2A4B"/>
    <w:rsid w:val="00FA32EC"/>
    <w:rsid w:val="00FA7AE0"/>
    <w:rsid w:val="00FB1572"/>
    <w:rsid w:val="00FD0EED"/>
    <w:rsid w:val="00FD37FA"/>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C78775"/>
  <w15:docId w15:val="{8E97EC46-739A-450D-99FA-2F4FD72C3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ED77C1"/>
    <w:pPr>
      <w:numPr>
        <w:numId w:val="7"/>
      </w:num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paragraph" w:styleId="Revision">
    <w:name w:val="Revision"/>
    <w:hidden/>
    <w:uiPriority w:val="99"/>
    <w:semiHidden/>
    <w:rsid w:val="00745937"/>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5D2EFA"/>
    <w:rPr>
      <w:sz w:val="16"/>
      <w:szCs w:val="16"/>
    </w:rPr>
  </w:style>
  <w:style w:type="paragraph" w:styleId="CommentText">
    <w:name w:val="annotation text"/>
    <w:basedOn w:val="Normal"/>
    <w:link w:val="CommentTextChar"/>
    <w:uiPriority w:val="99"/>
    <w:unhideWhenUsed/>
    <w:rsid w:val="005D2EFA"/>
    <w:rPr>
      <w:sz w:val="20"/>
      <w:szCs w:val="20"/>
    </w:rPr>
  </w:style>
  <w:style w:type="character" w:customStyle="1" w:styleId="CommentTextChar">
    <w:name w:val="Comment Text Char"/>
    <w:basedOn w:val="DefaultParagraphFont"/>
    <w:link w:val="CommentText"/>
    <w:uiPriority w:val="99"/>
    <w:rsid w:val="005D2EFA"/>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5D2EFA"/>
    <w:rPr>
      <w:b/>
      <w:bCs/>
    </w:rPr>
  </w:style>
  <w:style w:type="character" w:customStyle="1" w:styleId="CommentSubjectChar">
    <w:name w:val="Comment Subject Char"/>
    <w:basedOn w:val="CommentTextChar"/>
    <w:link w:val="CommentSubject"/>
    <w:uiPriority w:val="99"/>
    <w:semiHidden/>
    <w:rsid w:val="005D2EFA"/>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1A68B980EC847478910CE44F3C6C583"/>
        <w:category>
          <w:name w:val="General"/>
          <w:gallery w:val="placeholder"/>
        </w:category>
        <w:types>
          <w:type w:val="bbPlcHdr"/>
        </w:types>
        <w:behaviors>
          <w:behavior w:val="content"/>
        </w:behaviors>
        <w:guid w:val="{D25E951B-C0B2-4302-919D-06B1830E51E3}"/>
      </w:docPartPr>
      <w:docPartBody>
        <w:p w:rsidR="000769DB" w:rsidRDefault="000769DB">
          <w:pPr>
            <w:pStyle w:val="01A68B980EC847478910CE44F3C6C583"/>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ACA3166E33EA49FEB9B93B4AE8BB9F3D"/>
        <w:category>
          <w:name w:val="General"/>
          <w:gallery w:val="placeholder"/>
        </w:category>
        <w:types>
          <w:type w:val="bbPlcHdr"/>
        </w:types>
        <w:behaviors>
          <w:behavior w:val="content"/>
        </w:behaviors>
        <w:guid w:val="{B56C6350-DA87-4C9A-8FD3-60FC537A191C}"/>
      </w:docPartPr>
      <w:docPartBody>
        <w:p w:rsidR="000769DB" w:rsidRDefault="000769DB">
          <w:pPr>
            <w:pStyle w:val="ACA3166E33EA49FEB9B93B4AE8BB9F3D"/>
          </w:pPr>
          <w:r w:rsidRPr="00811BE5">
            <w:rPr>
              <w:color w:val="808080" w:themeColor="background1" w:themeShade="80"/>
            </w:rPr>
            <w:t>[Datums]</w:t>
          </w:r>
        </w:p>
      </w:docPartBody>
    </w:docPart>
    <w:docPart>
      <w:docPartPr>
        <w:name w:val="27BD22AAFC94425A9679B09485AC1568"/>
        <w:category>
          <w:name w:val="General"/>
          <w:gallery w:val="placeholder"/>
        </w:category>
        <w:types>
          <w:type w:val="bbPlcHdr"/>
        </w:types>
        <w:behaviors>
          <w:behavior w:val="content"/>
        </w:behaviors>
        <w:guid w:val="{5B062B6D-B672-4FE2-AEC9-5645849435BE}"/>
      </w:docPartPr>
      <w:docPartBody>
        <w:p w:rsidR="000769DB" w:rsidRDefault="000769DB">
          <w:pPr>
            <w:pStyle w:val="27BD22AAFC94425A9679B09485AC1568"/>
          </w:pPr>
          <w:r>
            <w:t xml:space="preserve">Noteikumi </w:t>
          </w:r>
        </w:p>
      </w:docPartBody>
    </w:docPart>
    <w:docPart>
      <w:docPartPr>
        <w:name w:val="9BADB6798727478FA026FEB30AF1F6CB"/>
        <w:category>
          <w:name w:val="General"/>
          <w:gallery w:val="placeholder"/>
        </w:category>
        <w:types>
          <w:type w:val="bbPlcHdr"/>
        </w:types>
        <w:behaviors>
          <w:behavior w:val="content"/>
        </w:behaviors>
        <w:guid w:val="{04ED2F72-143B-4D3E-9A64-2EA98AF45730}"/>
      </w:docPartPr>
      <w:docPartBody>
        <w:p w:rsidR="000769DB" w:rsidRDefault="000769DB">
          <w:pPr>
            <w:pStyle w:val="9BADB6798727478FA026FEB30AF1F6CB"/>
          </w:pPr>
          <w:r>
            <w:t xml:space="preserve">Nr. </w:t>
          </w:r>
        </w:p>
      </w:docPartBody>
    </w:docPart>
    <w:docPart>
      <w:docPartPr>
        <w:name w:val="B01B5B29DE1E466C838C41D16984E5CB"/>
        <w:category>
          <w:name w:val="General"/>
          <w:gallery w:val="placeholder"/>
        </w:category>
        <w:types>
          <w:type w:val="bbPlcHdr"/>
        </w:types>
        <w:behaviors>
          <w:behavior w:val="content"/>
        </w:behaviors>
        <w:guid w:val="{0BCEFF75-9E0E-473B-84E4-CDBADBE45490}"/>
      </w:docPartPr>
      <w:docPartBody>
        <w:p w:rsidR="000769DB" w:rsidRDefault="000769DB">
          <w:pPr>
            <w:pStyle w:val="B01B5B29DE1E466C838C41D16984E5CB"/>
          </w:pPr>
          <w:r>
            <w:t>_____</w:t>
          </w:r>
        </w:p>
      </w:docPartBody>
    </w:docPart>
    <w:docPart>
      <w:docPartPr>
        <w:name w:val="D7C54790B4DA40EFB8A72BF917730A3A"/>
        <w:category>
          <w:name w:val="General"/>
          <w:gallery w:val="placeholder"/>
        </w:category>
        <w:types>
          <w:type w:val="bbPlcHdr"/>
        </w:types>
        <w:behaviors>
          <w:behavior w:val="content"/>
        </w:behaviors>
        <w:guid w:val="{AAEC3038-DAD8-4592-9A3D-56F5E111738F}"/>
      </w:docPartPr>
      <w:docPartBody>
        <w:p w:rsidR="000769DB" w:rsidRDefault="000769DB">
          <w:pPr>
            <w:pStyle w:val="D7C54790B4DA40EFB8A72BF917730A3A"/>
          </w:pPr>
          <w:r>
            <w:rPr>
              <w:rFonts w:cs="Times New Roman"/>
            </w:rPr>
            <w:t>Rīgā</w:t>
          </w:r>
        </w:p>
      </w:docPartBody>
    </w:docPart>
    <w:docPart>
      <w:docPartPr>
        <w:name w:val="6BDF513A8A354C80B455BA44413B1102"/>
        <w:category>
          <w:name w:val="General"/>
          <w:gallery w:val="placeholder"/>
        </w:category>
        <w:types>
          <w:type w:val="bbPlcHdr"/>
        </w:types>
        <w:behaviors>
          <w:behavior w:val="content"/>
        </w:behaviors>
        <w:guid w:val="{513C5007-C846-413D-B6CE-94B839EC20B0}"/>
      </w:docPartPr>
      <w:docPartBody>
        <w:p w:rsidR="000769DB" w:rsidRDefault="000769DB">
          <w:pPr>
            <w:pStyle w:val="6BDF513A8A354C80B455BA44413B1102"/>
          </w:pPr>
          <w:r w:rsidRPr="00F5647B">
            <w:rPr>
              <w:rStyle w:val="PlaceholderText"/>
              <w:b/>
            </w:rPr>
            <w:t>[Nosaukums]</w:t>
          </w:r>
        </w:p>
      </w:docPartBody>
    </w:docPart>
    <w:docPart>
      <w:docPartPr>
        <w:name w:val="5CE0E63A4731417DB30CEEDCDCEA2A75"/>
        <w:category>
          <w:name w:val="General"/>
          <w:gallery w:val="placeholder"/>
        </w:category>
        <w:types>
          <w:type w:val="bbPlcHdr"/>
        </w:types>
        <w:behaviors>
          <w:behavior w:val="content"/>
        </w:behaviors>
        <w:guid w:val="{E0CDD031-A302-4068-A188-0509153ADBBE}"/>
      </w:docPartPr>
      <w:docPartBody>
        <w:p w:rsidR="000769DB" w:rsidRDefault="000769DB">
          <w:pPr>
            <w:pStyle w:val="5CE0E63A4731417DB30CEEDCDCEA2A75"/>
          </w:pPr>
          <w:r>
            <w:rPr>
              <w:rFonts w:cs="Times New Roman"/>
            </w:rPr>
            <w:t xml:space="preserve">Izdoti </w:t>
          </w:r>
        </w:p>
      </w:docPartBody>
    </w:docPart>
    <w:docPart>
      <w:docPartPr>
        <w:name w:val="5DC25A285B534264B9BD82DF5DBEF6AF"/>
        <w:category>
          <w:name w:val="General"/>
          <w:gallery w:val="placeholder"/>
        </w:category>
        <w:types>
          <w:type w:val="bbPlcHdr"/>
        </w:types>
        <w:behaviors>
          <w:behavior w:val="content"/>
        </w:behaviors>
        <w:guid w:val="{22A0D318-047B-4BCB-98F0-895FFD2570F2}"/>
      </w:docPartPr>
      <w:docPartBody>
        <w:p w:rsidR="000769DB" w:rsidRDefault="000769DB">
          <w:pPr>
            <w:pStyle w:val="5DC25A285B534264B9BD82DF5DBEF6AF"/>
          </w:pPr>
          <w:r>
            <w:rPr>
              <w:rFonts w:cs="Times New Roman"/>
            </w:rPr>
            <w:t>saskaņā ar</w:t>
          </w:r>
        </w:p>
      </w:docPartBody>
    </w:docPart>
    <w:docPart>
      <w:docPartPr>
        <w:name w:val="1013039B90C248169CCC39ACD989CEF3"/>
        <w:category>
          <w:name w:val="General"/>
          <w:gallery w:val="placeholder"/>
        </w:category>
        <w:types>
          <w:type w:val="bbPlcHdr"/>
        </w:types>
        <w:behaviors>
          <w:behavior w:val="content"/>
        </w:behaviors>
        <w:guid w:val="{61E49498-C3B6-44EC-9D74-A19B30626AA6}"/>
      </w:docPartPr>
      <w:docPartBody>
        <w:p w:rsidR="000769DB" w:rsidRDefault="000769DB">
          <w:pPr>
            <w:pStyle w:val="1013039B90C248169CCC39ACD989CEF3"/>
          </w:pPr>
          <w:r w:rsidRPr="00301089">
            <w:rPr>
              <w:rStyle w:val="PlaceholderText"/>
            </w:rPr>
            <w:t>[likuma]</w:t>
          </w:r>
        </w:p>
      </w:docPartBody>
    </w:docPart>
    <w:docPart>
      <w:docPartPr>
        <w:name w:val="4BF3A64F5AAC464697E6D815FE9D984E"/>
        <w:category>
          <w:name w:val="General"/>
          <w:gallery w:val="placeholder"/>
        </w:category>
        <w:types>
          <w:type w:val="bbPlcHdr"/>
        </w:types>
        <w:behaviors>
          <w:behavior w:val="content"/>
        </w:behaviors>
        <w:guid w:val="{A365DB3B-13AB-4DF2-B351-B1AA3D56E4D8}"/>
      </w:docPartPr>
      <w:docPartBody>
        <w:p w:rsidR="000769DB" w:rsidRDefault="000769DB">
          <w:pPr>
            <w:pStyle w:val="4BF3A64F5AAC464697E6D815FE9D984E"/>
          </w:pPr>
          <w:r w:rsidRPr="007F4A16">
            <w:rPr>
              <w:rStyle w:val="PlaceholderText"/>
              <w:color w:val="808080" w:themeColor="background1" w:themeShade="80"/>
            </w:rPr>
            <w:t>[nr.]</w:t>
          </w:r>
        </w:p>
      </w:docPartBody>
    </w:docPart>
    <w:docPart>
      <w:docPartPr>
        <w:name w:val="C73F8DC89CC94BC1AB9E8D2B4C1C0CD6"/>
        <w:category>
          <w:name w:val="General"/>
          <w:gallery w:val="placeholder"/>
        </w:category>
        <w:types>
          <w:type w:val="bbPlcHdr"/>
        </w:types>
        <w:behaviors>
          <w:behavior w:val="content"/>
        </w:behaviors>
        <w:guid w:val="{491E9629-9C57-486F-8406-86BD621B966E}"/>
      </w:docPartPr>
      <w:docPartBody>
        <w:p w:rsidR="000769DB" w:rsidRDefault="000769DB">
          <w:pPr>
            <w:pStyle w:val="C73F8DC89CC94BC1AB9E8D2B4C1C0CD6"/>
          </w:pPr>
          <w:r>
            <w:rPr>
              <w:rFonts w:cs="Times New Roman"/>
            </w:rPr>
            <w:t>. panta</w:t>
          </w:r>
        </w:p>
      </w:docPartBody>
    </w:docPart>
    <w:docPart>
      <w:docPartPr>
        <w:name w:val="8F60D2C69AC64C268A372F73E5E0C4D8"/>
        <w:category>
          <w:name w:val="General"/>
          <w:gallery w:val="placeholder"/>
        </w:category>
        <w:types>
          <w:type w:val="bbPlcHdr"/>
        </w:types>
        <w:behaviors>
          <w:behavior w:val="content"/>
        </w:behaviors>
        <w:guid w:val="{AC8CE3F8-81A1-4494-B5C9-94C5A15CB616}"/>
      </w:docPartPr>
      <w:docPartBody>
        <w:p w:rsidR="000769DB" w:rsidRDefault="000769DB">
          <w:pPr>
            <w:pStyle w:val="8F60D2C69AC64C268A372F73E5E0C4D8"/>
          </w:pPr>
          <w:r w:rsidRPr="00DB385B">
            <w:rPr>
              <w:rStyle w:val="PlaceholderText"/>
            </w:rPr>
            <w:t>[vārdiem]</w:t>
          </w:r>
        </w:p>
      </w:docPartBody>
    </w:docPart>
    <w:docPart>
      <w:docPartPr>
        <w:name w:val="F0363B2188C045BEADD35D7C9CE2343F"/>
        <w:category>
          <w:name w:val="General"/>
          <w:gallery w:val="placeholder"/>
        </w:category>
        <w:types>
          <w:type w:val="bbPlcHdr"/>
        </w:types>
        <w:behaviors>
          <w:behavior w:val="content"/>
        </w:behaviors>
        <w:guid w:val="{C234B799-A0B5-4E44-88F1-BEDEB78D29EC}"/>
      </w:docPartPr>
      <w:docPartBody>
        <w:p w:rsidR="000769DB" w:rsidRDefault="000769DB">
          <w:pPr>
            <w:pStyle w:val="F0363B2188C045BEADD35D7C9CE2343F"/>
          </w:pPr>
          <w:r>
            <w:rPr>
              <w:rFonts w:ascii="Times New Roman" w:hAnsi="Times New Roman" w:cs="Times New Roman"/>
            </w:rPr>
            <w:t>{amats}</w:t>
          </w:r>
        </w:p>
      </w:docPartBody>
    </w:docPart>
    <w:docPart>
      <w:docPartPr>
        <w:name w:val="D6CF0640147A450FB4DAA2D184D72AC9"/>
        <w:category>
          <w:name w:val="General"/>
          <w:gallery w:val="placeholder"/>
        </w:category>
        <w:types>
          <w:type w:val="bbPlcHdr"/>
        </w:types>
        <w:behaviors>
          <w:behavior w:val="content"/>
        </w:behaviors>
        <w:guid w:val="{2B9EF98F-2D1D-4C00-8887-13A1C7858DC5}"/>
      </w:docPartPr>
      <w:docPartBody>
        <w:p w:rsidR="000769DB" w:rsidRDefault="000769DB">
          <w:pPr>
            <w:pStyle w:val="D6CF0640147A450FB4DAA2D184D72AC9"/>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altName w:val="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9DB"/>
    <w:rsid w:val="000769DB"/>
    <w:rsid w:val="000A5F7E"/>
    <w:rsid w:val="002E2E65"/>
    <w:rsid w:val="003D5327"/>
    <w:rsid w:val="0051604E"/>
    <w:rsid w:val="005350BC"/>
    <w:rsid w:val="00AC6EC8"/>
    <w:rsid w:val="00D93FC7"/>
    <w:rsid w:val="00E814E9"/>
    <w:rsid w:val="00ED4E6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A68B980EC847478910CE44F3C6C583">
    <w:name w:val="01A68B980EC847478910CE44F3C6C583"/>
  </w:style>
  <w:style w:type="paragraph" w:customStyle="1" w:styleId="ACA3166E33EA49FEB9B93B4AE8BB9F3D">
    <w:name w:val="ACA3166E33EA49FEB9B93B4AE8BB9F3D"/>
  </w:style>
  <w:style w:type="paragraph" w:customStyle="1" w:styleId="27BD22AAFC94425A9679B09485AC1568">
    <w:name w:val="27BD22AAFC94425A9679B09485AC1568"/>
  </w:style>
  <w:style w:type="paragraph" w:customStyle="1" w:styleId="9BADB6798727478FA026FEB30AF1F6CB">
    <w:name w:val="9BADB6798727478FA026FEB30AF1F6CB"/>
  </w:style>
  <w:style w:type="paragraph" w:customStyle="1" w:styleId="B01B5B29DE1E466C838C41D16984E5CB">
    <w:name w:val="B01B5B29DE1E466C838C41D16984E5CB"/>
  </w:style>
  <w:style w:type="paragraph" w:customStyle="1" w:styleId="D7C54790B4DA40EFB8A72BF917730A3A">
    <w:name w:val="D7C54790B4DA40EFB8A72BF917730A3A"/>
  </w:style>
  <w:style w:type="character" w:styleId="PlaceholderText">
    <w:name w:val="Placeholder Text"/>
    <w:basedOn w:val="DefaultParagraphFont"/>
    <w:uiPriority w:val="99"/>
    <w:semiHidden/>
    <w:rPr>
      <w:color w:val="808080"/>
    </w:rPr>
  </w:style>
  <w:style w:type="paragraph" w:customStyle="1" w:styleId="6BDF513A8A354C80B455BA44413B1102">
    <w:name w:val="6BDF513A8A354C80B455BA44413B1102"/>
  </w:style>
  <w:style w:type="paragraph" w:customStyle="1" w:styleId="5CE0E63A4731417DB30CEEDCDCEA2A75">
    <w:name w:val="5CE0E63A4731417DB30CEEDCDCEA2A75"/>
  </w:style>
  <w:style w:type="paragraph" w:customStyle="1" w:styleId="5DC25A285B534264B9BD82DF5DBEF6AF">
    <w:name w:val="5DC25A285B534264B9BD82DF5DBEF6AF"/>
  </w:style>
  <w:style w:type="paragraph" w:customStyle="1" w:styleId="1013039B90C248169CCC39ACD989CEF3">
    <w:name w:val="1013039B90C248169CCC39ACD989CEF3"/>
  </w:style>
  <w:style w:type="paragraph" w:customStyle="1" w:styleId="4BF3A64F5AAC464697E6D815FE9D984E">
    <w:name w:val="4BF3A64F5AAC464697E6D815FE9D984E"/>
  </w:style>
  <w:style w:type="paragraph" w:customStyle="1" w:styleId="C73F8DC89CC94BC1AB9E8D2B4C1C0CD6">
    <w:name w:val="C73F8DC89CC94BC1AB9E8D2B4C1C0CD6"/>
  </w:style>
  <w:style w:type="paragraph" w:customStyle="1" w:styleId="8F60D2C69AC64C268A372F73E5E0C4D8">
    <w:name w:val="8F60D2C69AC64C268A372F73E5E0C4D8"/>
  </w:style>
  <w:style w:type="paragraph" w:customStyle="1" w:styleId="F0363B2188C045BEADD35D7C9CE2343F">
    <w:name w:val="F0363B2188C045BEADD35D7C9CE2343F"/>
  </w:style>
  <w:style w:type="paragraph" w:customStyle="1" w:styleId="D6CF0640147A450FB4DAA2D184D72AC9">
    <w:name w:val="D6CF0640147A450FB4DAA2D184D72A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32</TotalTime>
  <Pages>3</Pages>
  <Words>4342</Words>
  <Characters>2475</Characters>
  <Application>Microsoft Office Word</Application>
  <DocSecurity>0</DocSecurity>
  <Lines>20</Lines>
  <Paragraphs>13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Latvijas Banka</Company>
  <LinksUpToDate>false</LinksUpToDate>
  <CharactersWithSpaces>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Ināra Gūtmane</dc:creator>
  <cp:lastModifiedBy>Ināra Gūtmane</cp:lastModifiedBy>
  <cp:revision>5</cp:revision>
  <cp:lastPrinted>2010-12-20T19:45:00Z</cp:lastPrinted>
  <dcterms:created xsi:type="dcterms:W3CDTF">2024-10-23T11:17:00Z</dcterms:created>
  <dcterms:modified xsi:type="dcterms:W3CDTF">2024-10-24T08:51:00Z</dcterms:modified>
</cp:coreProperties>
</file>