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A5685" w14:textId="28D5DBC7" w:rsidR="009B27BE" w:rsidRPr="00824B87" w:rsidRDefault="00CA28AB" w:rsidP="00482C42">
      <w:pPr>
        <w:jc w:val="center"/>
        <w:rPr>
          <w:rFonts w:ascii="Times New Roman" w:hAnsi="Times New Roman" w:cs="Times New Roman"/>
          <w:b/>
          <w:bCs/>
          <w:sz w:val="24"/>
          <w:szCs w:val="24"/>
        </w:rPr>
      </w:pPr>
      <w:r w:rsidRPr="00824B87">
        <w:rPr>
          <w:rFonts w:ascii="Times New Roman" w:hAnsi="Times New Roman" w:cs="Times New Roman"/>
          <w:b/>
          <w:bCs/>
          <w:sz w:val="24"/>
          <w:szCs w:val="24"/>
        </w:rPr>
        <w:t xml:space="preserve">Latvijas Bankas noteikumu projekta </w:t>
      </w:r>
      <w:r w:rsidR="00211300" w:rsidRPr="00824B87">
        <w:rPr>
          <w:rFonts w:ascii="Times New Roman" w:hAnsi="Times New Roman" w:cs="Times New Roman"/>
          <w:b/>
          <w:bCs/>
          <w:sz w:val="24"/>
          <w:szCs w:val="24"/>
        </w:rPr>
        <w:t xml:space="preserve">"Fonda kopējā riska un riska darījumu apmēra ar darījumu partneri aprēķināšanas noteikumi" </w:t>
      </w:r>
      <w:r w:rsidR="003B481B" w:rsidRPr="00824B87">
        <w:rPr>
          <w:rFonts w:ascii="Times New Roman" w:hAnsi="Times New Roman" w:cs="Times New Roman"/>
          <w:b/>
          <w:bCs/>
          <w:sz w:val="24"/>
          <w:szCs w:val="24"/>
        </w:rPr>
        <w:t>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824B87" w14:paraId="6F9A8E72" w14:textId="77777777" w:rsidTr="00211300">
        <w:trPr>
          <w:trHeight w:val="567"/>
        </w:trPr>
        <w:tc>
          <w:tcPr>
            <w:tcW w:w="1092" w:type="pct"/>
            <w:shd w:val="clear" w:color="auto" w:fill="auto"/>
            <w:hideMark/>
          </w:tcPr>
          <w:p w14:paraId="79DBFE20"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Nosaukums</w:t>
            </w:r>
          </w:p>
          <w:p w14:paraId="07B11308"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2F33C1B2" w14:textId="2D0A9313" w:rsidR="00E53DE9" w:rsidRPr="00824B87" w:rsidRDefault="00211300" w:rsidP="000B4E0A">
            <w:pPr>
              <w:spacing w:after="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Fonda kopējā riska un riska darījumu apmēra ar darījumu partneri aprēķināšanas noteikumi</w:t>
            </w:r>
          </w:p>
        </w:tc>
      </w:tr>
      <w:tr w:rsidR="000B4E0A" w:rsidRPr="00824B87" w14:paraId="65B6B537" w14:textId="77777777" w:rsidTr="00211300">
        <w:trPr>
          <w:trHeight w:val="567"/>
        </w:trPr>
        <w:tc>
          <w:tcPr>
            <w:tcW w:w="1092" w:type="pct"/>
            <w:shd w:val="clear" w:color="auto" w:fill="auto"/>
            <w:hideMark/>
          </w:tcPr>
          <w:p w14:paraId="1757A1E1"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Dokumenta veids</w:t>
            </w:r>
          </w:p>
          <w:p w14:paraId="17E9EEF6"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4810C04" w14:textId="1AE7E4E0" w:rsidR="00E53DE9" w:rsidRPr="00824B87" w:rsidRDefault="00211300" w:rsidP="000B4E0A">
            <w:pPr>
              <w:spacing w:after="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Latvijas Bankas noteikumi</w:t>
            </w:r>
          </w:p>
        </w:tc>
      </w:tr>
      <w:tr w:rsidR="000B4E0A" w:rsidRPr="00824B87" w14:paraId="4C35F384" w14:textId="77777777" w:rsidTr="00211300">
        <w:trPr>
          <w:trHeight w:val="567"/>
        </w:trPr>
        <w:tc>
          <w:tcPr>
            <w:tcW w:w="1092" w:type="pct"/>
            <w:shd w:val="clear" w:color="auto" w:fill="auto"/>
            <w:hideMark/>
          </w:tcPr>
          <w:p w14:paraId="2D52EEED"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Izdošanas pamatojums </w:t>
            </w:r>
          </w:p>
          <w:p w14:paraId="61A4BBCF"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7C5D982" w14:textId="46F9534F" w:rsidR="00E53DE9" w:rsidRPr="00824B87" w:rsidRDefault="00211300" w:rsidP="00211300">
            <w:pPr>
              <w:spacing w:after="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Ieguldījumu pārvaldes sabiedrību likuma </w:t>
            </w:r>
            <w:r w:rsidR="00A949CB" w:rsidRPr="00824B87">
              <w:rPr>
                <w:rFonts w:ascii="Times New Roman" w:eastAsia="Times New Roman" w:hAnsi="Times New Roman" w:cs="Times New Roman"/>
                <w:sz w:val="24"/>
                <w:szCs w:val="24"/>
                <w:lang w:eastAsia="lv-LV"/>
              </w:rPr>
              <w:t>(turpmāk</w:t>
            </w:r>
            <w:r w:rsidR="009A14BA" w:rsidRPr="001750F2">
              <w:rPr>
                <w:rFonts w:ascii="Times New Roman" w:eastAsia="Times New Roman" w:hAnsi="Times New Roman" w:cs="Times New Roman"/>
                <w:sz w:val="24"/>
                <w:szCs w:val="24"/>
                <w:lang w:eastAsia="lv-LV"/>
              </w:rPr>
              <w:t> </w:t>
            </w:r>
            <w:r w:rsidR="00A949CB" w:rsidRPr="00824B87">
              <w:rPr>
                <w:rFonts w:ascii="Times New Roman" w:eastAsia="Times New Roman" w:hAnsi="Times New Roman" w:cs="Times New Roman"/>
                <w:sz w:val="24"/>
                <w:szCs w:val="24"/>
                <w:lang w:eastAsia="lv-LV"/>
              </w:rPr>
              <w:t xml:space="preserve">– Likums) </w:t>
            </w:r>
            <w:r w:rsidRPr="00824B87">
              <w:rPr>
                <w:rFonts w:ascii="Times New Roman" w:eastAsia="Times New Roman" w:hAnsi="Times New Roman" w:cs="Times New Roman"/>
                <w:sz w:val="24"/>
                <w:szCs w:val="24"/>
                <w:lang w:eastAsia="lv-LV"/>
              </w:rPr>
              <w:t>66.</w:t>
            </w:r>
            <w:r w:rsidR="009A14BA"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panta 8.</w:t>
            </w:r>
            <w:r w:rsidRPr="00824B87">
              <w:rPr>
                <w:rFonts w:ascii="Times New Roman" w:eastAsia="Times New Roman" w:hAnsi="Times New Roman" w:cs="Times New Roman"/>
                <w:sz w:val="24"/>
                <w:szCs w:val="24"/>
                <w:vertAlign w:val="superscript"/>
                <w:lang w:eastAsia="lv-LV"/>
              </w:rPr>
              <w:t>1</w:t>
            </w:r>
            <w:r w:rsidR="009A14BA" w:rsidRPr="00824B87">
              <w:rPr>
                <w:rFonts w:ascii="Times New Roman" w:eastAsia="Times New Roman" w:hAnsi="Times New Roman" w:cs="Times New Roman"/>
                <w:sz w:val="24"/>
                <w:szCs w:val="24"/>
                <w:lang w:eastAsia="lv-LV"/>
              </w:rPr>
              <w:t> </w:t>
            </w:r>
            <w:r w:rsidR="00A949CB" w:rsidRPr="00824B87">
              <w:rPr>
                <w:rFonts w:ascii="Times New Roman" w:eastAsia="Times New Roman" w:hAnsi="Times New Roman" w:cs="Times New Roman"/>
                <w:sz w:val="24"/>
                <w:szCs w:val="24"/>
                <w:lang w:eastAsia="lv-LV"/>
              </w:rPr>
              <w:t xml:space="preserve">daļa </w:t>
            </w:r>
            <w:r w:rsidRPr="00824B87">
              <w:rPr>
                <w:rFonts w:ascii="Times New Roman" w:eastAsia="Times New Roman" w:hAnsi="Times New Roman" w:cs="Times New Roman"/>
                <w:sz w:val="24"/>
                <w:szCs w:val="24"/>
                <w:lang w:eastAsia="lv-LV"/>
              </w:rPr>
              <w:t>un 78.</w:t>
            </w:r>
            <w:r w:rsidR="009A14BA"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panta septīt</w:t>
            </w:r>
            <w:r w:rsidR="00CD6AF5" w:rsidRPr="00824B87">
              <w:rPr>
                <w:rFonts w:ascii="Times New Roman" w:eastAsia="Times New Roman" w:hAnsi="Times New Roman" w:cs="Times New Roman"/>
                <w:sz w:val="24"/>
                <w:szCs w:val="24"/>
                <w:lang w:eastAsia="lv-LV"/>
              </w:rPr>
              <w:t>ā</w:t>
            </w:r>
            <w:r w:rsidRPr="00824B87">
              <w:rPr>
                <w:rFonts w:ascii="Times New Roman" w:eastAsia="Times New Roman" w:hAnsi="Times New Roman" w:cs="Times New Roman"/>
                <w:sz w:val="24"/>
                <w:szCs w:val="24"/>
                <w:lang w:eastAsia="lv-LV"/>
              </w:rPr>
              <w:t xml:space="preserve"> daļ</w:t>
            </w:r>
            <w:r w:rsidR="00A949CB" w:rsidRPr="00824B87">
              <w:rPr>
                <w:rFonts w:ascii="Times New Roman" w:eastAsia="Times New Roman" w:hAnsi="Times New Roman" w:cs="Times New Roman"/>
                <w:sz w:val="24"/>
                <w:szCs w:val="24"/>
                <w:lang w:eastAsia="lv-LV"/>
              </w:rPr>
              <w:t>a</w:t>
            </w:r>
          </w:p>
        </w:tc>
      </w:tr>
      <w:tr w:rsidR="000B4E0A" w:rsidRPr="00824B87" w14:paraId="2CB508F3" w14:textId="77777777" w:rsidTr="00211300">
        <w:trPr>
          <w:trHeight w:val="567"/>
        </w:trPr>
        <w:tc>
          <w:tcPr>
            <w:tcW w:w="1092" w:type="pct"/>
            <w:shd w:val="clear" w:color="auto" w:fill="auto"/>
            <w:hideMark/>
          </w:tcPr>
          <w:p w14:paraId="4CCBFDFF"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Mērķis un būtība</w:t>
            </w:r>
          </w:p>
          <w:p w14:paraId="48DC00D2"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6B1447F7" w14:textId="4BC1103D" w:rsidR="00A10264" w:rsidRPr="00824B87" w:rsidRDefault="009302CA" w:rsidP="00211300">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Ieguldījumu fondu darbību </w:t>
            </w:r>
            <w:r w:rsidRPr="002916CC">
              <w:rPr>
                <w:rFonts w:ascii="Times New Roman" w:eastAsia="Times New Roman" w:hAnsi="Times New Roman" w:cs="Times New Roman"/>
                <w:sz w:val="24"/>
                <w:szCs w:val="24"/>
                <w:lang w:eastAsia="lv-LV"/>
              </w:rPr>
              <w:t>regulējošās prasības izriet no</w:t>
            </w:r>
            <w:r w:rsidR="006275C2" w:rsidRPr="002916CC">
              <w:rPr>
                <w:rFonts w:ascii="Times New Roman" w:hAnsi="Times New Roman" w:cs="Times New Roman"/>
                <w:color w:val="414142"/>
                <w:sz w:val="24"/>
                <w:szCs w:val="24"/>
                <w:shd w:val="clear" w:color="auto" w:fill="FFFFFF"/>
              </w:rPr>
              <w:t xml:space="preserve"> </w:t>
            </w:r>
            <w:r w:rsidR="006275C2" w:rsidRPr="002916CC">
              <w:rPr>
                <w:rFonts w:ascii="Times New Roman" w:eastAsia="Times New Roman" w:hAnsi="Times New Roman" w:cs="Times New Roman"/>
                <w:sz w:val="24"/>
                <w:szCs w:val="24"/>
                <w:lang w:eastAsia="lv-LV"/>
              </w:rPr>
              <w:t>Eiropas Parlamenta un Padomes 2009.</w:t>
            </w:r>
            <w:r w:rsidR="009A14BA" w:rsidRPr="002916CC">
              <w:rPr>
                <w:rFonts w:ascii="Times New Roman" w:eastAsia="Times New Roman" w:hAnsi="Times New Roman" w:cs="Times New Roman"/>
                <w:sz w:val="24"/>
                <w:szCs w:val="24"/>
                <w:lang w:eastAsia="lv-LV"/>
              </w:rPr>
              <w:t> </w:t>
            </w:r>
            <w:r w:rsidR="006275C2" w:rsidRPr="002916CC">
              <w:rPr>
                <w:rFonts w:ascii="Times New Roman" w:eastAsia="Times New Roman" w:hAnsi="Times New Roman" w:cs="Times New Roman"/>
                <w:sz w:val="24"/>
                <w:szCs w:val="24"/>
                <w:lang w:eastAsia="lv-LV"/>
              </w:rPr>
              <w:t>gada 13.</w:t>
            </w:r>
            <w:r w:rsidR="009A14BA" w:rsidRPr="002916CC">
              <w:rPr>
                <w:rFonts w:ascii="Times New Roman" w:eastAsia="Times New Roman" w:hAnsi="Times New Roman" w:cs="Times New Roman"/>
                <w:sz w:val="24"/>
                <w:szCs w:val="24"/>
                <w:lang w:eastAsia="lv-LV"/>
              </w:rPr>
              <w:t> </w:t>
            </w:r>
            <w:r w:rsidR="006275C2" w:rsidRPr="002916CC">
              <w:rPr>
                <w:rFonts w:ascii="Times New Roman" w:eastAsia="Times New Roman" w:hAnsi="Times New Roman" w:cs="Times New Roman"/>
                <w:sz w:val="24"/>
                <w:szCs w:val="24"/>
                <w:lang w:eastAsia="lv-LV"/>
              </w:rPr>
              <w:t>jūlija direktīvas </w:t>
            </w:r>
            <w:hyperlink r:id="rId11" w:tgtFrame="_blank" w:history="1">
              <w:r w:rsidR="002916CC" w:rsidRPr="002916CC">
                <w:rPr>
                  <w:rStyle w:val="Hipersaite"/>
                  <w:rFonts w:ascii="Times New Roman" w:eastAsia="Times New Roman" w:hAnsi="Times New Roman" w:cs="Times New Roman"/>
                  <w:sz w:val="24"/>
                  <w:szCs w:val="24"/>
                  <w:u w:val="none"/>
                  <w:lang w:eastAsia="lv-LV"/>
                </w:rPr>
                <w:t>2009/65</w:t>
              </w:r>
            </w:hyperlink>
            <w:r w:rsidR="002916CC" w:rsidRPr="002916CC">
              <w:rPr>
                <w:rFonts w:ascii="Times New Roman" w:eastAsia="Times New Roman" w:hAnsi="Times New Roman" w:cs="Times New Roman"/>
                <w:sz w:val="24"/>
                <w:szCs w:val="24"/>
                <w:lang w:eastAsia="lv-LV"/>
              </w:rPr>
              <w:t>/</w:t>
            </w:r>
            <w:r w:rsidR="002916CC" w:rsidRPr="006275C2">
              <w:rPr>
                <w:rFonts w:ascii="Times New Roman" w:eastAsia="Times New Roman" w:hAnsi="Times New Roman" w:cs="Times New Roman"/>
                <w:sz w:val="24"/>
                <w:szCs w:val="24"/>
                <w:lang w:eastAsia="lv-LV"/>
              </w:rPr>
              <w:t>E</w:t>
            </w:r>
            <w:r w:rsidR="006275C2" w:rsidRPr="002916CC">
              <w:rPr>
                <w:rFonts w:ascii="Times New Roman" w:eastAsia="Times New Roman" w:hAnsi="Times New Roman" w:cs="Times New Roman"/>
                <w:sz w:val="24"/>
                <w:szCs w:val="24"/>
                <w:lang w:eastAsia="lv-LV"/>
              </w:rPr>
              <w:t>K</w:t>
            </w:r>
            <w:r w:rsidR="006275C2" w:rsidRPr="00824B87">
              <w:rPr>
                <w:rFonts w:ascii="Times New Roman" w:eastAsia="Times New Roman" w:hAnsi="Times New Roman" w:cs="Times New Roman"/>
                <w:sz w:val="24"/>
                <w:szCs w:val="24"/>
                <w:lang w:eastAsia="lv-LV"/>
              </w:rPr>
              <w:t xml:space="preserve"> par normatīvo un administratīvo aktu koordināciju attiecībā uz pārvedamu vērtspapīru kolektīvo ieguldījumu uzņēmumiem (PVKIU)</w:t>
            </w:r>
            <w:r w:rsidRPr="00824B87">
              <w:rPr>
                <w:rFonts w:ascii="Times New Roman" w:eastAsia="Times New Roman" w:hAnsi="Times New Roman" w:cs="Times New Roman"/>
                <w:sz w:val="24"/>
                <w:szCs w:val="24"/>
                <w:lang w:eastAsia="lv-LV"/>
              </w:rPr>
              <w:t xml:space="preserve"> (turpmāk</w:t>
            </w:r>
            <w:r w:rsidR="009A14BA"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 Direktīva 2009/65/EK), kura</w:t>
            </w:r>
            <w:r w:rsidR="00A949CB" w:rsidRPr="00824B87">
              <w:rPr>
                <w:rFonts w:ascii="Times New Roman" w:eastAsia="Times New Roman" w:hAnsi="Times New Roman" w:cs="Times New Roman"/>
                <w:sz w:val="24"/>
                <w:szCs w:val="24"/>
                <w:lang w:eastAsia="lv-LV"/>
              </w:rPr>
              <w:t>s</w:t>
            </w:r>
            <w:r w:rsidRPr="00824B87">
              <w:rPr>
                <w:rFonts w:ascii="Times New Roman" w:eastAsia="Times New Roman" w:hAnsi="Times New Roman" w:cs="Times New Roman"/>
                <w:sz w:val="24"/>
                <w:szCs w:val="24"/>
                <w:lang w:eastAsia="lv-LV"/>
              </w:rPr>
              <w:t xml:space="preserve"> </w:t>
            </w:r>
            <w:r w:rsidR="00A949CB" w:rsidRPr="00824B87">
              <w:rPr>
                <w:rFonts w:ascii="Times New Roman" w:eastAsia="Times New Roman" w:hAnsi="Times New Roman" w:cs="Times New Roman"/>
                <w:sz w:val="24"/>
                <w:szCs w:val="24"/>
                <w:lang w:eastAsia="lv-LV"/>
              </w:rPr>
              <w:t xml:space="preserve">prasības </w:t>
            </w:r>
            <w:r w:rsidRPr="00824B87">
              <w:rPr>
                <w:rFonts w:ascii="Times New Roman" w:eastAsia="Times New Roman" w:hAnsi="Times New Roman" w:cs="Times New Roman"/>
                <w:sz w:val="24"/>
                <w:szCs w:val="24"/>
                <w:lang w:eastAsia="lv-LV"/>
              </w:rPr>
              <w:t xml:space="preserve">ir </w:t>
            </w:r>
            <w:r w:rsidR="00A949CB" w:rsidRPr="00824B87">
              <w:rPr>
                <w:rFonts w:ascii="Times New Roman" w:eastAsia="Times New Roman" w:hAnsi="Times New Roman" w:cs="Times New Roman"/>
                <w:sz w:val="24"/>
                <w:szCs w:val="24"/>
                <w:lang w:eastAsia="lv-LV"/>
              </w:rPr>
              <w:t>pārņemtas ar L</w:t>
            </w:r>
            <w:r w:rsidRPr="00824B87">
              <w:rPr>
                <w:rFonts w:ascii="Times New Roman" w:eastAsia="Times New Roman" w:hAnsi="Times New Roman" w:cs="Times New Roman"/>
                <w:sz w:val="24"/>
                <w:szCs w:val="24"/>
                <w:lang w:eastAsia="lv-LV"/>
              </w:rPr>
              <w:t>ikum</w:t>
            </w:r>
            <w:r w:rsidR="00A949CB" w:rsidRPr="00824B87">
              <w:rPr>
                <w:rFonts w:ascii="Times New Roman" w:eastAsia="Times New Roman" w:hAnsi="Times New Roman" w:cs="Times New Roman"/>
                <w:sz w:val="24"/>
                <w:szCs w:val="24"/>
                <w:lang w:eastAsia="lv-LV"/>
              </w:rPr>
              <w:t>u</w:t>
            </w:r>
            <w:r w:rsidRPr="00824B87">
              <w:rPr>
                <w:rFonts w:ascii="Times New Roman" w:eastAsia="Times New Roman" w:hAnsi="Times New Roman" w:cs="Times New Roman"/>
                <w:sz w:val="24"/>
                <w:szCs w:val="24"/>
                <w:lang w:eastAsia="lv-LV"/>
              </w:rPr>
              <w:t>. Lai skaidrotu Direktīvas</w:t>
            </w:r>
            <w:r w:rsidR="009A14BA"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2009/65/EK normu piemērošanu</w:t>
            </w:r>
            <w:r w:rsidR="009A14BA" w:rsidRPr="00824B87">
              <w:rPr>
                <w:rFonts w:ascii="Times New Roman" w:eastAsia="Times New Roman" w:hAnsi="Times New Roman" w:cs="Times New Roman"/>
                <w:sz w:val="24"/>
                <w:szCs w:val="24"/>
                <w:lang w:eastAsia="lv-LV"/>
              </w:rPr>
              <w:t>,</w:t>
            </w:r>
            <w:r w:rsidRPr="00824B87">
              <w:rPr>
                <w:rFonts w:ascii="Times New Roman" w:eastAsia="Times New Roman" w:hAnsi="Times New Roman" w:cs="Times New Roman"/>
                <w:sz w:val="24"/>
                <w:szCs w:val="24"/>
                <w:lang w:eastAsia="lv-LV"/>
              </w:rPr>
              <w:t xml:space="preserve"> </w:t>
            </w:r>
            <w:r w:rsidR="00211300" w:rsidRPr="00824B87">
              <w:rPr>
                <w:rFonts w:ascii="Times New Roman" w:eastAsia="Times New Roman" w:hAnsi="Times New Roman" w:cs="Times New Roman"/>
                <w:sz w:val="24"/>
                <w:szCs w:val="24"/>
                <w:lang w:eastAsia="lv-LV"/>
              </w:rPr>
              <w:t>Eiropas Komisija 2010.</w:t>
            </w:r>
            <w:r w:rsidR="009A14BA" w:rsidRPr="00824B87">
              <w:rPr>
                <w:rFonts w:ascii="Times New Roman" w:eastAsia="Times New Roman" w:hAnsi="Times New Roman" w:cs="Times New Roman"/>
                <w:sz w:val="24"/>
                <w:szCs w:val="24"/>
                <w:lang w:eastAsia="lv-LV"/>
              </w:rPr>
              <w:t> </w:t>
            </w:r>
            <w:r w:rsidR="00211300" w:rsidRPr="00824B87">
              <w:rPr>
                <w:rFonts w:ascii="Times New Roman" w:eastAsia="Times New Roman" w:hAnsi="Times New Roman" w:cs="Times New Roman"/>
                <w:sz w:val="24"/>
                <w:szCs w:val="24"/>
                <w:lang w:eastAsia="lv-LV"/>
              </w:rPr>
              <w:t>gada 1.</w:t>
            </w:r>
            <w:r w:rsidR="009A14BA" w:rsidRPr="00824B87">
              <w:rPr>
                <w:rFonts w:ascii="Times New Roman" w:eastAsia="Times New Roman" w:hAnsi="Times New Roman" w:cs="Times New Roman"/>
                <w:sz w:val="24"/>
                <w:szCs w:val="24"/>
                <w:lang w:eastAsia="lv-LV"/>
              </w:rPr>
              <w:t> </w:t>
            </w:r>
            <w:r w:rsidR="00211300" w:rsidRPr="00824B87">
              <w:rPr>
                <w:rFonts w:ascii="Times New Roman" w:eastAsia="Times New Roman" w:hAnsi="Times New Roman" w:cs="Times New Roman"/>
                <w:sz w:val="24"/>
                <w:szCs w:val="24"/>
                <w:lang w:eastAsia="lv-LV"/>
              </w:rPr>
              <w:t>jūlij</w:t>
            </w:r>
            <w:r w:rsidRPr="00824B87">
              <w:rPr>
                <w:rFonts w:ascii="Times New Roman" w:eastAsia="Times New Roman" w:hAnsi="Times New Roman" w:cs="Times New Roman"/>
                <w:sz w:val="24"/>
                <w:szCs w:val="24"/>
                <w:lang w:eastAsia="lv-LV"/>
              </w:rPr>
              <w:t>ā</w:t>
            </w:r>
            <w:r w:rsidR="00211300" w:rsidRPr="00824B8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apstiprināja </w:t>
            </w:r>
            <w:r w:rsidR="00431CB6" w:rsidRPr="00824B87">
              <w:rPr>
                <w:rFonts w:ascii="Times New Roman" w:eastAsia="Times New Roman" w:hAnsi="Times New Roman" w:cs="Times New Roman"/>
                <w:sz w:val="24"/>
                <w:szCs w:val="24"/>
                <w:lang w:eastAsia="lv-LV"/>
              </w:rPr>
              <w:t xml:space="preserve">Komisijas </w:t>
            </w:r>
            <w:r w:rsidR="006275C2" w:rsidRPr="00824B87">
              <w:rPr>
                <w:rFonts w:ascii="Times New Roman" w:eastAsia="Times New Roman" w:hAnsi="Times New Roman" w:cs="Times New Roman"/>
                <w:sz w:val="24"/>
                <w:szCs w:val="24"/>
                <w:lang w:eastAsia="lv-LV"/>
              </w:rPr>
              <w:t>d</w:t>
            </w:r>
            <w:r w:rsidR="00211300" w:rsidRPr="00824B87">
              <w:rPr>
                <w:rFonts w:ascii="Times New Roman" w:eastAsia="Times New Roman" w:hAnsi="Times New Roman" w:cs="Times New Roman"/>
                <w:sz w:val="24"/>
                <w:szCs w:val="24"/>
                <w:lang w:eastAsia="lv-LV"/>
              </w:rPr>
              <w:t>irektīv</w:t>
            </w:r>
            <w:r w:rsidR="006275C2" w:rsidRPr="00824B87">
              <w:rPr>
                <w:rFonts w:ascii="Times New Roman" w:eastAsia="Times New Roman" w:hAnsi="Times New Roman" w:cs="Times New Roman"/>
                <w:sz w:val="24"/>
                <w:szCs w:val="24"/>
                <w:lang w:eastAsia="lv-LV"/>
              </w:rPr>
              <w:t>u</w:t>
            </w:r>
            <w:r w:rsidR="00431CB6" w:rsidRPr="00824B87">
              <w:rPr>
                <w:rFonts w:ascii="Times New Roman" w:eastAsia="Times New Roman" w:hAnsi="Times New Roman" w:cs="Times New Roman"/>
                <w:sz w:val="24"/>
                <w:szCs w:val="24"/>
                <w:lang w:eastAsia="lv-LV"/>
              </w:rPr>
              <w:t> </w:t>
            </w:r>
            <w:r w:rsidR="00211300" w:rsidRPr="00824B87">
              <w:rPr>
                <w:rFonts w:ascii="Times New Roman" w:eastAsia="Times New Roman" w:hAnsi="Times New Roman" w:cs="Times New Roman"/>
                <w:sz w:val="24"/>
                <w:szCs w:val="24"/>
                <w:lang w:eastAsia="lv-LV"/>
              </w:rPr>
              <w:t xml:space="preserve">2010/43/ES, ar ko īsteno Eiropas Parlamenta un Padomes </w:t>
            </w:r>
            <w:r w:rsidR="00CD6AF5" w:rsidRPr="00824B87">
              <w:rPr>
                <w:rFonts w:ascii="Times New Roman" w:eastAsia="Times New Roman" w:hAnsi="Times New Roman" w:cs="Times New Roman"/>
                <w:sz w:val="24"/>
                <w:szCs w:val="24"/>
                <w:lang w:eastAsia="lv-LV"/>
              </w:rPr>
              <w:t>d</w:t>
            </w:r>
            <w:r w:rsidR="00211300" w:rsidRPr="00824B87">
              <w:rPr>
                <w:rFonts w:ascii="Times New Roman" w:eastAsia="Times New Roman" w:hAnsi="Times New Roman" w:cs="Times New Roman"/>
                <w:sz w:val="24"/>
                <w:szCs w:val="24"/>
                <w:lang w:eastAsia="lv-LV"/>
              </w:rPr>
              <w:t>irektīvu</w:t>
            </w:r>
            <w:r w:rsidR="00431CB6" w:rsidRPr="00824B87">
              <w:rPr>
                <w:rFonts w:ascii="Times New Roman" w:eastAsia="Times New Roman" w:hAnsi="Times New Roman" w:cs="Times New Roman"/>
                <w:sz w:val="24"/>
                <w:szCs w:val="24"/>
                <w:lang w:eastAsia="lv-LV"/>
              </w:rPr>
              <w:t> </w:t>
            </w:r>
            <w:r w:rsidR="00211300" w:rsidRPr="00824B87">
              <w:rPr>
                <w:rFonts w:ascii="Times New Roman" w:eastAsia="Times New Roman" w:hAnsi="Times New Roman" w:cs="Times New Roman"/>
                <w:sz w:val="24"/>
                <w:szCs w:val="24"/>
                <w:lang w:eastAsia="lv-LV"/>
              </w:rPr>
              <w:t>2009/65/EK attiecībā uz organizatoriskajām prasībām, interešu konfliktiem, profesionālo ētiku, riska pārvaldību un starp depozitāriju un pārvaldības sabiedrību noslēdzamās vienošanās saturu (t</w:t>
            </w:r>
            <w:r w:rsidR="00021ADF" w:rsidRPr="00824B87">
              <w:rPr>
                <w:rFonts w:ascii="Times New Roman" w:eastAsia="Times New Roman" w:hAnsi="Times New Roman" w:cs="Times New Roman"/>
                <w:sz w:val="24"/>
                <w:szCs w:val="24"/>
                <w:lang w:eastAsia="lv-LV"/>
              </w:rPr>
              <w:t>urpmāk</w:t>
            </w:r>
            <w:r w:rsidR="00431CB6" w:rsidRPr="00824B87">
              <w:rPr>
                <w:rFonts w:ascii="Times New Roman" w:eastAsia="Times New Roman" w:hAnsi="Times New Roman" w:cs="Times New Roman"/>
                <w:sz w:val="24"/>
                <w:szCs w:val="24"/>
                <w:lang w:eastAsia="lv-LV"/>
              </w:rPr>
              <w:t> </w:t>
            </w:r>
            <w:r w:rsidR="00211300" w:rsidRPr="00824B87">
              <w:rPr>
                <w:rFonts w:ascii="Times New Roman" w:eastAsia="Times New Roman" w:hAnsi="Times New Roman" w:cs="Times New Roman"/>
                <w:sz w:val="24"/>
                <w:szCs w:val="24"/>
                <w:lang w:eastAsia="lv-LV"/>
              </w:rPr>
              <w:t>– Direktīva</w:t>
            </w:r>
            <w:r w:rsidR="00431CB6" w:rsidRPr="00824B87">
              <w:rPr>
                <w:rFonts w:ascii="Times New Roman" w:eastAsia="Times New Roman" w:hAnsi="Times New Roman" w:cs="Times New Roman"/>
                <w:sz w:val="24"/>
                <w:szCs w:val="24"/>
                <w:lang w:eastAsia="lv-LV"/>
              </w:rPr>
              <w:t> </w:t>
            </w:r>
            <w:r w:rsidR="00211300" w:rsidRPr="00824B87">
              <w:rPr>
                <w:rFonts w:ascii="Times New Roman" w:eastAsia="Times New Roman" w:hAnsi="Times New Roman" w:cs="Times New Roman"/>
                <w:sz w:val="24"/>
                <w:szCs w:val="24"/>
                <w:lang w:eastAsia="lv-LV"/>
              </w:rPr>
              <w:t>2010/43/ES</w:t>
            </w:r>
            <w:r w:rsidR="00A949CB" w:rsidRPr="00824B87">
              <w:rPr>
                <w:rFonts w:ascii="Times New Roman" w:eastAsia="Times New Roman" w:hAnsi="Times New Roman" w:cs="Times New Roman"/>
                <w:sz w:val="24"/>
                <w:szCs w:val="24"/>
                <w:lang w:eastAsia="lv-LV"/>
              </w:rPr>
              <w:t xml:space="preserve">). Šajā Eiropas Komisijas normatīvajā aktā </w:t>
            </w:r>
            <w:r w:rsidRPr="00824B87">
              <w:rPr>
                <w:rFonts w:ascii="Times New Roman" w:eastAsia="Times New Roman" w:hAnsi="Times New Roman" w:cs="Times New Roman"/>
                <w:sz w:val="24"/>
                <w:szCs w:val="24"/>
                <w:lang w:eastAsia="lv-LV"/>
              </w:rPr>
              <w:t>papildus citām normām</w:t>
            </w:r>
            <w:r w:rsidR="00211300" w:rsidRPr="00824B87">
              <w:rPr>
                <w:rFonts w:ascii="Times New Roman" w:eastAsia="Times New Roman" w:hAnsi="Times New Roman" w:cs="Times New Roman"/>
                <w:sz w:val="24"/>
                <w:szCs w:val="24"/>
                <w:lang w:eastAsia="lv-LV"/>
              </w:rPr>
              <w:t xml:space="preserve"> no</w:t>
            </w:r>
            <w:r w:rsidR="00431CB6" w:rsidRPr="00824B87">
              <w:rPr>
                <w:rFonts w:ascii="Times New Roman" w:eastAsia="Times New Roman" w:hAnsi="Times New Roman" w:cs="Times New Roman"/>
                <w:sz w:val="24"/>
                <w:szCs w:val="24"/>
                <w:lang w:eastAsia="lv-LV"/>
              </w:rPr>
              <w:t>teiktas</w:t>
            </w:r>
            <w:r w:rsidR="00211300" w:rsidRPr="00824B8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arī </w:t>
            </w:r>
            <w:r w:rsidR="00211300" w:rsidRPr="00824B87">
              <w:rPr>
                <w:rFonts w:ascii="Times New Roman" w:eastAsia="Times New Roman" w:hAnsi="Times New Roman" w:cs="Times New Roman"/>
                <w:sz w:val="24"/>
                <w:szCs w:val="24"/>
                <w:lang w:eastAsia="lv-LV"/>
              </w:rPr>
              <w:t>prasības</w:t>
            </w:r>
            <w:r w:rsidR="007F21F6" w:rsidRPr="00824B87">
              <w:rPr>
                <w:rFonts w:ascii="Times New Roman" w:eastAsia="Times New Roman" w:hAnsi="Times New Roman" w:cs="Times New Roman"/>
                <w:sz w:val="24"/>
                <w:szCs w:val="24"/>
                <w:lang w:eastAsia="lv-LV"/>
              </w:rPr>
              <w:t xml:space="preserve"> </w:t>
            </w:r>
            <w:r w:rsidR="00B95445" w:rsidRPr="00824B87">
              <w:rPr>
                <w:rFonts w:ascii="Times New Roman" w:eastAsia="Times New Roman" w:hAnsi="Times New Roman" w:cs="Times New Roman"/>
                <w:sz w:val="24"/>
                <w:szCs w:val="24"/>
                <w:lang w:eastAsia="lv-LV"/>
              </w:rPr>
              <w:t xml:space="preserve">ieguldījumu </w:t>
            </w:r>
            <w:r w:rsidR="00847563" w:rsidRPr="00824B87">
              <w:rPr>
                <w:rFonts w:ascii="Times New Roman" w:eastAsia="Times New Roman" w:hAnsi="Times New Roman" w:cs="Times New Roman"/>
                <w:sz w:val="24"/>
                <w:szCs w:val="24"/>
                <w:lang w:eastAsia="lv-LV"/>
              </w:rPr>
              <w:t xml:space="preserve">fonda </w:t>
            </w:r>
            <w:r w:rsidR="00475ED3" w:rsidRPr="00824B87">
              <w:rPr>
                <w:rFonts w:ascii="Times New Roman" w:eastAsia="Times New Roman" w:hAnsi="Times New Roman" w:cs="Times New Roman"/>
                <w:sz w:val="24"/>
                <w:szCs w:val="24"/>
                <w:lang w:eastAsia="lv-LV"/>
              </w:rPr>
              <w:t>(turpmāk</w:t>
            </w:r>
            <w:r w:rsidR="00431CB6" w:rsidRPr="00824B87">
              <w:rPr>
                <w:rFonts w:ascii="Times New Roman" w:eastAsia="Times New Roman" w:hAnsi="Times New Roman" w:cs="Times New Roman"/>
                <w:sz w:val="24"/>
                <w:szCs w:val="24"/>
                <w:lang w:eastAsia="lv-LV"/>
              </w:rPr>
              <w:t> </w:t>
            </w:r>
            <w:r w:rsidR="00475ED3" w:rsidRPr="00824B87">
              <w:rPr>
                <w:rFonts w:ascii="Times New Roman" w:eastAsia="Times New Roman" w:hAnsi="Times New Roman" w:cs="Times New Roman"/>
                <w:sz w:val="24"/>
                <w:szCs w:val="24"/>
                <w:lang w:eastAsia="lv-LV"/>
              </w:rPr>
              <w:t xml:space="preserve">– </w:t>
            </w:r>
            <w:r w:rsidR="00A949CB" w:rsidRPr="00824B87">
              <w:rPr>
                <w:rFonts w:ascii="Times New Roman" w:eastAsia="Times New Roman" w:hAnsi="Times New Roman" w:cs="Times New Roman"/>
                <w:sz w:val="24"/>
                <w:szCs w:val="24"/>
                <w:lang w:eastAsia="lv-LV"/>
              </w:rPr>
              <w:t>fonds</w:t>
            </w:r>
            <w:r w:rsidR="00475ED3" w:rsidRPr="00824B87">
              <w:rPr>
                <w:rFonts w:ascii="Times New Roman" w:eastAsia="Times New Roman" w:hAnsi="Times New Roman" w:cs="Times New Roman"/>
                <w:sz w:val="24"/>
                <w:szCs w:val="24"/>
                <w:lang w:eastAsia="lv-LV"/>
              </w:rPr>
              <w:t xml:space="preserve">) </w:t>
            </w:r>
            <w:r w:rsidR="00847563" w:rsidRPr="00824B87">
              <w:rPr>
                <w:rFonts w:ascii="Times New Roman" w:eastAsia="Times New Roman" w:hAnsi="Times New Roman" w:cs="Times New Roman"/>
                <w:sz w:val="24"/>
                <w:szCs w:val="24"/>
                <w:lang w:eastAsia="lv-LV"/>
              </w:rPr>
              <w:t xml:space="preserve">kopējā riska, riska darījumu apmēra ar darījumu partneri un darījumu koncentrācijas riska apmēra ar vienu emitentu vai darījumu partneri aprēķināšanai. </w:t>
            </w:r>
          </w:p>
          <w:p w14:paraId="05D2BA48" w14:textId="7A63B5FF" w:rsidR="00D2056C" w:rsidRPr="00824B87" w:rsidRDefault="00847563" w:rsidP="00211300">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Direktīv</w:t>
            </w:r>
            <w:r w:rsidR="00431CB6" w:rsidRPr="00824B87">
              <w:rPr>
                <w:rFonts w:ascii="Times New Roman" w:eastAsia="Times New Roman" w:hAnsi="Times New Roman" w:cs="Times New Roman"/>
                <w:sz w:val="24"/>
                <w:szCs w:val="24"/>
                <w:lang w:eastAsia="lv-LV"/>
              </w:rPr>
              <w:t>ā </w:t>
            </w:r>
            <w:r w:rsidRPr="00824B87">
              <w:rPr>
                <w:rFonts w:ascii="Times New Roman" w:eastAsia="Times New Roman" w:hAnsi="Times New Roman" w:cs="Times New Roman"/>
                <w:sz w:val="24"/>
                <w:szCs w:val="24"/>
                <w:lang w:eastAsia="lv-LV"/>
              </w:rPr>
              <w:t xml:space="preserve">2010/43/ES </w:t>
            </w:r>
            <w:r w:rsidR="00431CB6" w:rsidRPr="00824B87">
              <w:rPr>
                <w:rFonts w:ascii="Times New Roman" w:eastAsia="Times New Roman" w:hAnsi="Times New Roman" w:cs="Times New Roman"/>
                <w:sz w:val="24"/>
                <w:szCs w:val="24"/>
                <w:lang w:eastAsia="lv-LV"/>
              </w:rPr>
              <w:t>nav noteikta</w:t>
            </w:r>
            <w:r w:rsidRPr="00824B87">
              <w:rPr>
                <w:rFonts w:ascii="Times New Roman" w:eastAsia="Times New Roman" w:hAnsi="Times New Roman" w:cs="Times New Roman"/>
                <w:sz w:val="24"/>
                <w:szCs w:val="24"/>
                <w:lang w:eastAsia="lv-LV"/>
              </w:rPr>
              <w:t xml:space="preserve"> </w:t>
            </w:r>
            <w:r w:rsidR="007F21F6" w:rsidRPr="00824B87">
              <w:rPr>
                <w:rFonts w:ascii="Times New Roman" w:eastAsia="Times New Roman" w:hAnsi="Times New Roman" w:cs="Times New Roman"/>
                <w:sz w:val="24"/>
                <w:szCs w:val="24"/>
                <w:lang w:eastAsia="lv-LV"/>
              </w:rPr>
              <w:t>detalizēt</w:t>
            </w:r>
            <w:r w:rsidR="00431CB6" w:rsidRPr="00824B87">
              <w:rPr>
                <w:rFonts w:ascii="Times New Roman" w:eastAsia="Times New Roman" w:hAnsi="Times New Roman" w:cs="Times New Roman"/>
                <w:sz w:val="24"/>
                <w:szCs w:val="24"/>
                <w:lang w:eastAsia="lv-LV"/>
              </w:rPr>
              <w:t>a</w:t>
            </w:r>
            <w:r w:rsidRPr="00824B87">
              <w:rPr>
                <w:rFonts w:ascii="Times New Roman" w:eastAsia="Times New Roman" w:hAnsi="Times New Roman" w:cs="Times New Roman"/>
                <w:sz w:val="24"/>
                <w:szCs w:val="24"/>
                <w:lang w:eastAsia="lv-LV"/>
              </w:rPr>
              <w:t xml:space="preserve"> riska darījumu apmēra un kopējā riska aprēķin</w:t>
            </w:r>
            <w:r w:rsidR="00CD6AF5" w:rsidRPr="00824B87">
              <w:rPr>
                <w:rFonts w:ascii="Times New Roman" w:eastAsia="Times New Roman" w:hAnsi="Times New Roman" w:cs="Times New Roman"/>
                <w:sz w:val="24"/>
                <w:szCs w:val="24"/>
                <w:lang w:eastAsia="lv-LV"/>
              </w:rPr>
              <w:t>āšanas</w:t>
            </w:r>
            <w:r w:rsidRPr="00824B87">
              <w:rPr>
                <w:rFonts w:ascii="Times New Roman" w:eastAsia="Times New Roman" w:hAnsi="Times New Roman" w:cs="Times New Roman"/>
                <w:sz w:val="24"/>
                <w:szCs w:val="24"/>
                <w:lang w:eastAsia="lv-LV"/>
              </w:rPr>
              <w:t xml:space="preserve"> kārtīb</w:t>
            </w:r>
            <w:r w:rsidR="00431CB6" w:rsidRPr="00824B87">
              <w:rPr>
                <w:rFonts w:ascii="Times New Roman" w:eastAsia="Times New Roman" w:hAnsi="Times New Roman" w:cs="Times New Roman"/>
                <w:sz w:val="24"/>
                <w:szCs w:val="24"/>
                <w:lang w:eastAsia="lv-LV"/>
              </w:rPr>
              <w:t>a, tādēļ,</w:t>
            </w:r>
            <w:r w:rsidR="00F505C8" w:rsidRPr="00824B87">
              <w:rPr>
                <w:rFonts w:ascii="Times New Roman" w:eastAsia="Times New Roman" w:hAnsi="Times New Roman" w:cs="Times New Roman"/>
                <w:sz w:val="24"/>
                <w:szCs w:val="24"/>
                <w:lang w:eastAsia="lv-LV"/>
              </w:rPr>
              <w:t xml:space="preserve"> l</w:t>
            </w:r>
            <w:r w:rsidRPr="00824B87">
              <w:rPr>
                <w:rFonts w:ascii="Times New Roman" w:eastAsia="Times New Roman" w:hAnsi="Times New Roman" w:cs="Times New Roman"/>
                <w:sz w:val="24"/>
                <w:szCs w:val="24"/>
                <w:lang w:eastAsia="lv-LV"/>
              </w:rPr>
              <w:t xml:space="preserve">ai </w:t>
            </w:r>
            <w:r w:rsidR="000473FE" w:rsidRPr="00824B87">
              <w:rPr>
                <w:rFonts w:ascii="Times New Roman" w:eastAsia="Times New Roman" w:hAnsi="Times New Roman" w:cs="Times New Roman"/>
                <w:sz w:val="24"/>
                <w:szCs w:val="24"/>
                <w:lang w:eastAsia="lv-LV"/>
              </w:rPr>
              <w:t xml:space="preserve">nodrošinātu vienveidīgu normu piemērošanu </w:t>
            </w:r>
            <w:r w:rsidR="00D43C59" w:rsidRPr="00824B87">
              <w:rPr>
                <w:rFonts w:ascii="Times New Roman" w:eastAsia="Times New Roman" w:hAnsi="Times New Roman" w:cs="Times New Roman"/>
                <w:sz w:val="24"/>
                <w:szCs w:val="24"/>
                <w:lang w:eastAsia="lv-LV"/>
              </w:rPr>
              <w:t xml:space="preserve">fondiem </w:t>
            </w:r>
            <w:r w:rsidR="000473FE" w:rsidRPr="00824B87">
              <w:rPr>
                <w:rFonts w:ascii="Times New Roman" w:eastAsia="Times New Roman" w:hAnsi="Times New Roman" w:cs="Times New Roman"/>
                <w:sz w:val="24"/>
                <w:szCs w:val="24"/>
                <w:lang w:eastAsia="lv-LV"/>
              </w:rPr>
              <w:t>visās Eiropas Savienības dalībvalstīs</w:t>
            </w:r>
            <w:r w:rsidR="00D2056C" w:rsidRPr="00824B87">
              <w:rPr>
                <w:rFonts w:ascii="Times New Roman" w:eastAsia="Times New Roman" w:hAnsi="Times New Roman" w:cs="Times New Roman"/>
                <w:sz w:val="24"/>
                <w:szCs w:val="24"/>
                <w:lang w:eastAsia="lv-LV"/>
              </w:rPr>
              <w:t>:</w:t>
            </w:r>
          </w:p>
          <w:p w14:paraId="5CA96573" w14:textId="49E2F62B" w:rsidR="00D2056C" w:rsidRPr="00824B87" w:rsidRDefault="00D2056C" w:rsidP="00211300">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1)</w:t>
            </w:r>
            <w:r w:rsidR="00A949CB" w:rsidRPr="00824B87">
              <w:rPr>
                <w:rFonts w:ascii="Times New Roman" w:eastAsia="Times New Roman" w:hAnsi="Times New Roman" w:cs="Times New Roman"/>
                <w:sz w:val="24"/>
                <w:szCs w:val="24"/>
                <w:lang w:eastAsia="lv-LV"/>
              </w:rPr>
              <w:t> </w:t>
            </w:r>
            <w:r w:rsidR="00847563" w:rsidRPr="00824B87">
              <w:rPr>
                <w:rFonts w:ascii="Times New Roman" w:eastAsia="Times New Roman" w:hAnsi="Times New Roman" w:cs="Times New Roman"/>
                <w:sz w:val="24"/>
                <w:szCs w:val="24"/>
                <w:lang w:eastAsia="lv-LV"/>
              </w:rPr>
              <w:t>Eiropas Vērtspapīru regulatoru komiteja</w:t>
            </w:r>
            <w:r w:rsidR="00F505C8" w:rsidRPr="00824B87">
              <w:rPr>
                <w:rFonts w:ascii="Times New Roman" w:eastAsia="Times New Roman" w:hAnsi="Times New Roman" w:cs="Times New Roman"/>
                <w:sz w:val="24"/>
                <w:szCs w:val="24"/>
                <w:lang w:eastAsia="lv-LV"/>
              </w:rPr>
              <w:t xml:space="preserve"> (kuras </w:t>
            </w:r>
            <w:r w:rsidR="00A949CB" w:rsidRPr="00824B87">
              <w:rPr>
                <w:rFonts w:ascii="Times New Roman" w:eastAsia="Times New Roman" w:hAnsi="Times New Roman" w:cs="Times New Roman"/>
                <w:sz w:val="24"/>
                <w:szCs w:val="24"/>
                <w:lang w:eastAsia="lv-LV"/>
              </w:rPr>
              <w:t xml:space="preserve">tiesību </w:t>
            </w:r>
            <w:r w:rsidR="00F505C8" w:rsidRPr="00824B87">
              <w:rPr>
                <w:rFonts w:ascii="Times New Roman" w:eastAsia="Times New Roman" w:hAnsi="Times New Roman" w:cs="Times New Roman"/>
                <w:sz w:val="24"/>
                <w:szCs w:val="24"/>
                <w:lang w:eastAsia="lv-LV"/>
              </w:rPr>
              <w:t>pēctecību nodrošina</w:t>
            </w:r>
            <w:r w:rsidR="00F505C8" w:rsidRPr="00327536">
              <w:rPr>
                <w:rFonts w:ascii="Times New Roman" w:hAnsi="Times New Roman" w:cs="Times New Roman"/>
                <w:sz w:val="24"/>
                <w:szCs w:val="24"/>
              </w:rPr>
              <w:t xml:space="preserve"> </w:t>
            </w:r>
            <w:r w:rsidR="00F505C8" w:rsidRPr="00824B87">
              <w:rPr>
                <w:rFonts w:ascii="Times New Roman" w:eastAsia="Times New Roman" w:hAnsi="Times New Roman" w:cs="Times New Roman"/>
                <w:sz w:val="24"/>
                <w:szCs w:val="24"/>
                <w:lang w:eastAsia="lv-LV"/>
              </w:rPr>
              <w:t>Eiropas Vērtspapīru un tirgu iestāde)</w:t>
            </w:r>
            <w:r w:rsidR="00847563" w:rsidRPr="00824B87">
              <w:rPr>
                <w:rFonts w:ascii="Times New Roman" w:eastAsia="Times New Roman" w:hAnsi="Times New Roman" w:cs="Times New Roman"/>
                <w:sz w:val="24"/>
                <w:szCs w:val="24"/>
                <w:lang w:eastAsia="lv-LV"/>
              </w:rPr>
              <w:t xml:space="preserve"> </w:t>
            </w:r>
            <w:r w:rsidR="00B80B95" w:rsidRPr="00824B87">
              <w:rPr>
                <w:rFonts w:ascii="Times New Roman" w:eastAsia="Times New Roman" w:hAnsi="Times New Roman" w:cs="Times New Roman"/>
                <w:sz w:val="24"/>
                <w:szCs w:val="24"/>
                <w:lang w:eastAsia="lv-LV"/>
              </w:rPr>
              <w:t>2010.</w:t>
            </w:r>
            <w:r w:rsidR="00431CB6" w:rsidRPr="00824B87">
              <w:rPr>
                <w:rFonts w:ascii="Times New Roman" w:eastAsia="Times New Roman" w:hAnsi="Times New Roman" w:cs="Times New Roman"/>
                <w:sz w:val="24"/>
                <w:szCs w:val="24"/>
                <w:lang w:eastAsia="lv-LV"/>
              </w:rPr>
              <w:t> </w:t>
            </w:r>
            <w:r w:rsidR="00B80B95" w:rsidRPr="00824B87">
              <w:rPr>
                <w:rFonts w:ascii="Times New Roman" w:eastAsia="Times New Roman" w:hAnsi="Times New Roman" w:cs="Times New Roman"/>
                <w:sz w:val="24"/>
                <w:szCs w:val="24"/>
                <w:lang w:eastAsia="lv-LV"/>
              </w:rPr>
              <w:t>gada 28.</w:t>
            </w:r>
            <w:r w:rsidR="00431CB6" w:rsidRPr="00824B87">
              <w:rPr>
                <w:rFonts w:ascii="Times New Roman" w:eastAsia="Times New Roman" w:hAnsi="Times New Roman" w:cs="Times New Roman"/>
                <w:sz w:val="24"/>
                <w:szCs w:val="24"/>
                <w:lang w:eastAsia="lv-LV"/>
              </w:rPr>
              <w:t> </w:t>
            </w:r>
            <w:r w:rsidR="00B80B95" w:rsidRPr="00824B87">
              <w:rPr>
                <w:rFonts w:ascii="Times New Roman" w:eastAsia="Times New Roman" w:hAnsi="Times New Roman" w:cs="Times New Roman"/>
                <w:sz w:val="24"/>
                <w:szCs w:val="24"/>
                <w:lang w:eastAsia="lv-LV"/>
              </w:rPr>
              <w:t>jūlijā publiskoja</w:t>
            </w:r>
            <w:r w:rsidR="00847563" w:rsidRPr="00824B87">
              <w:rPr>
                <w:rFonts w:ascii="Times New Roman" w:eastAsia="Times New Roman" w:hAnsi="Times New Roman" w:cs="Times New Roman"/>
                <w:sz w:val="24"/>
                <w:szCs w:val="24"/>
                <w:lang w:eastAsia="lv-LV"/>
              </w:rPr>
              <w:t xml:space="preserve"> </w:t>
            </w:r>
            <w:r w:rsidR="00B80B95" w:rsidRPr="00824B87">
              <w:rPr>
                <w:rFonts w:ascii="Times New Roman" w:eastAsia="Times New Roman" w:hAnsi="Times New Roman" w:cs="Times New Roman"/>
                <w:sz w:val="24"/>
                <w:szCs w:val="24"/>
                <w:lang w:eastAsia="lv-LV"/>
              </w:rPr>
              <w:t>pamatnostādnes</w:t>
            </w:r>
            <w:r w:rsidR="00847563" w:rsidRPr="00824B87">
              <w:rPr>
                <w:rFonts w:ascii="Times New Roman" w:eastAsia="Times New Roman" w:hAnsi="Times New Roman" w:cs="Times New Roman"/>
                <w:sz w:val="24"/>
                <w:szCs w:val="24"/>
                <w:lang w:eastAsia="lv-LV"/>
              </w:rPr>
              <w:t xml:space="preserve"> (</w:t>
            </w:r>
            <w:hyperlink r:id="rId12" w:history="1">
              <w:r w:rsidR="00847563" w:rsidRPr="00327536">
                <w:rPr>
                  <w:rStyle w:val="Hipersaite"/>
                  <w:rFonts w:ascii="Times New Roman" w:eastAsia="Times New Roman" w:hAnsi="Times New Roman" w:cs="Times New Roman"/>
                  <w:sz w:val="24"/>
                  <w:szCs w:val="24"/>
                  <w:u w:val="none"/>
                  <w:lang w:eastAsia="lv-LV"/>
                </w:rPr>
                <w:t>CESR/10-788</w:t>
              </w:r>
            </w:hyperlink>
            <w:r w:rsidR="00847563" w:rsidRPr="00824B87">
              <w:rPr>
                <w:rFonts w:ascii="Times New Roman" w:eastAsia="Times New Roman" w:hAnsi="Times New Roman" w:cs="Times New Roman"/>
                <w:sz w:val="24"/>
                <w:szCs w:val="24"/>
                <w:lang w:eastAsia="lv-LV"/>
              </w:rPr>
              <w:t>) PVKIU riska novērtēšanai un kopējā riska un darījuma partnera riska aprēķināšanai</w:t>
            </w:r>
            <w:r w:rsidRPr="00824B87">
              <w:rPr>
                <w:rFonts w:ascii="Times New Roman" w:eastAsia="Times New Roman" w:hAnsi="Times New Roman" w:cs="Times New Roman"/>
                <w:sz w:val="24"/>
                <w:szCs w:val="24"/>
                <w:lang w:eastAsia="lv-LV"/>
              </w:rPr>
              <w:t>;</w:t>
            </w:r>
          </w:p>
          <w:p w14:paraId="3E4970CC" w14:textId="56F7E1F4" w:rsidR="00A10264" w:rsidRPr="00824B87" w:rsidRDefault="00D2056C" w:rsidP="00211300">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2)</w:t>
            </w:r>
            <w:r w:rsidR="00A949CB" w:rsidRPr="00824B87">
              <w:rPr>
                <w:rFonts w:ascii="Times New Roman" w:eastAsia="Times New Roman" w:hAnsi="Times New Roman" w:cs="Times New Roman"/>
                <w:sz w:val="24"/>
                <w:szCs w:val="24"/>
                <w:lang w:eastAsia="lv-LV"/>
              </w:rPr>
              <w:t> </w:t>
            </w:r>
            <w:r w:rsidR="00847563" w:rsidRPr="00824B87">
              <w:rPr>
                <w:rFonts w:ascii="Times New Roman" w:eastAsia="Times New Roman" w:hAnsi="Times New Roman" w:cs="Times New Roman"/>
                <w:sz w:val="24"/>
                <w:szCs w:val="24"/>
                <w:lang w:eastAsia="lv-LV"/>
              </w:rPr>
              <w:t>Eiropas Vērtspapīru un tirgu iestāde</w:t>
            </w:r>
            <w:r w:rsidR="00B80B95" w:rsidRPr="00824B87">
              <w:rPr>
                <w:rFonts w:ascii="Times New Roman" w:eastAsia="Times New Roman" w:hAnsi="Times New Roman" w:cs="Times New Roman"/>
                <w:sz w:val="24"/>
                <w:szCs w:val="24"/>
                <w:lang w:eastAsia="lv-LV"/>
              </w:rPr>
              <w:t xml:space="preserve"> 2012.</w:t>
            </w:r>
            <w:r w:rsidR="00431CB6" w:rsidRPr="00824B87">
              <w:rPr>
                <w:rFonts w:ascii="Times New Roman" w:eastAsia="Times New Roman" w:hAnsi="Times New Roman" w:cs="Times New Roman"/>
                <w:sz w:val="24"/>
                <w:szCs w:val="24"/>
                <w:lang w:eastAsia="lv-LV"/>
              </w:rPr>
              <w:t> </w:t>
            </w:r>
            <w:r w:rsidR="00B80B95" w:rsidRPr="00824B87">
              <w:rPr>
                <w:rFonts w:ascii="Times New Roman" w:eastAsia="Times New Roman" w:hAnsi="Times New Roman" w:cs="Times New Roman"/>
                <w:sz w:val="24"/>
                <w:szCs w:val="24"/>
                <w:lang w:eastAsia="lv-LV"/>
              </w:rPr>
              <w:t>gada 23.</w:t>
            </w:r>
            <w:r w:rsidR="00A949CB" w:rsidRPr="00824B87">
              <w:rPr>
                <w:rFonts w:ascii="Times New Roman" w:eastAsia="Times New Roman" w:hAnsi="Times New Roman" w:cs="Times New Roman"/>
                <w:sz w:val="24"/>
                <w:szCs w:val="24"/>
                <w:lang w:eastAsia="lv-LV"/>
              </w:rPr>
              <w:t> </w:t>
            </w:r>
            <w:r w:rsidR="00B80B95" w:rsidRPr="00824B87">
              <w:rPr>
                <w:rFonts w:ascii="Times New Roman" w:eastAsia="Times New Roman" w:hAnsi="Times New Roman" w:cs="Times New Roman"/>
                <w:sz w:val="24"/>
                <w:szCs w:val="24"/>
                <w:lang w:eastAsia="lv-LV"/>
              </w:rPr>
              <w:t>martā publiskoja pamatnostādnes</w:t>
            </w:r>
            <w:r w:rsidR="00847563" w:rsidRPr="00824B87">
              <w:rPr>
                <w:rFonts w:ascii="Times New Roman" w:eastAsia="Times New Roman" w:hAnsi="Times New Roman" w:cs="Times New Roman"/>
                <w:sz w:val="24"/>
                <w:szCs w:val="24"/>
                <w:lang w:eastAsia="lv-LV"/>
              </w:rPr>
              <w:t xml:space="preserve"> (</w:t>
            </w:r>
            <w:hyperlink r:id="rId13" w:history="1">
              <w:r w:rsidR="00847563" w:rsidRPr="00327536">
                <w:rPr>
                  <w:rStyle w:val="Hipersaite"/>
                  <w:rFonts w:ascii="Times New Roman" w:eastAsia="Times New Roman" w:hAnsi="Times New Roman" w:cs="Times New Roman"/>
                  <w:sz w:val="24"/>
                  <w:szCs w:val="24"/>
                  <w:u w:val="none"/>
                  <w:lang w:eastAsia="lv-LV"/>
                </w:rPr>
                <w:t>ESMA/2012/197</w:t>
              </w:r>
            </w:hyperlink>
            <w:r w:rsidR="00847563" w:rsidRPr="00824B87">
              <w:rPr>
                <w:rFonts w:ascii="Times New Roman" w:eastAsia="Times New Roman" w:hAnsi="Times New Roman" w:cs="Times New Roman"/>
                <w:sz w:val="24"/>
                <w:szCs w:val="24"/>
                <w:lang w:eastAsia="lv-LV"/>
              </w:rPr>
              <w:t xml:space="preserve">) kompetentajām iestādēm un PVKIU ieguldījumu pārvaldes sabiedrībām par riska novērtēšanu un kopējā riska aprēķināšanu noteikta veida strukturētiem </w:t>
            </w:r>
            <w:r w:rsidR="00847563" w:rsidRPr="008F5AC8">
              <w:rPr>
                <w:rFonts w:ascii="Times New Roman" w:eastAsia="Times New Roman" w:hAnsi="Times New Roman" w:cs="Times New Roman"/>
                <w:sz w:val="24"/>
                <w:szCs w:val="24"/>
                <w:lang w:eastAsia="lv-LV"/>
              </w:rPr>
              <w:t>fondiem</w:t>
            </w:r>
            <w:r w:rsidR="00021ADF" w:rsidRPr="008F5AC8">
              <w:rPr>
                <w:rFonts w:ascii="Times New Roman" w:eastAsia="Times New Roman" w:hAnsi="Times New Roman" w:cs="Times New Roman"/>
                <w:sz w:val="24"/>
                <w:szCs w:val="24"/>
                <w:lang w:eastAsia="lv-LV"/>
              </w:rPr>
              <w:t xml:space="preserve"> (turpmāk </w:t>
            </w:r>
            <w:r w:rsidR="00431CB6" w:rsidRPr="008F5AC8">
              <w:rPr>
                <w:rFonts w:ascii="Times New Roman" w:eastAsia="Times New Roman" w:hAnsi="Times New Roman" w:cs="Times New Roman"/>
                <w:sz w:val="24"/>
                <w:szCs w:val="24"/>
                <w:lang w:eastAsia="lv-LV"/>
              </w:rPr>
              <w:t>1</w:t>
            </w:r>
            <w:r w:rsidR="00CD6AF5" w:rsidRPr="00482C42">
              <w:rPr>
                <w:rFonts w:ascii="Times New Roman" w:eastAsia="Times New Roman" w:hAnsi="Times New Roman" w:cs="Times New Roman"/>
                <w:sz w:val="24"/>
                <w:szCs w:val="24"/>
                <w:lang w:eastAsia="lv-LV"/>
              </w:rPr>
              <w:t>.</w:t>
            </w:r>
            <w:r w:rsidR="00431CB6" w:rsidRPr="008F5AC8">
              <w:rPr>
                <w:rFonts w:ascii="Times New Roman" w:eastAsia="Times New Roman" w:hAnsi="Times New Roman" w:cs="Times New Roman"/>
                <w:sz w:val="24"/>
                <w:szCs w:val="24"/>
                <w:lang w:eastAsia="lv-LV"/>
              </w:rPr>
              <w:t xml:space="preserve"> un 2</w:t>
            </w:r>
            <w:r w:rsidR="00CD6AF5" w:rsidRPr="00482C42">
              <w:rPr>
                <w:rFonts w:ascii="Times New Roman" w:eastAsia="Times New Roman" w:hAnsi="Times New Roman" w:cs="Times New Roman"/>
                <w:sz w:val="24"/>
                <w:szCs w:val="24"/>
                <w:lang w:eastAsia="lv-LV"/>
              </w:rPr>
              <w:t>.</w:t>
            </w:r>
            <w:r w:rsidR="00431CB6" w:rsidRPr="008F5AC8">
              <w:rPr>
                <w:rFonts w:ascii="Times New Roman" w:eastAsia="Times New Roman" w:hAnsi="Times New Roman" w:cs="Times New Roman"/>
                <w:sz w:val="24"/>
                <w:szCs w:val="24"/>
                <w:lang w:eastAsia="lv-LV"/>
              </w:rPr>
              <w:t xml:space="preserve"> punktā minētās </w:t>
            </w:r>
            <w:r w:rsidR="00021ADF" w:rsidRPr="008F5AC8">
              <w:rPr>
                <w:rFonts w:ascii="Times New Roman" w:eastAsia="Times New Roman" w:hAnsi="Times New Roman" w:cs="Times New Roman"/>
                <w:sz w:val="24"/>
                <w:szCs w:val="24"/>
                <w:lang w:eastAsia="lv-LV"/>
              </w:rPr>
              <w:t>kopā</w:t>
            </w:r>
            <w:r w:rsidR="00431CB6" w:rsidRPr="008F5AC8">
              <w:rPr>
                <w:rFonts w:ascii="Times New Roman" w:eastAsia="Times New Roman" w:hAnsi="Times New Roman" w:cs="Times New Roman"/>
                <w:sz w:val="24"/>
                <w:szCs w:val="24"/>
                <w:lang w:eastAsia="lv-LV"/>
              </w:rPr>
              <w:t> </w:t>
            </w:r>
            <w:r w:rsidR="00021ADF" w:rsidRPr="008F5AC8">
              <w:rPr>
                <w:rFonts w:ascii="Times New Roman" w:eastAsia="Times New Roman" w:hAnsi="Times New Roman" w:cs="Times New Roman"/>
                <w:sz w:val="24"/>
                <w:szCs w:val="24"/>
                <w:lang w:eastAsia="lv-LV"/>
              </w:rPr>
              <w:t xml:space="preserve">– </w:t>
            </w:r>
            <w:r w:rsidR="00A949CB" w:rsidRPr="008F5AC8">
              <w:rPr>
                <w:rFonts w:ascii="Times New Roman" w:eastAsia="Times New Roman" w:hAnsi="Times New Roman" w:cs="Times New Roman"/>
                <w:sz w:val="24"/>
                <w:szCs w:val="24"/>
                <w:lang w:eastAsia="lv-LV"/>
              </w:rPr>
              <w:t>Pamatnostādnes</w:t>
            </w:r>
            <w:r w:rsidR="00021ADF" w:rsidRPr="008F5AC8">
              <w:rPr>
                <w:rFonts w:ascii="Times New Roman" w:eastAsia="Times New Roman" w:hAnsi="Times New Roman" w:cs="Times New Roman"/>
                <w:sz w:val="24"/>
                <w:szCs w:val="24"/>
                <w:lang w:eastAsia="lv-LV"/>
              </w:rPr>
              <w:t>)</w:t>
            </w:r>
            <w:r w:rsidR="00B80B95" w:rsidRPr="008F5AC8">
              <w:rPr>
                <w:rFonts w:ascii="Times New Roman" w:eastAsia="Times New Roman" w:hAnsi="Times New Roman" w:cs="Times New Roman"/>
                <w:sz w:val="24"/>
                <w:szCs w:val="24"/>
                <w:lang w:eastAsia="lv-LV"/>
              </w:rPr>
              <w:t>.</w:t>
            </w:r>
          </w:p>
          <w:p w14:paraId="27A2488B" w14:textId="34D48404" w:rsidR="008A3D75" w:rsidRPr="00824B87" w:rsidRDefault="008A3D75" w:rsidP="00211300">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Pamatnostādn</w:t>
            </w:r>
            <w:r w:rsidR="000473FE" w:rsidRPr="00824B87">
              <w:rPr>
                <w:rFonts w:ascii="Times New Roman" w:eastAsia="Times New Roman" w:hAnsi="Times New Roman" w:cs="Times New Roman"/>
                <w:sz w:val="24"/>
                <w:szCs w:val="24"/>
                <w:lang w:eastAsia="lv-LV"/>
              </w:rPr>
              <w:t>e</w:t>
            </w:r>
            <w:r w:rsidRPr="00824B87">
              <w:rPr>
                <w:rFonts w:ascii="Times New Roman" w:eastAsia="Times New Roman" w:hAnsi="Times New Roman" w:cs="Times New Roman"/>
                <w:sz w:val="24"/>
                <w:szCs w:val="24"/>
                <w:lang w:eastAsia="lv-LV"/>
              </w:rPr>
              <w:t xml:space="preserve">s nosaka </w:t>
            </w:r>
            <w:r w:rsidR="00A10264" w:rsidRPr="00824B87">
              <w:rPr>
                <w:rFonts w:ascii="Times New Roman" w:eastAsia="Times New Roman" w:hAnsi="Times New Roman" w:cs="Times New Roman"/>
                <w:sz w:val="24"/>
                <w:szCs w:val="24"/>
                <w:lang w:eastAsia="lv-LV"/>
              </w:rPr>
              <w:t xml:space="preserve">fonda kopējā riska, riska darījumu apmēra ar darījumu partneri un darījumu koncentrācijas riska apmēra ar vienu emitentu vai darījumu partneri </w:t>
            </w:r>
            <w:r w:rsidRPr="00824B87">
              <w:rPr>
                <w:rFonts w:ascii="Times New Roman" w:eastAsia="Times New Roman" w:hAnsi="Times New Roman" w:cs="Times New Roman"/>
                <w:sz w:val="24"/>
                <w:szCs w:val="24"/>
                <w:lang w:eastAsia="lv-LV"/>
              </w:rPr>
              <w:t xml:space="preserve">aprēķināšanas pamatprincipus un sniedz piemērus aprēķina piemērošanai. Pamatnostādnes </w:t>
            </w:r>
            <w:r w:rsidR="00A949CB" w:rsidRPr="00824B87">
              <w:rPr>
                <w:rFonts w:ascii="Times New Roman" w:eastAsia="Times New Roman" w:hAnsi="Times New Roman" w:cs="Times New Roman"/>
                <w:sz w:val="24"/>
                <w:szCs w:val="24"/>
                <w:lang w:eastAsia="lv-LV"/>
              </w:rPr>
              <w:t>ir pieejamas angliski</w:t>
            </w:r>
            <w:r w:rsidRPr="00824B87">
              <w:rPr>
                <w:rFonts w:ascii="Times New Roman" w:eastAsia="Times New Roman" w:hAnsi="Times New Roman" w:cs="Times New Roman"/>
                <w:sz w:val="24"/>
                <w:szCs w:val="24"/>
                <w:lang w:eastAsia="lv-LV"/>
              </w:rPr>
              <w:t>.</w:t>
            </w:r>
          </w:p>
          <w:p w14:paraId="2053A0FB" w14:textId="26D13169" w:rsidR="008A3D75" w:rsidRPr="00824B87" w:rsidRDefault="008A3D75" w:rsidP="008A3D75">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Pamatojoties uz </w:t>
            </w:r>
            <w:r w:rsidR="00A949CB" w:rsidRPr="00824B87">
              <w:rPr>
                <w:rFonts w:ascii="Times New Roman" w:eastAsia="Times New Roman" w:hAnsi="Times New Roman" w:cs="Times New Roman"/>
                <w:sz w:val="24"/>
                <w:szCs w:val="24"/>
                <w:lang w:eastAsia="lv-LV"/>
              </w:rPr>
              <w:t>L</w:t>
            </w:r>
            <w:r w:rsidRPr="00824B87">
              <w:rPr>
                <w:rFonts w:ascii="Times New Roman" w:eastAsia="Times New Roman" w:hAnsi="Times New Roman" w:cs="Times New Roman"/>
                <w:sz w:val="24"/>
                <w:szCs w:val="24"/>
                <w:lang w:eastAsia="lv-LV"/>
              </w:rPr>
              <w:t xml:space="preserve">ikumā noteikto deleģējumu un </w:t>
            </w:r>
            <w:r w:rsidR="000B5B46" w:rsidRPr="00824B87">
              <w:rPr>
                <w:rFonts w:ascii="Times New Roman" w:eastAsia="Times New Roman" w:hAnsi="Times New Roman" w:cs="Times New Roman"/>
                <w:sz w:val="24"/>
                <w:szCs w:val="24"/>
                <w:lang w:eastAsia="lv-LV"/>
              </w:rPr>
              <w:t xml:space="preserve">Latvijas Bankas </w:t>
            </w:r>
            <w:r w:rsidRPr="00824B87">
              <w:rPr>
                <w:rFonts w:ascii="Times New Roman" w:eastAsia="Times New Roman" w:hAnsi="Times New Roman" w:cs="Times New Roman"/>
                <w:sz w:val="24"/>
                <w:szCs w:val="24"/>
                <w:lang w:eastAsia="lv-LV"/>
              </w:rPr>
              <w:t>tiesībām</w:t>
            </w:r>
            <w:r w:rsidR="00B95445" w:rsidRPr="00824B87">
              <w:rPr>
                <w:rFonts w:ascii="Times New Roman" w:eastAsia="Times New Roman" w:hAnsi="Times New Roman" w:cs="Times New Roman"/>
                <w:sz w:val="24"/>
                <w:szCs w:val="24"/>
                <w:lang w:eastAsia="lv-LV"/>
              </w:rPr>
              <w:t>, ar mērķi</w:t>
            </w:r>
            <w:r w:rsidRPr="00824B87">
              <w:rPr>
                <w:rFonts w:ascii="Times New Roman" w:eastAsia="Times New Roman" w:hAnsi="Times New Roman" w:cs="Times New Roman"/>
                <w:sz w:val="24"/>
                <w:szCs w:val="24"/>
                <w:lang w:eastAsia="lv-LV"/>
              </w:rPr>
              <w:t xml:space="preserve"> pilnveidot fonda kopējā riska, riska darījumu apmēra ar darījumu partneri un darījumu koncentrācijas riska apmēra ar vienu emitentu vai darījumu partneri aprēķinu, t.</w:t>
            </w:r>
            <w:r w:rsidR="00431CB6"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 xml:space="preserve">sk. saskaņā ar </w:t>
            </w:r>
            <w:r w:rsidR="00431CB6" w:rsidRPr="008F5AC8">
              <w:rPr>
                <w:rFonts w:ascii="Times New Roman" w:eastAsia="Times New Roman" w:hAnsi="Times New Roman" w:cs="Times New Roman"/>
                <w:sz w:val="24"/>
                <w:szCs w:val="24"/>
                <w:lang w:eastAsia="lv-LV"/>
              </w:rPr>
              <w:t>P</w:t>
            </w:r>
            <w:r w:rsidRPr="008F5AC8">
              <w:rPr>
                <w:rFonts w:ascii="Times New Roman" w:eastAsia="Times New Roman" w:hAnsi="Times New Roman" w:cs="Times New Roman"/>
                <w:sz w:val="24"/>
                <w:szCs w:val="24"/>
                <w:lang w:eastAsia="lv-LV"/>
              </w:rPr>
              <w:t>amatnostādņ</w:t>
            </w:r>
            <w:r w:rsidRPr="00824B87">
              <w:rPr>
                <w:rFonts w:ascii="Times New Roman" w:eastAsia="Times New Roman" w:hAnsi="Times New Roman" w:cs="Times New Roman"/>
                <w:sz w:val="24"/>
                <w:szCs w:val="24"/>
                <w:lang w:eastAsia="lv-LV"/>
              </w:rPr>
              <w:t>u prasībām</w:t>
            </w:r>
            <w:r w:rsidR="00431CB6" w:rsidRPr="00824B87">
              <w:rPr>
                <w:rFonts w:ascii="Times New Roman" w:eastAsia="Times New Roman" w:hAnsi="Times New Roman" w:cs="Times New Roman"/>
                <w:sz w:val="24"/>
                <w:szCs w:val="24"/>
                <w:lang w:eastAsia="lv-LV"/>
              </w:rPr>
              <w:t>,</w:t>
            </w:r>
            <w:r w:rsidR="00B95445" w:rsidRPr="00824B87">
              <w:rPr>
                <w:rFonts w:ascii="Times New Roman" w:eastAsia="Times New Roman" w:hAnsi="Times New Roman" w:cs="Times New Roman"/>
                <w:sz w:val="24"/>
                <w:szCs w:val="24"/>
                <w:lang w:eastAsia="lv-LV"/>
              </w:rPr>
              <w:t xml:space="preserve"> un</w:t>
            </w:r>
            <w:r w:rsidRPr="00824B87">
              <w:rPr>
                <w:rFonts w:ascii="Times New Roman" w:eastAsia="Times New Roman" w:hAnsi="Times New Roman" w:cs="Times New Roman"/>
                <w:sz w:val="24"/>
                <w:szCs w:val="24"/>
                <w:lang w:eastAsia="lv-LV"/>
              </w:rPr>
              <w:t xml:space="preserve"> </w:t>
            </w:r>
            <w:r w:rsidR="00E60491" w:rsidRPr="00824B87">
              <w:rPr>
                <w:rFonts w:ascii="Times New Roman" w:eastAsia="Times New Roman" w:hAnsi="Times New Roman" w:cs="Times New Roman"/>
                <w:sz w:val="24"/>
                <w:szCs w:val="24"/>
                <w:lang w:eastAsia="lv-LV"/>
              </w:rPr>
              <w:t xml:space="preserve">vienlaikus </w:t>
            </w:r>
            <w:r w:rsidR="00CD6AF5" w:rsidRPr="00824B87">
              <w:rPr>
                <w:rFonts w:ascii="Times New Roman" w:eastAsia="Times New Roman" w:hAnsi="Times New Roman" w:cs="Times New Roman"/>
                <w:sz w:val="24"/>
                <w:szCs w:val="24"/>
                <w:lang w:eastAsia="lv-LV"/>
              </w:rPr>
              <w:t xml:space="preserve">lai </w:t>
            </w:r>
            <w:r w:rsidR="00E60491" w:rsidRPr="00824B87">
              <w:rPr>
                <w:rFonts w:ascii="Times New Roman" w:eastAsia="Times New Roman" w:hAnsi="Times New Roman" w:cs="Times New Roman"/>
                <w:sz w:val="24"/>
                <w:szCs w:val="24"/>
                <w:lang w:eastAsia="lv-LV"/>
              </w:rPr>
              <w:t>pārņemtu Direktīvas</w:t>
            </w:r>
            <w:r w:rsidR="00431CB6" w:rsidRPr="00824B87">
              <w:rPr>
                <w:rFonts w:ascii="Times New Roman" w:eastAsia="Times New Roman" w:hAnsi="Times New Roman" w:cs="Times New Roman"/>
                <w:sz w:val="24"/>
                <w:szCs w:val="24"/>
                <w:lang w:eastAsia="lv-LV"/>
              </w:rPr>
              <w:t> </w:t>
            </w:r>
            <w:r w:rsidR="00E60491" w:rsidRPr="00824B87">
              <w:rPr>
                <w:rFonts w:ascii="Times New Roman" w:eastAsia="Times New Roman" w:hAnsi="Times New Roman" w:cs="Times New Roman"/>
                <w:sz w:val="24"/>
                <w:szCs w:val="24"/>
                <w:lang w:eastAsia="lv-LV"/>
              </w:rPr>
              <w:t>2010/43/ES 41.–43.</w:t>
            </w:r>
            <w:r w:rsidR="000B5B46" w:rsidRPr="00824B87">
              <w:rPr>
                <w:rFonts w:ascii="Times New Roman" w:eastAsia="Times New Roman" w:hAnsi="Times New Roman" w:cs="Times New Roman"/>
                <w:sz w:val="24"/>
                <w:szCs w:val="24"/>
                <w:lang w:eastAsia="lv-LV"/>
              </w:rPr>
              <w:t> </w:t>
            </w:r>
            <w:r w:rsidR="00E60491" w:rsidRPr="00824B87">
              <w:rPr>
                <w:rFonts w:ascii="Times New Roman" w:eastAsia="Times New Roman" w:hAnsi="Times New Roman" w:cs="Times New Roman"/>
                <w:sz w:val="24"/>
                <w:szCs w:val="24"/>
                <w:lang w:eastAsia="lv-LV"/>
              </w:rPr>
              <w:t>pantā noteiktās normas (skat. anotācijas pielikumu)</w:t>
            </w:r>
            <w:r w:rsidR="00BD2EDC" w:rsidRPr="00824B87">
              <w:rPr>
                <w:rFonts w:ascii="Times New Roman" w:eastAsia="Times New Roman" w:hAnsi="Times New Roman" w:cs="Times New Roman"/>
                <w:sz w:val="24"/>
                <w:szCs w:val="24"/>
                <w:lang w:eastAsia="lv-LV"/>
              </w:rPr>
              <w:t>,</w:t>
            </w:r>
            <w:r w:rsidR="00E60491" w:rsidRPr="00824B87">
              <w:rPr>
                <w:rFonts w:ascii="Times New Roman" w:eastAsia="Times New Roman" w:hAnsi="Times New Roman" w:cs="Times New Roman"/>
                <w:sz w:val="24"/>
                <w:szCs w:val="24"/>
                <w:lang w:eastAsia="lv-LV"/>
              </w:rPr>
              <w:t xml:space="preserve"> </w:t>
            </w:r>
            <w:r w:rsidR="000473FE" w:rsidRPr="00824B87">
              <w:rPr>
                <w:rFonts w:ascii="Times New Roman" w:eastAsia="Times New Roman" w:hAnsi="Times New Roman" w:cs="Times New Roman"/>
                <w:sz w:val="24"/>
                <w:szCs w:val="24"/>
                <w:lang w:eastAsia="lv-LV"/>
              </w:rPr>
              <w:t xml:space="preserve">kā arī lai noteiktu vienotu kārtību </w:t>
            </w:r>
            <w:r w:rsidR="000B5B46" w:rsidRPr="00824B87">
              <w:rPr>
                <w:rFonts w:ascii="Times New Roman" w:eastAsia="Times New Roman" w:hAnsi="Times New Roman" w:cs="Times New Roman"/>
                <w:sz w:val="24"/>
                <w:szCs w:val="24"/>
                <w:lang w:eastAsia="lv-LV"/>
              </w:rPr>
              <w:t>L</w:t>
            </w:r>
            <w:r w:rsidR="000473FE" w:rsidRPr="00824B87">
              <w:rPr>
                <w:rFonts w:ascii="Times New Roman" w:eastAsia="Times New Roman" w:hAnsi="Times New Roman" w:cs="Times New Roman"/>
                <w:sz w:val="24"/>
                <w:szCs w:val="24"/>
                <w:lang w:eastAsia="lv-LV"/>
              </w:rPr>
              <w:t>ikuma 66.</w:t>
            </w:r>
            <w:r w:rsidR="00431CB6" w:rsidRPr="00824B87">
              <w:rPr>
                <w:rFonts w:ascii="Times New Roman" w:eastAsia="Times New Roman" w:hAnsi="Times New Roman" w:cs="Times New Roman"/>
                <w:sz w:val="24"/>
                <w:szCs w:val="24"/>
                <w:lang w:eastAsia="lv-LV"/>
              </w:rPr>
              <w:t> </w:t>
            </w:r>
            <w:r w:rsidR="000473FE" w:rsidRPr="00824B87">
              <w:rPr>
                <w:rFonts w:ascii="Times New Roman" w:eastAsia="Times New Roman" w:hAnsi="Times New Roman" w:cs="Times New Roman"/>
                <w:sz w:val="24"/>
                <w:szCs w:val="24"/>
                <w:lang w:eastAsia="lv-LV"/>
              </w:rPr>
              <w:t xml:space="preserve">pantā minētā kopējā riska un riska darījumu apmēra ierobežojumu kontrolei, </w:t>
            </w:r>
            <w:r w:rsidRPr="00824B87">
              <w:rPr>
                <w:rFonts w:ascii="Times New Roman" w:eastAsia="Times New Roman" w:hAnsi="Times New Roman" w:cs="Times New Roman"/>
                <w:sz w:val="24"/>
                <w:szCs w:val="24"/>
                <w:lang w:eastAsia="lv-LV"/>
              </w:rPr>
              <w:t>Latvijas Banka ir izstrādājusi noteikumu projektu "</w:t>
            </w:r>
            <w:r w:rsidR="000473FE" w:rsidRPr="00824B87">
              <w:rPr>
                <w:rFonts w:ascii="Times New Roman" w:eastAsia="Times New Roman" w:hAnsi="Times New Roman" w:cs="Times New Roman"/>
                <w:sz w:val="24"/>
                <w:szCs w:val="24"/>
                <w:lang w:eastAsia="lv-LV"/>
              </w:rPr>
              <w:t>Fonda kopējā riska un riska darījumu apmēra ar darījumu partneri aprēķināšanas noteikumi</w:t>
            </w:r>
            <w:r w:rsidRPr="00824B87">
              <w:rPr>
                <w:rFonts w:ascii="Times New Roman" w:eastAsia="Times New Roman" w:hAnsi="Times New Roman" w:cs="Times New Roman"/>
                <w:sz w:val="24"/>
                <w:szCs w:val="24"/>
                <w:lang w:eastAsia="lv-LV"/>
              </w:rPr>
              <w:t>" (turpmāk</w:t>
            </w:r>
            <w:r w:rsidR="00431CB6" w:rsidRPr="00482C42">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 noteikumu projekts).</w:t>
            </w:r>
          </w:p>
          <w:p w14:paraId="72B52E8D" w14:textId="09A99AA3" w:rsidR="008A3D75" w:rsidRPr="00824B87" w:rsidRDefault="008A3D75" w:rsidP="008A3D75">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lastRenderedPageBreak/>
              <w:t xml:space="preserve">Līdz šim </w:t>
            </w:r>
            <w:r w:rsidR="000473FE" w:rsidRPr="00824B87">
              <w:rPr>
                <w:rFonts w:ascii="Times New Roman" w:eastAsia="Times New Roman" w:hAnsi="Times New Roman" w:cs="Times New Roman"/>
                <w:sz w:val="24"/>
                <w:szCs w:val="24"/>
                <w:lang w:eastAsia="lv-LV"/>
              </w:rPr>
              <w:t>fonda kopējā riska, riska darījumu apmēra ar darījumu partneri un darījumu koncentrācijas riska apmēra aprēķin</w:t>
            </w:r>
            <w:r w:rsidR="00CD6AF5" w:rsidRPr="00824B87">
              <w:rPr>
                <w:rFonts w:ascii="Times New Roman" w:eastAsia="Times New Roman" w:hAnsi="Times New Roman" w:cs="Times New Roman"/>
                <w:sz w:val="24"/>
                <w:szCs w:val="24"/>
                <w:lang w:eastAsia="lv-LV"/>
              </w:rPr>
              <w:t>āšanas</w:t>
            </w:r>
            <w:r w:rsidR="000473FE" w:rsidRPr="00824B8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kārtību regulēja Finanšu un kapitāla tirgus komisijas (kuras </w:t>
            </w:r>
            <w:r w:rsidR="000B5B46" w:rsidRPr="00824B87">
              <w:rPr>
                <w:rFonts w:ascii="Times New Roman" w:eastAsia="Times New Roman" w:hAnsi="Times New Roman" w:cs="Times New Roman"/>
                <w:sz w:val="24"/>
                <w:szCs w:val="24"/>
                <w:lang w:eastAsia="lv-LV"/>
              </w:rPr>
              <w:t>tiesību pārņēmēja ir</w:t>
            </w:r>
            <w:r w:rsidRPr="00824B87">
              <w:rPr>
                <w:rFonts w:ascii="Times New Roman" w:eastAsia="Times New Roman" w:hAnsi="Times New Roman" w:cs="Times New Roman"/>
                <w:sz w:val="24"/>
                <w:szCs w:val="24"/>
                <w:lang w:eastAsia="lv-LV"/>
              </w:rPr>
              <w:t xml:space="preserve"> Latvijas Banka) 2020.</w:t>
            </w:r>
            <w:r w:rsidR="00431CB6"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 xml:space="preserve">gada </w:t>
            </w:r>
            <w:r w:rsidR="000473FE" w:rsidRPr="00824B87">
              <w:rPr>
                <w:rFonts w:ascii="Times New Roman" w:eastAsia="Times New Roman" w:hAnsi="Times New Roman" w:cs="Times New Roman"/>
                <w:sz w:val="24"/>
                <w:szCs w:val="24"/>
                <w:lang w:eastAsia="lv-LV"/>
              </w:rPr>
              <w:t>1</w:t>
            </w:r>
            <w:r w:rsidRPr="00824B87">
              <w:rPr>
                <w:rFonts w:ascii="Times New Roman" w:eastAsia="Times New Roman" w:hAnsi="Times New Roman" w:cs="Times New Roman"/>
                <w:sz w:val="24"/>
                <w:szCs w:val="24"/>
                <w:lang w:eastAsia="lv-LV"/>
              </w:rPr>
              <w:t>.</w:t>
            </w:r>
            <w:r w:rsidR="00431CB6" w:rsidRPr="00824B87">
              <w:rPr>
                <w:rFonts w:ascii="Times New Roman" w:eastAsia="Times New Roman" w:hAnsi="Times New Roman" w:cs="Times New Roman"/>
                <w:sz w:val="24"/>
                <w:szCs w:val="24"/>
                <w:lang w:eastAsia="lv-LV"/>
              </w:rPr>
              <w:t> </w:t>
            </w:r>
            <w:r w:rsidR="000473FE" w:rsidRPr="00824B87">
              <w:rPr>
                <w:rFonts w:ascii="Times New Roman" w:eastAsia="Times New Roman" w:hAnsi="Times New Roman" w:cs="Times New Roman"/>
                <w:sz w:val="24"/>
                <w:szCs w:val="24"/>
                <w:lang w:eastAsia="lv-LV"/>
              </w:rPr>
              <w:t>septembra</w:t>
            </w:r>
            <w:r w:rsidRPr="00824B87">
              <w:rPr>
                <w:rFonts w:ascii="Times New Roman" w:eastAsia="Times New Roman" w:hAnsi="Times New Roman" w:cs="Times New Roman"/>
                <w:sz w:val="24"/>
                <w:szCs w:val="24"/>
                <w:lang w:eastAsia="lv-LV"/>
              </w:rPr>
              <w:t xml:space="preserve"> normatīvie noteikumi Nr.</w:t>
            </w:r>
            <w:r w:rsidR="00431CB6"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1</w:t>
            </w:r>
            <w:r w:rsidR="000473FE" w:rsidRPr="00824B87">
              <w:rPr>
                <w:rFonts w:ascii="Times New Roman" w:eastAsia="Times New Roman" w:hAnsi="Times New Roman" w:cs="Times New Roman"/>
                <w:sz w:val="24"/>
                <w:szCs w:val="24"/>
                <w:lang w:eastAsia="lv-LV"/>
              </w:rPr>
              <w:t>47</w:t>
            </w:r>
            <w:r w:rsidRPr="00824B87">
              <w:rPr>
                <w:rFonts w:ascii="Times New Roman" w:eastAsia="Times New Roman" w:hAnsi="Times New Roman" w:cs="Times New Roman"/>
                <w:sz w:val="24"/>
                <w:szCs w:val="24"/>
                <w:lang w:eastAsia="lv-LV"/>
              </w:rPr>
              <w:t xml:space="preserve"> "</w:t>
            </w:r>
            <w:r w:rsidR="000473FE" w:rsidRPr="00824B87">
              <w:rPr>
                <w:rFonts w:ascii="Times New Roman" w:eastAsia="Times New Roman" w:hAnsi="Times New Roman" w:cs="Times New Roman"/>
                <w:sz w:val="24"/>
                <w:szCs w:val="24"/>
                <w:lang w:eastAsia="lv-LV"/>
              </w:rPr>
              <w:t>Fonda kopējā riska un riska darījumu apmēra ar darījumu partneri aprēķināšanas normatīvie noteikumi</w:t>
            </w:r>
            <w:r w:rsidRPr="00824B87">
              <w:rPr>
                <w:rFonts w:ascii="Times New Roman" w:eastAsia="Times New Roman" w:hAnsi="Times New Roman" w:cs="Times New Roman"/>
                <w:sz w:val="24"/>
                <w:szCs w:val="24"/>
                <w:lang w:eastAsia="lv-LV"/>
              </w:rPr>
              <w:t>", kuri ar noteikumu projekta spēkā stāšanos zaudēs spēku.</w:t>
            </w:r>
          </w:p>
          <w:p w14:paraId="4D6FD6DB" w14:textId="7457216A" w:rsidR="00E53DE9" w:rsidRPr="00824B87" w:rsidRDefault="00E60491" w:rsidP="008A3D75">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projekta prasības būs saistošas Latvijā reģistrētām ieguldījumu pārvaldes sabiedrībām</w:t>
            </w:r>
            <w:r w:rsidR="00C61DEA" w:rsidRPr="00824B87">
              <w:rPr>
                <w:rFonts w:ascii="Times New Roman" w:eastAsia="Times New Roman" w:hAnsi="Times New Roman" w:cs="Times New Roman"/>
                <w:sz w:val="24"/>
                <w:szCs w:val="24"/>
                <w:lang w:eastAsia="lv-LV"/>
              </w:rPr>
              <w:t>,</w:t>
            </w:r>
            <w:r w:rsidR="00C61DEA" w:rsidRPr="00482C42">
              <w:rPr>
                <w:rFonts w:ascii="Times New Roman" w:hAnsi="Times New Roman" w:cs="Times New Roman"/>
                <w:sz w:val="24"/>
                <w:szCs w:val="24"/>
              </w:rPr>
              <w:t xml:space="preserve"> </w:t>
            </w:r>
            <w:r w:rsidR="00C61DEA" w:rsidRPr="00824B87">
              <w:rPr>
                <w:rFonts w:ascii="Times New Roman" w:eastAsia="Times New Roman" w:hAnsi="Times New Roman" w:cs="Times New Roman"/>
                <w:sz w:val="24"/>
                <w:szCs w:val="24"/>
                <w:lang w:eastAsia="lv-LV"/>
              </w:rPr>
              <w:t>aprēķinot ieguldījumu fonda kopējā riska apmēru, riska darījumu apmēru ar darījumu partneri un darījumu koncentrācijas riska apmēru</w:t>
            </w:r>
            <w:r w:rsidR="0066677E" w:rsidRPr="00824B87">
              <w:rPr>
                <w:rFonts w:ascii="Times New Roman" w:eastAsia="Times New Roman" w:hAnsi="Times New Roman" w:cs="Times New Roman"/>
                <w:sz w:val="24"/>
                <w:szCs w:val="24"/>
                <w:lang w:eastAsia="lv-LV"/>
              </w:rPr>
              <w:t>.</w:t>
            </w:r>
          </w:p>
          <w:p w14:paraId="6719E6C1" w14:textId="4A9E0B0C" w:rsidR="0066677E" w:rsidRPr="00824B87" w:rsidRDefault="0066677E" w:rsidP="008A3D75">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Noteikumu </w:t>
            </w:r>
            <w:r w:rsidR="007F5031" w:rsidRPr="00824B87">
              <w:rPr>
                <w:rFonts w:ascii="Times New Roman" w:eastAsia="Times New Roman" w:hAnsi="Times New Roman" w:cs="Times New Roman"/>
                <w:sz w:val="24"/>
                <w:szCs w:val="24"/>
                <w:lang w:eastAsia="lv-LV"/>
              </w:rPr>
              <w:t>projekta regulējumā ietverts turpmāk minētais</w:t>
            </w:r>
            <w:r w:rsidR="00431CB6" w:rsidRPr="00824B87">
              <w:rPr>
                <w:rFonts w:ascii="Times New Roman" w:eastAsia="Times New Roman" w:hAnsi="Times New Roman" w:cs="Times New Roman"/>
                <w:sz w:val="24"/>
                <w:szCs w:val="24"/>
                <w:lang w:eastAsia="lv-LV"/>
              </w:rPr>
              <w:t>:</w:t>
            </w:r>
          </w:p>
          <w:p w14:paraId="0943C04A" w14:textId="2C1AAF2A" w:rsidR="0066677E" w:rsidRPr="00824B87" w:rsidRDefault="0066677E" w:rsidP="0066677E">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1) </w:t>
            </w:r>
            <w:r w:rsidR="00BE6403" w:rsidRPr="00824B87">
              <w:rPr>
                <w:rFonts w:ascii="Times New Roman" w:eastAsia="Times New Roman" w:hAnsi="Times New Roman" w:cs="Times New Roman"/>
                <w:sz w:val="24"/>
                <w:szCs w:val="24"/>
                <w:lang w:eastAsia="lv-LV"/>
              </w:rPr>
              <w:t xml:space="preserve">darījumu </w:t>
            </w:r>
            <w:r w:rsidRPr="00824B87">
              <w:rPr>
                <w:rFonts w:ascii="Times New Roman" w:eastAsia="Times New Roman" w:hAnsi="Times New Roman" w:cs="Times New Roman"/>
                <w:sz w:val="24"/>
                <w:szCs w:val="24"/>
                <w:lang w:eastAsia="lv-LV"/>
              </w:rPr>
              <w:t>koncentrācijas riska,</w:t>
            </w:r>
            <w:r w:rsidRPr="00482C42">
              <w:rPr>
                <w:rFonts w:ascii="Times New Roman" w:hAnsi="Times New Roman" w:cs="Times New Roman"/>
                <w:sz w:val="24"/>
                <w:szCs w:val="24"/>
              </w:rPr>
              <w:t xml:space="preserve"> </w:t>
            </w:r>
            <w:r w:rsidRPr="00824B87">
              <w:rPr>
                <w:rFonts w:ascii="Times New Roman" w:eastAsia="Times New Roman" w:hAnsi="Times New Roman" w:cs="Times New Roman"/>
                <w:sz w:val="24"/>
                <w:szCs w:val="24"/>
                <w:lang w:eastAsia="lv-LV"/>
              </w:rPr>
              <w:t>riska darījumu apmēra ar darījumu partneri,</w:t>
            </w:r>
            <w:r w:rsidRPr="00482C42">
              <w:rPr>
                <w:rFonts w:ascii="Times New Roman" w:hAnsi="Times New Roman" w:cs="Times New Roman"/>
                <w:sz w:val="24"/>
                <w:szCs w:val="24"/>
              </w:rPr>
              <w:t xml:space="preserve"> </w:t>
            </w:r>
            <w:r w:rsidRPr="00824B87">
              <w:rPr>
                <w:rFonts w:ascii="Times New Roman" w:eastAsia="Times New Roman" w:hAnsi="Times New Roman" w:cs="Times New Roman"/>
                <w:sz w:val="24"/>
                <w:szCs w:val="24"/>
                <w:lang w:eastAsia="lv-LV"/>
              </w:rPr>
              <w:t xml:space="preserve">specifiskā </w:t>
            </w:r>
            <w:r w:rsidR="00CE0699" w:rsidRPr="00824B87">
              <w:rPr>
                <w:rFonts w:ascii="Times New Roman" w:eastAsia="Times New Roman" w:hAnsi="Times New Roman" w:cs="Times New Roman"/>
                <w:sz w:val="24"/>
                <w:szCs w:val="24"/>
                <w:lang w:eastAsia="lv-LV"/>
              </w:rPr>
              <w:t xml:space="preserve">un vispārējā </w:t>
            </w:r>
            <w:r w:rsidRPr="00824B87">
              <w:rPr>
                <w:rFonts w:ascii="Times New Roman" w:eastAsia="Times New Roman" w:hAnsi="Times New Roman" w:cs="Times New Roman"/>
                <w:sz w:val="24"/>
                <w:szCs w:val="24"/>
                <w:lang w:eastAsia="lv-LV"/>
              </w:rPr>
              <w:t xml:space="preserve">tirgus riska, </w:t>
            </w:r>
            <w:r w:rsidR="00CE0699" w:rsidRPr="00824B87">
              <w:rPr>
                <w:rFonts w:ascii="Times New Roman" w:eastAsia="Times New Roman" w:hAnsi="Times New Roman" w:cs="Times New Roman"/>
                <w:sz w:val="24"/>
                <w:szCs w:val="24"/>
                <w:lang w:eastAsia="lv-LV"/>
              </w:rPr>
              <w:t xml:space="preserve">gadījuma riska, kā arī citu </w:t>
            </w:r>
            <w:r w:rsidR="00942D75" w:rsidRPr="00824B87">
              <w:rPr>
                <w:rFonts w:ascii="Times New Roman" w:eastAsia="Times New Roman" w:hAnsi="Times New Roman" w:cs="Times New Roman"/>
                <w:sz w:val="24"/>
                <w:szCs w:val="24"/>
                <w:lang w:eastAsia="lv-LV"/>
              </w:rPr>
              <w:t>riska apmēra</w:t>
            </w:r>
            <w:r w:rsidR="00CE0699" w:rsidRPr="00824B87">
              <w:rPr>
                <w:rFonts w:ascii="Times New Roman" w:eastAsia="Times New Roman" w:hAnsi="Times New Roman" w:cs="Times New Roman"/>
                <w:sz w:val="24"/>
                <w:szCs w:val="24"/>
                <w:lang w:eastAsia="lv-LV"/>
              </w:rPr>
              <w:t xml:space="preserve"> </w:t>
            </w:r>
            <w:r w:rsidR="00942D75" w:rsidRPr="00824B87">
              <w:rPr>
                <w:rFonts w:ascii="Times New Roman" w:eastAsia="Times New Roman" w:hAnsi="Times New Roman" w:cs="Times New Roman"/>
                <w:sz w:val="24"/>
                <w:szCs w:val="24"/>
                <w:lang w:eastAsia="lv-LV"/>
              </w:rPr>
              <w:t xml:space="preserve">noteikšanas </w:t>
            </w:r>
            <w:r w:rsidR="00CE0699" w:rsidRPr="00824B87">
              <w:rPr>
                <w:rFonts w:ascii="Times New Roman" w:eastAsia="Times New Roman" w:hAnsi="Times New Roman" w:cs="Times New Roman"/>
                <w:sz w:val="24"/>
                <w:szCs w:val="24"/>
                <w:lang w:eastAsia="lv-LV"/>
              </w:rPr>
              <w:t xml:space="preserve">metodikai nozīmīgu jēdzienu </w:t>
            </w:r>
            <w:r w:rsidR="007F5031" w:rsidRPr="00824B87">
              <w:rPr>
                <w:rFonts w:ascii="Times New Roman" w:eastAsia="Times New Roman" w:hAnsi="Times New Roman" w:cs="Times New Roman"/>
                <w:sz w:val="24"/>
                <w:szCs w:val="24"/>
                <w:lang w:eastAsia="lv-LV"/>
              </w:rPr>
              <w:t>skaidrojumi</w:t>
            </w:r>
            <w:r w:rsidR="00BE6403" w:rsidRPr="00824B87">
              <w:rPr>
                <w:rFonts w:ascii="Times New Roman" w:eastAsia="Times New Roman" w:hAnsi="Times New Roman" w:cs="Times New Roman"/>
                <w:sz w:val="24"/>
                <w:szCs w:val="24"/>
                <w:lang w:eastAsia="lv-LV"/>
              </w:rPr>
              <w:t>;</w:t>
            </w:r>
          </w:p>
          <w:p w14:paraId="7A8D8EED" w14:textId="04D981D0" w:rsidR="0066677E" w:rsidRPr="00824B87" w:rsidRDefault="0066677E" w:rsidP="0066677E">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2) </w:t>
            </w:r>
            <w:r w:rsidR="00BE6403" w:rsidRPr="00824B87">
              <w:rPr>
                <w:rFonts w:ascii="Times New Roman" w:eastAsia="Times New Roman" w:hAnsi="Times New Roman" w:cs="Times New Roman"/>
                <w:sz w:val="24"/>
                <w:szCs w:val="24"/>
                <w:lang w:eastAsia="lv-LV"/>
              </w:rPr>
              <w:t>prasība f</w:t>
            </w:r>
            <w:r w:rsidR="007F5031" w:rsidRPr="00824B87">
              <w:rPr>
                <w:rFonts w:ascii="Times New Roman" w:eastAsia="Times New Roman" w:hAnsi="Times New Roman" w:cs="Times New Roman"/>
                <w:sz w:val="24"/>
                <w:szCs w:val="24"/>
                <w:lang w:eastAsia="lv-LV"/>
              </w:rPr>
              <w:t xml:space="preserve">onda </w:t>
            </w:r>
            <w:r w:rsidR="004C0CCE" w:rsidRPr="00824B87">
              <w:rPr>
                <w:rFonts w:ascii="Times New Roman" w:eastAsia="Times New Roman" w:hAnsi="Times New Roman" w:cs="Times New Roman"/>
                <w:sz w:val="24"/>
                <w:szCs w:val="24"/>
                <w:lang w:eastAsia="lv-LV"/>
              </w:rPr>
              <w:t xml:space="preserve">kopējā riska aprēķināšanai izmantot vienu no divām </w:t>
            </w:r>
            <w:r w:rsidR="00B547D3" w:rsidRPr="00824B87">
              <w:rPr>
                <w:rFonts w:ascii="Times New Roman" w:eastAsia="Times New Roman" w:hAnsi="Times New Roman" w:cs="Times New Roman"/>
                <w:sz w:val="24"/>
                <w:szCs w:val="24"/>
                <w:lang w:eastAsia="lv-LV"/>
              </w:rPr>
              <w:t xml:space="preserve">pamata </w:t>
            </w:r>
            <w:r w:rsidR="004C0CCE" w:rsidRPr="00824B87">
              <w:rPr>
                <w:rFonts w:ascii="Times New Roman" w:eastAsia="Times New Roman" w:hAnsi="Times New Roman" w:cs="Times New Roman"/>
                <w:sz w:val="24"/>
                <w:szCs w:val="24"/>
                <w:lang w:eastAsia="lv-LV"/>
              </w:rPr>
              <w:t>metodēm – saistību metodi vai riskam pakļautās vērtības metodi</w:t>
            </w:r>
            <w:r w:rsidR="00B547D3" w:rsidRPr="00824B87">
              <w:rPr>
                <w:rFonts w:ascii="Times New Roman" w:eastAsia="Times New Roman" w:hAnsi="Times New Roman" w:cs="Times New Roman"/>
                <w:sz w:val="24"/>
                <w:szCs w:val="24"/>
                <w:lang w:eastAsia="lv-LV"/>
              </w:rPr>
              <w:t xml:space="preserve">. Ja sabiedrība nolemj piemērot riskam pakļautās vērtības metodi, </w:t>
            </w:r>
            <w:r w:rsidR="007F5031" w:rsidRPr="00824B87">
              <w:rPr>
                <w:rFonts w:ascii="Times New Roman" w:eastAsia="Times New Roman" w:hAnsi="Times New Roman" w:cs="Times New Roman"/>
                <w:sz w:val="24"/>
                <w:szCs w:val="24"/>
                <w:lang w:eastAsia="lv-LV"/>
              </w:rPr>
              <w:t xml:space="preserve">tai </w:t>
            </w:r>
            <w:r w:rsidR="00B547D3" w:rsidRPr="00824B87">
              <w:rPr>
                <w:rFonts w:ascii="Times New Roman" w:eastAsia="Times New Roman" w:hAnsi="Times New Roman" w:cs="Times New Roman"/>
                <w:sz w:val="24"/>
                <w:szCs w:val="24"/>
                <w:lang w:eastAsia="lv-LV"/>
              </w:rPr>
              <w:t xml:space="preserve">vienlaikus </w:t>
            </w:r>
            <w:r w:rsidR="007F5031" w:rsidRPr="00824B87">
              <w:rPr>
                <w:rFonts w:ascii="Times New Roman" w:eastAsia="Times New Roman" w:hAnsi="Times New Roman" w:cs="Times New Roman"/>
                <w:sz w:val="24"/>
                <w:szCs w:val="24"/>
                <w:lang w:eastAsia="lv-LV"/>
              </w:rPr>
              <w:t>jāizvēlas</w:t>
            </w:r>
            <w:r w:rsidR="00B547D3" w:rsidRPr="00824B87">
              <w:rPr>
                <w:rFonts w:ascii="Times New Roman" w:eastAsia="Times New Roman" w:hAnsi="Times New Roman" w:cs="Times New Roman"/>
                <w:sz w:val="24"/>
                <w:szCs w:val="24"/>
                <w:lang w:eastAsia="lv-LV"/>
              </w:rPr>
              <w:t>, kuru no divām iespējamām metodēm</w:t>
            </w:r>
            <w:r w:rsidR="000A2355">
              <w:rPr>
                <w:rFonts w:ascii="Times New Roman" w:eastAsia="Times New Roman" w:hAnsi="Times New Roman" w:cs="Times New Roman"/>
                <w:sz w:val="24"/>
                <w:szCs w:val="24"/>
                <w:lang w:eastAsia="lv-LV"/>
              </w:rPr>
              <w:t> </w:t>
            </w:r>
            <w:r w:rsidR="00B547D3" w:rsidRPr="00824B87">
              <w:rPr>
                <w:rFonts w:ascii="Times New Roman" w:eastAsia="Times New Roman" w:hAnsi="Times New Roman" w:cs="Times New Roman"/>
                <w:sz w:val="24"/>
                <w:szCs w:val="24"/>
                <w:lang w:eastAsia="lv-LV"/>
              </w:rPr>
              <w:t>– relatīvās riskam pakļautās vērtības metodi vai absolūtās riskam pakļautās vērtības metodi</w:t>
            </w:r>
            <w:r w:rsidR="00BE6403" w:rsidRPr="00824B87">
              <w:rPr>
                <w:rFonts w:ascii="Times New Roman" w:eastAsia="Times New Roman" w:hAnsi="Times New Roman" w:cs="Times New Roman"/>
                <w:sz w:val="24"/>
                <w:szCs w:val="24"/>
                <w:lang w:eastAsia="lv-LV"/>
              </w:rPr>
              <w:t> – tā izmantos un</w:t>
            </w:r>
            <w:r w:rsidR="00772A37" w:rsidRPr="00824B87">
              <w:rPr>
                <w:rFonts w:ascii="Times New Roman" w:eastAsia="Times New Roman" w:hAnsi="Times New Roman" w:cs="Times New Roman"/>
                <w:sz w:val="24"/>
                <w:szCs w:val="24"/>
                <w:lang w:eastAsia="lv-LV"/>
              </w:rPr>
              <w:t xml:space="preserve"> </w:t>
            </w:r>
            <w:r w:rsidR="00B547D3" w:rsidRPr="00824B87">
              <w:rPr>
                <w:rFonts w:ascii="Times New Roman" w:eastAsia="Times New Roman" w:hAnsi="Times New Roman" w:cs="Times New Roman"/>
                <w:sz w:val="24"/>
                <w:szCs w:val="24"/>
                <w:lang w:eastAsia="lv-LV"/>
              </w:rPr>
              <w:t xml:space="preserve">turpmāk </w:t>
            </w:r>
            <w:r w:rsidR="000A2355">
              <w:rPr>
                <w:rFonts w:ascii="Times New Roman" w:eastAsia="Times New Roman" w:hAnsi="Times New Roman" w:cs="Times New Roman"/>
                <w:sz w:val="24"/>
                <w:szCs w:val="24"/>
                <w:lang w:eastAsia="lv-LV"/>
              </w:rPr>
              <w:t>darīs</w:t>
            </w:r>
            <w:r w:rsidR="000A2355" w:rsidRPr="00824B87">
              <w:rPr>
                <w:rFonts w:ascii="Times New Roman" w:eastAsia="Times New Roman" w:hAnsi="Times New Roman" w:cs="Times New Roman"/>
                <w:sz w:val="24"/>
                <w:szCs w:val="24"/>
                <w:lang w:eastAsia="lv-LV"/>
              </w:rPr>
              <w:t xml:space="preserve"> </w:t>
            </w:r>
            <w:r w:rsidR="00BE6403" w:rsidRPr="00824B87">
              <w:rPr>
                <w:rFonts w:ascii="Times New Roman" w:eastAsia="Times New Roman" w:hAnsi="Times New Roman" w:cs="Times New Roman"/>
                <w:sz w:val="24"/>
                <w:szCs w:val="24"/>
                <w:lang w:eastAsia="lv-LV"/>
              </w:rPr>
              <w:t xml:space="preserve">to </w:t>
            </w:r>
            <w:r w:rsidR="00B547D3" w:rsidRPr="00824B87">
              <w:rPr>
                <w:rFonts w:ascii="Times New Roman" w:eastAsia="Times New Roman" w:hAnsi="Times New Roman" w:cs="Times New Roman"/>
                <w:sz w:val="24"/>
                <w:szCs w:val="24"/>
                <w:lang w:eastAsia="lv-LV"/>
              </w:rPr>
              <w:t>konsekventi</w:t>
            </w:r>
            <w:r w:rsidR="00BE6403" w:rsidRPr="00824B87">
              <w:rPr>
                <w:rFonts w:ascii="Times New Roman" w:eastAsia="Times New Roman" w:hAnsi="Times New Roman" w:cs="Times New Roman"/>
                <w:sz w:val="24"/>
                <w:szCs w:val="24"/>
                <w:lang w:eastAsia="lv-LV"/>
              </w:rPr>
              <w:t>;</w:t>
            </w:r>
          </w:p>
          <w:p w14:paraId="770373F1" w14:textId="155050E3" w:rsidR="004C0CCE" w:rsidRPr="00824B87" w:rsidRDefault="004C0CCE" w:rsidP="0066677E">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3) </w:t>
            </w:r>
            <w:r w:rsidR="00BE6403" w:rsidRPr="00824B87">
              <w:rPr>
                <w:rFonts w:ascii="Times New Roman" w:eastAsia="Times New Roman" w:hAnsi="Times New Roman" w:cs="Times New Roman"/>
                <w:sz w:val="24"/>
                <w:szCs w:val="24"/>
                <w:lang w:eastAsia="lv-LV"/>
              </w:rPr>
              <w:t>p</w:t>
            </w:r>
            <w:r w:rsidR="002D4FFA" w:rsidRPr="00824B87">
              <w:rPr>
                <w:rFonts w:ascii="Times New Roman" w:eastAsia="Times New Roman" w:hAnsi="Times New Roman" w:cs="Times New Roman"/>
                <w:sz w:val="24"/>
                <w:szCs w:val="24"/>
                <w:lang w:eastAsia="lv-LV"/>
              </w:rPr>
              <w:t xml:space="preserve">rasības </w:t>
            </w:r>
            <w:r w:rsidRPr="00824B87">
              <w:rPr>
                <w:rFonts w:ascii="Times New Roman" w:eastAsia="Times New Roman" w:hAnsi="Times New Roman" w:cs="Times New Roman"/>
                <w:sz w:val="24"/>
                <w:szCs w:val="24"/>
                <w:lang w:eastAsia="lv-LV"/>
              </w:rPr>
              <w:t>saistību metodes izmantošanai fonda kopējā riska noteikšan</w:t>
            </w:r>
            <w:r w:rsidR="000A2355">
              <w:rPr>
                <w:rFonts w:ascii="Times New Roman" w:eastAsia="Times New Roman" w:hAnsi="Times New Roman" w:cs="Times New Roman"/>
                <w:sz w:val="24"/>
                <w:szCs w:val="24"/>
                <w:lang w:eastAsia="lv-LV"/>
              </w:rPr>
              <w:t>ā</w:t>
            </w:r>
            <w:r w:rsidRPr="008F5AC8">
              <w:rPr>
                <w:rFonts w:ascii="Times New Roman" w:eastAsia="Times New Roman" w:hAnsi="Times New Roman" w:cs="Times New Roman"/>
                <w:sz w:val="24"/>
                <w:szCs w:val="24"/>
                <w:lang w:eastAsia="lv-LV"/>
              </w:rPr>
              <w:t>, t.</w:t>
            </w:r>
            <w:r w:rsidR="00BE6403" w:rsidRPr="008F5AC8">
              <w:rPr>
                <w:rFonts w:ascii="Times New Roman" w:eastAsia="Times New Roman" w:hAnsi="Times New Roman" w:cs="Times New Roman"/>
                <w:sz w:val="24"/>
                <w:szCs w:val="24"/>
                <w:lang w:eastAsia="lv-LV"/>
              </w:rPr>
              <w:t> </w:t>
            </w:r>
            <w:r w:rsidRPr="008F5AC8">
              <w:rPr>
                <w:rFonts w:ascii="Times New Roman" w:eastAsia="Times New Roman" w:hAnsi="Times New Roman" w:cs="Times New Roman"/>
                <w:sz w:val="24"/>
                <w:szCs w:val="24"/>
                <w:lang w:eastAsia="lv-LV"/>
              </w:rPr>
              <w:t>sk</w:t>
            </w:r>
            <w:r w:rsidR="00BE6403" w:rsidRPr="008F5AC8">
              <w:rPr>
                <w:rFonts w:ascii="Times New Roman" w:eastAsia="Times New Roman" w:hAnsi="Times New Roman" w:cs="Times New Roman"/>
                <w:sz w:val="24"/>
                <w:szCs w:val="24"/>
                <w:lang w:eastAsia="lv-LV"/>
              </w:rPr>
              <w:t>.</w:t>
            </w:r>
            <w:r w:rsidRPr="008F5AC8">
              <w:rPr>
                <w:rFonts w:ascii="Times New Roman" w:eastAsia="Times New Roman" w:hAnsi="Times New Roman" w:cs="Times New Roman"/>
                <w:sz w:val="24"/>
                <w:szCs w:val="24"/>
                <w:lang w:eastAsia="lv-LV"/>
              </w:rPr>
              <w:t xml:space="preserve"> riska vērtības</w:t>
            </w:r>
            <w:r w:rsidRPr="00824B87">
              <w:rPr>
                <w:rFonts w:ascii="Times New Roman" w:eastAsia="Times New Roman" w:hAnsi="Times New Roman" w:cs="Times New Roman"/>
                <w:sz w:val="24"/>
                <w:szCs w:val="24"/>
                <w:lang w:eastAsia="lv-LV"/>
              </w:rPr>
              <w:t xml:space="preserve"> noteikšana</w:t>
            </w:r>
            <w:r w:rsidR="00891482" w:rsidRPr="00824B87">
              <w:rPr>
                <w:rFonts w:ascii="Times New Roman" w:eastAsia="Times New Roman" w:hAnsi="Times New Roman" w:cs="Times New Roman"/>
                <w:sz w:val="24"/>
                <w:szCs w:val="24"/>
                <w:lang w:eastAsia="lv-LV"/>
              </w:rPr>
              <w:t>i</w:t>
            </w:r>
            <w:r w:rsidRPr="00824B87">
              <w:rPr>
                <w:rFonts w:ascii="Times New Roman" w:eastAsia="Times New Roman" w:hAnsi="Times New Roman" w:cs="Times New Roman"/>
                <w:sz w:val="24"/>
                <w:szCs w:val="24"/>
                <w:lang w:eastAsia="lv-LV"/>
              </w:rPr>
              <w:t xml:space="preserve"> standarta atvasinātajiem finanšu </w:t>
            </w:r>
            <w:r w:rsidRPr="008F5AC8">
              <w:rPr>
                <w:rFonts w:ascii="Times New Roman" w:eastAsia="Times New Roman" w:hAnsi="Times New Roman" w:cs="Times New Roman"/>
                <w:sz w:val="24"/>
                <w:szCs w:val="24"/>
                <w:lang w:eastAsia="lv-LV"/>
              </w:rPr>
              <w:t>instrumentiem,</w:t>
            </w:r>
            <w:r w:rsidRPr="00482C42">
              <w:rPr>
                <w:rFonts w:ascii="Times New Roman" w:hAnsi="Times New Roman" w:cs="Times New Roman"/>
                <w:sz w:val="24"/>
                <w:szCs w:val="24"/>
              </w:rPr>
              <w:t xml:space="preserve"> </w:t>
            </w:r>
            <w:r w:rsidRPr="008F5AC8">
              <w:rPr>
                <w:rFonts w:ascii="Times New Roman" w:eastAsia="Times New Roman" w:hAnsi="Times New Roman" w:cs="Times New Roman"/>
                <w:sz w:val="24"/>
                <w:szCs w:val="24"/>
                <w:lang w:eastAsia="lv-LV"/>
              </w:rPr>
              <w:t>pārvedamos vērtspapīros un naudas tirgus instrumentos ietvertajiem atvasinātajiem finanšu instrumentiem</w:t>
            </w:r>
            <w:r w:rsidR="000A2355" w:rsidRPr="008F5AC8">
              <w:rPr>
                <w:rFonts w:ascii="Times New Roman" w:eastAsia="Times New Roman" w:hAnsi="Times New Roman" w:cs="Times New Roman"/>
                <w:sz w:val="24"/>
                <w:szCs w:val="24"/>
                <w:lang w:eastAsia="lv-LV"/>
              </w:rPr>
              <w:t xml:space="preserve"> un</w:t>
            </w:r>
            <w:r w:rsidRPr="00482C42">
              <w:rPr>
                <w:rFonts w:ascii="Times New Roman" w:hAnsi="Times New Roman" w:cs="Times New Roman"/>
                <w:sz w:val="24"/>
                <w:szCs w:val="24"/>
              </w:rPr>
              <w:t xml:space="preserve"> ne</w:t>
            </w:r>
            <w:r w:rsidRPr="008F5AC8">
              <w:rPr>
                <w:rFonts w:ascii="Times New Roman" w:eastAsia="Times New Roman" w:hAnsi="Times New Roman" w:cs="Times New Roman"/>
                <w:sz w:val="24"/>
                <w:szCs w:val="24"/>
                <w:lang w:eastAsia="lv-LV"/>
              </w:rPr>
              <w:t xml:space="preserve">standarta atvasinātajiem finanšu instrumentiem, </w:t>
            </w:r>
            <w:r w:rsidR="00891482" w:rsidRPr="008F5AC8">
              <w:rPr>
                <w:rFonts w:ascii="Times New Roman" w:eastAsia="Times New Roman" w:hAnsi="Times New Roman" w:cs="Times New Roman"/>
                <w:sz w:val="24"/>
                <w:szCs w:val="24"/>
                <w:lang w:eastAsia="lv-LV"/>
              </w:rPr>
              <w:t>savstarpējā ieskaita un riska ierobežošanas pasākumu piemērošanai,</w:t>
            </w:r>
            <w:r w:rsidR="00891482" w:rsidRPr="00482C42">
              <w:rPr>
                <w:rFonts w:ascii="Times New Roman" w:hAnsi="Times New Roman" w:cs="Times New Roman"/>
                <w:sz w:val="24"/>
                <w:szCs w:val="24"/>
              </w:rPr>
              <w:t xml:space="preserve"> d</w:t>
            </w:r>
            <w:r w:rsidR="00891482" w:rsidRPr="008F5AC8">
              <w:rPr>
                <w:rFonts w:ascii="Times New Roman" w:eastAsia="Times New Roman" w:hAnsi="Times New Roman" w:cs="Times New Roman"/>
                <w:sz w:val="24"/>
                <w:szCs w:val="24"/>
                <w:lang w:eastAsia="lv-LV"/>
              </w:rPr>
              <w:t>arījumu fonda ieguldījumu portfeļa efektīvas vadības nodrošināšanai</w:t>
            </w:r>
            <w:r w:rsidR="00891482" w:rsidRPr="00482C42">
              <w:rPr>
                <w:rFonts w:ascii="Times New Roman" w:hAnsi="Times New Roman" w:cs="Times New Roman"/>
                <w:sz w:val="24"/>
                <w:szCs w:val="24"/>
              </w:rPr>
              <w:t xml:space="preserve"> </w:t>
            </w:r>
            <w:r w:rsidR="00891482" w:rsidRPr="008F5AC8">
              <w:rPr>
                <w:rFonts w:ascii="Times New Roman" w:eastAsia="Times New Roman" w:hAnsi="Times New Roman" w:cs="Times New Roman"/>
                <w:sz w:val="24"/>
                <w:szCs w:val="24"/>
                <w:lang w:eastAsia="lv-LV"/>
              </w:rPr>
              <w:t>riska vērtēšanai</w:t>
            </w:r>
            <w:r w:rsidR="00891482" w:rsidRPr="00824B87">
              <w:rPr>
                <w:rFonts w:ascii="Times New Roman" w:eastAsia="Times New Roman" w:hAnsi="Times New Roman" w:cs="Times New Roman"/>
                <w:sz w:val="24"/>
                <w:szCs w:val="24"/>
                <w:lang w:eastAsia="lv-LV"/>
              </w:rPr>
              <w:t>, kā arī saistību metodes piemērošanai strukturētajiem fondiem</w:t>
            </w:r>
            <w:r w:rsidR="00BE6403" w:rsidRPr="00824B87">
              <w:rPr>
                <w:rFonts w:ascii="Times New Roman" w:eastAsia="Times New Roman" w:hAnsi="Times New Roman" w:cs="Times New Roman"/>
                <w:sz w:val="24"/>
                <w:szCs w:val="24"/>
                <w:lang w:eastAsia="lv-LV"/>
              </w:rPr>
              <w:t>;</w:t>
            </w:r>
          </w:p>
          <w:p w14:paraId="1580B58B" w14:textId="0103B3C6" w:rsidR="00891482" w:rsidRPr="00824B87" w:rsidRDefault="00891482" w:rsidP="0066677E">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4) </w:t>
            </w:r>
            <w:r w:rsidR="00BE6403" w:rsidRPr="00824B87">
              <w:rPr>
                <w:rFonts w:ascii="Times New Roman" w:eastAsia="Times New Roman" w:hAnsi="Times New Roman" w:cs="Times New Roman"/>
                <w:sz w:val="24"/>
                <w:szCs w:val="24"/>
                <w:lang w:eastAsia="lv-LV"/>
              </w:rPr>
              <w:t>p</w:t>
            </w:r>
            <w:r w:rsidR="002D4FFA" w:rsidRPr="00824B87">
              <w:rPr>
                <w:rFonts w:ascii="Times New Roman" w:eastAsia="Times New Roman" w:hAnsi="Times New Roman" w:cs="Times New Roman"/>
                <w:sz w:val="24"/>
                <w:szCs w:val="24"/>
                <w:lang w:eastAsia="lv-LV"/>
              </w:rPr>
              <w:t xml:space="preserve">rasības </w:t>
            </w:r>
            <w:r w:rsidRPr="00824B87">
              <w:rPr>
                <w:rFonts w:ascii="Times New Roman" w:eastAsia="Times New Roman" w:hAnsi="Times New Roman" w:cs="Times New Roman"/>
                <w:sz w:val="24"/>
                <w:szCs w:val="24"/>
                <w:lang w:eastAsia="lv-LV"/>
              </w:rPr>
              <w:t xml:space="preserve">riskam pakļautās vērtības </w:t>
            </w:r>
            <w:r w:rsidR="00772A37" w:rsidRPr="00824B87">
              <w:rPr>
                <w:rFonts w:ascii="Times New Roman" w:eastAsia="Times New Roman" w:hAnsi="Times New Roman" w:cs="Times New Roman"/>
                <w:sz w:val="24"/>
                <w:szCs w:val="24"/>
                <w:lang w:eastAsia="lv-LV"/>
              </w:rPr>
              <w:t xml:space="preserve">(relatīvās vai absolūtās) </w:t>
            </w:r>
            <w:r w:rsidRPr="00824B87">
              <w:rPr>
                <w:rFonts w:ascii="Times New Roman" w:eastAsia="Times New Roman" w:hAnsi="Times New Roman" w:cs="Times New Roman"/>
                <w:sz w:val="24"/>
                <w:szCs w:val="24"/>
                <w:lang w:eastAsia="lv-LV"/>
              </w:rPr>
              <w:t>metodes izmantošanai fonda kopējā riska noteikšan</w:t>
            </w:r>
            <w:r w:rsidR="00885F7B" w:rsidRPr="00824B87">
              <w:rPr>
                <w:rFonts w:ascii="Times New Roman" w:eastAsia="Times New Roman" w:hAnsi="Times New Roman" w:cs="Times New Roman"/>
                <w:sz w:val="24"/>
                <w:szCs w:val="24"/>
                <w:lang w:eastAsia="lv-LV"/>
              </w:rPr>
              <w:t>ā</w:t>
            </w:r>
            <w:r w:rsidRPr="00824B87">
              <w:rPr>
                <w:rFonts w:ascii="Times New Roman" w:eastAsia="Times New Roman" w:hAnsi="Times New Roman" w:cs="Times New Roman"/>
                <w:sz w:val="24"/>
                <w:szCs w:val="24"/>
                <w:lang w:eastAsia="lv-LV"/>
              </w:rPr>
              <w:t>, t.</w:t>
            </w:r>
            <w:r w:rsidR="00BE6403" w:rsidRPr="00824B87">
              <w:rPr>
                <w:rFonts w:ascii="Times New Roman" w:eastAsia="Times New Roman" w:hAnsi="Times New Roman" w:cs="Times New Roman"/>
                <w:sz w:val="24"/>
                <w:szCs w:val="24"/>
                <w:lang w:eastAsia="lv-LV"/>
              </w:rPr>
              <w:t> </w:t>
            </w:r>
            <w:r w:rsidRPr="00824B87">
              <w:rPr>
                <w:rFonts w:ascii="Times New Roman" w:eastAsia="Times New Roman" w:hAnsi="Times New Roman" w:cs="Times New Roman"/>
                <w:sz w:val="24"/>
                <w:szCs w:val="24"/>
                <w:lang w:eastAsia="lv-LV"/>
              </w:rPr>
              <w:t xml:space="preserve">sk. </w:t>
            </w:r>
            <w:r w:rsidR="00772A37" w:rsidRPr="00824B87">
              <w:rPr>
                <w:rFonts w:ascii="Times New Roman" w:eastAsia="Times New Roman" w:hAnsi="Times New Roman" w:cs="Times New Roman"/>
                <w:sz w:val="24"/>
                <w:szCs w:val="24"/>
                <w:lang w:eastAsia="lv-LV"/>
              </w:rPr>
              <w:t>minimālās kvantitatīvās prasības, prasības riskam pakļautās vērtības modelim, prasības atpakaļejošām pārbaudēm un stresa testēšanai, kvalitatīvās prasības, kā arī informācijas atklāšanas un Latvijas Bankai sniedzamās informācijas prasības</w:t>
            </w:r>
            <w:r w:rsidR="00BE6403" w:rsidRPr="00824B87">
              <w:rPr>
                <w:rFonts w:ascii="Times New Roman" w:eastAsia="Times New Roman" w:hAnsi="Times New Roman" w:cs="Times New Roman"/>
                <w:sz w:val="24"/>
                <w:szCs w:val="24"/>
                <w:lang w:eastAsia="lv-LV"/>
              </w:rPr>
              <w:t>;</w:t>
            </w:r>
          </w:p>
          <w:p w14:paraId="0FE6DB28" w14:textId="5617078F" w:rsidR="00772A37" w:rsidRPr="00824B87" w:rsidRDefault="00772A37" w:rsidP="0066677E">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5) </w:t>
            </w:r>
            <w:r w:rsidR="00BE6403" w:rsidRPr="00824B87">
              <w:rPr>
                <w:rFonts w:ascii="Times New Roman" w:eastAsia="Times New Roman" w:hAnsi="Times New Roman" w:cs="Times New Roman"/>
                <w:sz w:val="24"/>
                <w:szCs w:val="24"/>
                <w:lang w:eastAsia="lv-LV"/>
              </w:rPr>
              <w:t>p</w:t>
            </w:r>
            <w:r w:rsidRPr="00824B87">
              <w:rPr>
                <w:rFonts w:ascii="Times New Roman" w:eastAsia="Times New Roman" w:hAnsi="Times New Roman" w:cs="Times New Roman"/>
                <w:sz w:val="24"/>
                <w:szCs w:val="24"/>
                <w:lang w:eastAsia="lv-LV"/>
              </w:rPr>
              <w:t>rasības riska darījumu apmēra ar darījumu partneri aprēķināšanai</w:t>
            </w:r>
            <w:r w:rsidR="00BE6403" w:rsidRPr="00824B87">
              <w:rPr>
                <w:rFonts w:ascii="Times New Roman" w:eastAsia="Times New Roman" w:hAnsi="Times New Roman" w:cs="Times New Roman"/>
                <w:sz w:val="24"/>
                <w:szCs w:val="24"/>
                <w:lang w:eastAsia="lv-LV"/>
              </w:rPr>
              <w:t>;</w:t>
            </w:r>
          </w:p>
          <w:p w14:paraId="79A76A79" w14:textId="058EF782" w:rsidR="00772A37" w:rsidRPr="00824B87" w:rsidRDefault="00772A37" w:rsidP="0066677E">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6) </w:t>
            </w:r>
            <w:r w:rsidR="00BE6403" w:rsidRPr="00824B87">
              <w:rPr>
                <w:rFonts w:ascii="Times New Roman" w:eastAsia="Times New Roman" w:hAnsi="Times New Roman" w:cs="Times New Roman"/>
                <w:sz w:val="24"/>
                <w:szCs w:val="24"/>
                <w:lang w:eastAsia="lv-LV"/>
              </w:rPr>
              <w:t>p</w:t>
            </w:r>
            <w:r w:rsidR="002D4FFA" w:rsidRPr="00824B87">
              <w:rPr>
                <w:rFonts w:ascii="Times New Roman" w:eastAsia="Times New Roman" w:hAnsi="Times New Roman" w:cs="Times New Roman"/>
                <w:sz w:val="24"/>
                <w:szCs w:val="24"/>
                <w:lang w:eastAsia="lv-LV"/>
              </w:rPr>
              <w:t xml:space="preserve">rasības </w:t>
            </w:r>
            <w:r w:rsidRPr="00824B87">
              <w:rPr>
                <w:rFonts w:ascii="Times New Roman" w:eastAsia="Times New Roman" w:hAnsi="Times New Roman" w:cs="Times New Roman"/>
                <w:sz w:val="24"/>
                <w:szCs w:val="24"/>
                <w:lang w:eastAsia="lv-LV"/>
              </w:rPr>
              <w:t>darījumu koncentrācijas riska apmēr</w:t>
            </w:r>
            <w:r w:rsidR="00C1424D" w:rsidRPr="00824B87">
              <w:rPr>
                <w:rFonts w:ascii="Times New Roman" w:eastAsia="Times New Roman" w:hAnsi="Times New Roman" w:cs="Times New Roman"/>
                <w:sz w:val="24"/>
                <w:szCs w:val="24"/>
                <w:lang w:eastAsia="lv-LV"/>
              </w:rPr>
              <w:t>a</w:t>
            </w:r>
            <w:r w:rsidRPr="00824B87">
              <w:rPr>
                <w:rFonts w:ascii="Times New Roman" w:eastAsia="Times New Roman" w:hAnsi="Times New Roman" w:cs="Times New Roman"/>
                <w:sz w:val="24"/>
                <w:szCs w:val="24"/>
                <w:lang w:eastAsia="lv-LV"/>
              </w:rPr>
              <w:t xml:space="preserve"> ar vienu emitentu vai darījumu partneri aprēķin</w:t>
            </w:r>
            <w:r w:rsidR="00885F7B" w:rsidRPr="00824B87">
              <w:rPr>
                <w:rFonts w:ascii="Times New Roman" w:eastAsia="Times New Roman" w:hAnsi="Times New Roman" w:cs="Times New Roman"/>
                <w:sz w:val="24"/>
                <w:szCs w:val="24"/>
                <w:lang w:eastAsia="lv-LV"/>
              </w:rPr>
              <w:t>āšanai</w:t>
            </w:r>
            <w:r w:rsidR="00BE6403" w:rsidRPr="00824B87">
              <w:rPr>
                <w:rFonts w:ascii="Times New Roman" w:eastAsia="Times New Roman" w:hAnsi="Times New Roman" w:cs="Times New Roman"/>
                <w:sz w:val="24"/>
                <w:szCs w:val="24"/>
                <w:lang w:eastAsia="lv-LV"/>
              </w:rPr>
              <w:t>;</w:t>
            </w:r>
          </w:p>
          <w:p w14:paraId="3B184252" w14:textId="4413EBEE" w:rsidR="004C0CCE" w:rsidRPr="00824B87" w:rsidRDefault="00CF4408" w:rsidP="0066677E">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7) </w:t>
            </w:r>
            <w:r w:rsidR="00BE6403" w:rsidRPr="00824B87">
              <w:rPr>
                <w:rFonts w:ascii="Times New Roman" w:eastAsia="Times New Roman" w:hAnsi="Times New Roman" w:cs="Times New Roman"/>
                <w:sz w:val="24"/>
                <w:szCs w:val="24"/>
                <w:lang w:eastAsia="lv-LV"/>
              </w:rPr>
              <w:t>o</w:t>
            </w:r>
            <w:r w:rsidR="00635A01" w:rsidRPr="00824B87">
              <w:rPr>
                <w:rFonts w:ascii="Times New Roman" w:eastAsia="Times New Roman" w:hAnsi="Times New Roman" w:cs="Times New Roman"/>
                <w:sz w:val="24"/>
                <w:szCs w:val="24"/>
                <w:lang w:eastAsia="lv-LV"/>
              </w:rPr>
              <w:t>ptimizēts noteikumu saturs, paredzot strukturēta fonda prospekta sagatavošana</w:t>
            </w:r>
            <w:r w:rsidR="00885F7B" w:rsidRPr="00824B87">
              <w:rPr>
                <w:rFonts w:ascii="Times New Roman" w:eastAsia="Times New Roman" w:hAnsi="Times New Roman" w:cs="Times New Roman"/>
                <w:sz w:val="24"/>
                <w:szCs w:val="24"/>
                <w:lang w:eastAsia="lv-LV"/>
              </w:rPr>
              <w:t>s</w:t>
            </w:r>
            <w:r w:rsidR="00635A01" w:rsidRPr="00824B87">
              <w:rPr>
                <w:rFonts w:ascii="Times New Roman" w:eastAsia="Times New Roman" w:hAnsi="Times New Roman" w:cs="Times New Roman"/>
                <w:sz w:val="24"/>
                <w:szCs w:val="24"/>
                <w:lang w:eastAsia="lv-LV"/>
              </w:rPr>
              <w:t xml:space="preserve"> </w:t>
            </w:r>
            <w:r w:rsidR="00885F7B" w:rsidRPr="00824B87">
              <w:rPr>
                <w:rFonts w:ascii="Times New Roman" w:eastAsia="Times New Roman" w:hAnsi="Times New Roman" w:cs="Times New Roman"/>
                <w:sz w:val="24"/>
                <w:szCs w:val="24"/>
                <w:lang w:eastAsia="lv-LV"/>
              </w:rPr>
              <w:t xml:space="preserve">prasību </w:t>
            </w:r>
            <w:r w:rsidR="00635A01" w:rsidRPr="00824B87">
              <w:rPr>
                <w:rFonts w:ascii="Times New Roman" w:eastAsia="Times New Roman" w:hAnsi="Times New Roman" w:cs="Times New Roman"/>
                <w:sz w:val="24"/>
                <w:szCs w:val="24"/>
                <w:lang w:eastAsia="lv-LV"/>
              </w:rPr>
              <w:t xml:space="preserve">iekļaut noteikumos par prasībām ieguldījumu fondu ieguldījumu objektiem, darījumiem un noteiktas darbības veida fondiem, kuri turpmāk aizstās </w:t>
            </w:r>
            <w:r w:rsidR="00BE6403" w:rsidRPr="00824B87">
              <w:rPr>
                <w:rFonts w:ascii="Times New Roman" w:eastAsia="Times New Roman" w:hAnsi="Times New Roman" w:cs="Times New Roman"/>
                <w:sz w:val="24"/>
                <w:szCs w:val="24"/>
                <w:lang w:eastAsia="lv-LV"/>
              </w:rPr>
              <w:t xml:space="preserve">Finanšu un kapitāla tirgus komisijas </w:t>
            </w:r>
            <w:r w:rsidR="00635A01" w:rsidRPr="00824B87">
              <w:rPr>
                <w:rFonts w:ascii="Times New Roman" w:eastAsia="Times New Roman" w:hAnsi="Times New Roman" w:cs="Times New Roman"/>
                <w:sz w:val="24"/>
                <w:szCs w:val="24"/>
                <w:lang w:eastAsia="lv-LV"/>
              </w:rPr>
              <w:t>2020.</w:t>
            </w:r>
            <w:r w:rsidR="00BE6403" w:rsidRPr="00824B87">
              <w:rPr>
                <w:rFonts w:ascii="Times New Roman" w:eastAsia="Times New Roman" w:hAnsi="Times New Roman" w:cs="Times New Roman"/>
                <w:sz w:val="24"/>
                <w:szCs w:val="24"/>
                <w:lang w:eastAsia="lv-LV"/>
              </w:rPr>
              <w:t> </w:t>
            </w:r>
            <w:r w:rsidR="00635A01" w:rsidRPr="00824B87">
              <w:rPr>
                <w:rFonts w:ascii="Times New Roman" w:eastAsia="Times New Roman" w:hAnsi="Times New Roman" w:cs="Times New Roman"/>
                <w:sz w:val="24"/>
                <w:szCs w:val="24"/>
                <w:lang w:eastAsia="lv-LV"/>
              </w:rPr>
              <w:t>gada 4.</w:t>
            </w:r>
            <w:r w:rsidR="00BE6403" w:rsidRPr="00824B87">
              <w:rPr>
                <w:rFonts w:ascii="Times New Roman" w:eastAsia="Times New Roman" w:hAnsi="Times New Roman" w:cs="Times New Roman"/>
                <w:sz w:val="24"/>
                <w:szCs w:val="24"/>
                <w:lang w:eastAsia="lv-LV"/>
              </w:rPr>
              <w:t> </w:t>
            </w:r>
            <w:r w:rsidR="00635A01" w:rsidRPr="00824B87">
              <w:rPr>
                <w:rFonts w:ascii="Times New Roman" w:eastAsia="Times New Roman" w:hAnsi="Times New Roman" w:cs="Times New Roman"/>
                <w:sz w:val="24"/>
                <w:szCs w:val="24"/>
                <w:lang w:eastAsia="lv-LV"/>
              </w:rPr>
              <w:t>augusta normatīvos noteikumus Nr. 115 "Normatīvie noteikumi par prasībām ieguldījumu fondu ieguldījumu objektiem, darījumiem un noteiktas darbības veida fondiem".</w:t>
            </w:r>
          </w:p>
        </w:tc>
      </w:tr>
      <w:tr w:rsidR="000B4E0A" w:rsidRPr="00824B87" w14:paraId="7655144C" w14:textId="77777777" w:rsidTr="00211300">
        <w:trPr>
          <w:trHeight w:val="567"/>
        </w:trPr>
        <w:tc>
          <w:tcPr>
            <w:tcW w:w="1092" w:type="pct"/>
            <w:shd w:val="clear" w:color="auto" w:fill="auto"/>
            <w:hideMark/>
          </w:tcPr>
          <w:p w14:paraId="38251EDB"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Leģitīmais mērķis</w:t>
            </w:r>
          </w:p>
          <w:p w14:paraId="031D8377"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473A93E7" w14:textId="622ACD1A" w:rsidR="00252BA9" w:rsidRPr="00824B87" w:rsidRDefault="00252BA9" w:rsidP="00252BA9">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tirgus dalībniekiem prasības un veicot prasību ievērošanas pārbaudes, Latvijas Banka nodrošina tai </w:t>
            </w:r>
            <w:r w:rsidR="003148F2" w:rsidRPr="00824B87">
              <w:rPr>
                <w:rFonts w:ascii="Times New Roman" w:eastAsia="Times New Roman" w:hAnsi="Times New Roman" w:cs="Times New Roman"/>
                <w:sz w:val="24"/>
                <w:szCs w:val="24"/>
                <w:lang w:eastAsia="lv-LV"/>
              </w:rPr>
              <w:t xml:space="preserve">ar Likumu un </w:t>
            </w:r>
            <w:r w:rsidRPr="00824B87">
              <w:rPr>
                <w:rFonts w:ascii="Times New Roman" w:eastAsia="Times New Roman" w:hAnsi="Times New Roman" w:cs="Times New Roman"/>
                <w:sz w:val="24"/>
                <w:szCs w:val="24"/>
                <w:lang w:eastAsia="lv-LV"/>
              </w:rPr>
              <w:t xml:space="preserve">Latvijas Bankas </w:t>
            </w:r>
            <w:r w:rsidR="003148F2" w:rsidRPr="00824B87">
              <w:rPr>
                <w:rFonts w:ascii="Times New Roman" w:eastAsia="Times New Roman" w:hAnsi="Times New Roman" w:cs="Times New Roman"/>
                <w:sz w:val="24"/>
                <w:szCs w:val="24"/>
                <w:lang w:eastAsia="lv-LV"/>
              </w:rPr>
              <w:t xml:space="preserve">likumu </w:t>
            </w:r>
            <w:r w:rsidRPr="00824B87">
              <w:rPr>
                <w:rFonts w:ascii="Times New Roman" w:eastAsia="Times New Roman" w:hAnsi="Times New Roman" w:cs="Times New Roman"/>
                <w:sz w:val="24"/>
                <w:szCs w:val="24"/>
                <w:lang w:eastAsia="lv-LV"/>
              </w:rPr>
              <w:t>noteikt</w:t>
            </w:r>
            <w:r w:rsidR="00885F7B" w:rsidRPr="00824B87">
              <w:rPr>
                <w:rFonts w:ascii="Times New Roman" w:eastAsia="Times New Roman" w:hAnsi="Times New Roman" w:cs="Times New Roman"/>
                <w:sz w:val="24"/>
                <w:szCs w:val="24"/>
                <w:lang w:eastAsia="lv-LV"/>
              </w:rPr>
              <w:t>ā</w:t>
            </w:r>
            <w:r w:rsidRPr="00824B87">
              <w:rPr>
                <w:rFonts w:ascii="Times New Roman" w:eastAsia="Times New Roman" w:hAnsi="Times New Roman" w:cs="Times New Roman"/>
                <w:sz w:val="24"/>
                <w:szCs w:val="24"/>
                <w:lang w:eastAsia="lv-LV"/>
              </w:rPr>
              <w:t xml:space="preserve"> pienākum</w:t>
            </w:r>
            <w:r w:rsidR="00885F7B" w:rsidRPr="00824B87">
              <w:rPr>
                <w:rFonts w:ascii="Times New Roman" w:eastAsia="Times New Roman" w:hAnsi="Times New Roman" w:cs="Times New Roman"/>
                <w:sz w:val="24"/>
                <w:szCs w:val="24"/>
                <w:lang w:eastAsia="lv-LV"/>
              </w:rPr>
              <w:t>a</w:t>
            </w:r>
            <w:r w:rsidRPr="00824B87">
              <w:rPr>
                <w:rFonts w:ascii="Times New Roman" w:eastAsia="Times New Roman" w:hAnsi="Times New Roman" w:cs="Times New Roman"/>
                <w:sz w:val="24"/>
                <w:szCs w:val="24"/>
                <w:lang w:eastAsia="lv-LV"/>
              </w:rPr>
              <w:t xml:space="preserve"> veicināt ieguldītāju interešu aizsardzību un finanšu tirgus ilgtspējīgu attīstību un stabilitāti izpildi</w:t>
            </w:r>
            <w:r w:rsidR="003148F2" w:rsidRPr="00824B87">
              <w:rPr>
                <w:rFonts w:ascii="Times New Roman" w:eastAsia="Times New Roman" w:hAnsi="Times New Roman" w:cs="Times New Roman"/>
                <w:sz w:val="24"/>
                <w:szCs w:val="24"/>
                <w:lang w:eastAsia="lv-LV"/>
              </w:rPr>
              <w:t xml:space="preserve">, kā arī izpilda likumdevēja </w:t>
            </w:r>
            <w:r w:rsidR="00BE6403" w:rsidRPr="00824B87">
              <w:rPr>
                <w:rFonts w:ascii="Times New Roman" w:eastAsia="Times New Roman" w:hAnsi="Times New Roman" w:cs="Times New Roman"/>
                <w:sz w:val="24"/>
                <w:szCs w:val="24"/>
                <w:lang w:eastAsia="lv-LV"/>
              </w:rPr>
              <w:t xml:space="preserve">uzlikto </w:t>
            </w:r>
            <w:r w:rsidR="003148F2" w:rsidRPr="00824B87">
              <w:rPr>
                <w:rFonts w:ascii="Times New Roman" w:eastAsia="Times New Roman" w:hAnsi="Times New Roman" w:cs="Times New Roman"/>
                <w:sz w:val="24"/>
                <w:szCs w:val="24"/>
                <w:lang w:eastAsia="lv-LV"/>
              </w:rPr>
              <w:t>pienākumu noteikt kopējā riska un</w:t>
            </w:r>
            <w:r w:rsidR="00C94CFF" w:rsidRPr="00824B87">
              <w:rPr>
                <w:rFonts w:ascii="Times New Roman" w:eastAsia="Times New Roman" w:hAnsi="Times New Roman" w:cs="Times New Roman"/>
                <w:sz w:val="24"/>
                <w:szCs w:val="24"/>
                <w:lang w:eastAsia="lv-LV"/>
              </w:rPr>
              <w:t xml:space="preserve"> riska darījumu apmēra ar darījumu partneri aprēķināšanas kārtību</w:t>
            </w:r>
            <w:r w:rsidRPr="00824B87">
              <w:rPr>
                <w:rFonts w:ascii="Times New Roman" w:eastAsia="Times New Roman" w:hAnsi="Times New Roman" w:cs="Times New Roman"/>
                <w:sz w:val="24"/>
                <w:szCs w:val="24"/>
                <w:lang w:eastAsia="lv-LV"/>
              </w:rPr>
              <w:t xml:space="preserve">. </w:t>
            </w:r>
          </w:p>
          <w:p w14:paraId="1E491FC9" w14:textId="73A02388" w:rsidR="00BE0F45" w:rsidRPr="00824B87" w:rsidRDefault="00252BA9" w:rsidP="00885F7B">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lastRenderedPageBreak/>
              <w:t>Noteikumu projekts nepieciešams, lai panāktu vienotu tirgus dalībnieku izpratni un pieeju regulējošo prasību interpretācijai un piemērošanai</w:t>
            </w:r>
            <w:r w:rsidR="00BE0F45" w:rsidRPr="00824B87">
              <w:rPr>
                <w:rFonts w:ascii="Times New Roman" w:eastAsia="Times New Roman" w:hAnsi="Times New Roman" w:cs="Times New Roman"/>
                <w:sz w:val="24"/>
                <w:szCs w:val="24"/>
                <w:lang w:eastAsia="lv-LV"/>
              </w:rPr>
              <w:t>, respektīvi,</w:t>
            </w:r>
            <w:r w:rsidRPr="00824B87">
              <w:rPr>
                <w:rFonts w:ascii="Times New Roman" w:eastAsia="Times New Roman" w:hAnsi="Times New Roman" w:cs="Times New Roman"/>
                <w:sz w:val="24"/>
                <w:szCs w:val="24"/>
                <w:lang w:eastAsia="lv-LV"/>
              </w:rPr>
              <w:t xml:space="preserve"> fonda kopējā riska, riska darījumu apmēra ar darījumu partneri</w:t>
            </w:r>
            <w:r w:rsidR="003840CF" w:rsidRPr="008F5AC8">
              <w:rPr>
                <w:rFonts w:ascii="Times New Roman" w:eastAsia="Times New Roman" w:hAnsi="Times New Roman" w:cs="Times New Roman"/>
                <w:sz w:val="24"/>
                <w:szCs w:val="24"/>
                <w:lang w:eastAsia="lv-LV"/>
              </w:rPr>
              <w:t xml:space="preserve"> un</w:t>
            </w:r>
            <w:r w:rsidR="00C94CFF" w:rsidRPr="00824B8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darījumu koncentrācijas riska apmēra ar vienu emitentu vai darījumu partneri aprēķināšanai, vienlaikus kontrolējot </w:t>
            </w:r>
            <w:r w:rsidR="00C94CFF" w:rsidRPr="00824B87">
              <w:rPr>
                <w:rFonts w:ascii="Times New Roman" w:eastAsia="Times New Roman" w:hAnsi="Times New Roman" w:cs="Times New Roman"/>
                <w:sz w:val="24"/>
                <w:szCs w:val="24"/>
                <w:lang w:eastAsia="lv-LV"/>
              </w:rPr>
              <w:t>L</w:t>
            </w:r>
            <w:r w:rsidRPr="00824B87">
              <w:rPr>
                <w:rFonts w:ascii="Times New Roman" w:eastAsia="Times New Roman" w:hAnsi="Times New Roman" w:cs="Times New Roman"/>
                <w:sz w:val="24"/>
                <w:szCs w:val="24"/>
                <w:lang w:eastAsia="lv-LV"/>
              </w:rPr>
              <w:t xml:space="preserve">ikumā </w:t>
            </w:r>
            <w:r w:rsidR="00BE0F45" w:rsidRPr="00824B87">
              <w:rPr>
                <w:rFonts w:ascii="Times New Roman" w:eastAsia="Times New Roman" w:hAnsi="Times New Roman" w:cs="Times New Roman"/>
                <w:sz w:val="24"/>
                <w:szCs w:val="24"/>
                <w:lang w:eastAsia="lv-LV"/>
              </w:rPr>
              <w:t xml:space="preserve">attiecīgajiem darījumiem noteikto </w:t>
            </w:r>
            <w:r w:rsidRPr="00824B87">
              <w:rPr>
                <w:rFonts w:ascii="Times New Roman" w:eastAsia="Times New Roman" w:hAnsi="Times New Roman" w:cs="Times New Roman"/>
                <w:sz w:val="24"/>
                <w:szCs w:val="24"/>
                <w:lang w:eastAsia="lv-LV"/>
              </w:rPr>
              <w:t>ierobežojumu</w:t>
            </w:r>
            <w:r w:rsidR="00BE0F45" w:rsidRPr="00824B87">
              <w:rPr>
                <w:rFonts w:ascii="Times New Roman" w:eastAsia="Times New Roman" w:hAnsi="Times New Roman" w:cs="Times New Roman"/>
                <w:sz w:val="24"/>
                <w:szCs w:val="24"/>
                <w:lang w:eastAsia="lv-LV"/>
              </w:rPr>
              <w:t xml:space="preserve"> ievērošanu</w:t>
            </w:r>
            <w:r w:rsidRPr="00824B87">
              <w:rPr>
                <w:rFonts w:ascii="Times New Roman" w:eastAsia="Times New Roman" w:hAnsi="Times New Roman" w:cs="Times New Roman"/>
                <w:sz w:val="24"/>
                <w:szCs w:val="24"/>
                <w:lang w:eastAsia="lv-LV"/>
              </w:rPr>
              <w:t>.</w:t>
            </w:r>
          </w:p>
        </w:tc>
      </w:tr>
      <w:tr w:rsidR="000B4E0A" w:rsidRPr="00824B87" w14:paraId="478E169E" w14:textId="77777777" w:rsidTr="00211300">
        <w:trPr>
          <w:trHeight w:val="567"/>
        </w:trPr>
        <w:tc>
          <w:tcPr>
            <w:tcW w:w="1092" w:type="pct"/>
            <w:shd w:val="clear" w:color="auto" w:fill="auto"/>
            <w:hideMark/>
          </w:tcPr>
          <w:p w14:paraId="38F893E2"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Samērīgums</w:t>
            </w:r>
          </w:p>
          <w:p w14:paraId="334E0AB6"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7AB677B8" w14:textId="1A1320A4" w:rsidR="00BE0F45" w:rsidRPr="00824B87" w:rsidRDefault="00BE0F45" w:rsidP="00BE0F45">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Nosakot tirgus dalībniekiem vienotas prasības fonda kopējā riska, riska darījumu apmēra ar darījumu partneri un darījumu koncentrācijas riska apmēra ar vienu emitentu vai darījumu partneri aprēķināšanai, tiek nodrošināta vienota tirgus dalībnieku izpratne un pieeja regulējošo prasību interpretācijai un piemērošanai. Ja tirgus dalībnieki neveic riska apmēr</w:t>
            </w:r>
            <w:r w:rsidR="00885F7B" w:rsidRPr="00482C42">
              <w:rPr>
                <w:rFonts w:ascii="Times New Roman" w:eastAsia="Times New Roman" w:hAnsi="Times New Roman" w:cs="Times New Roman"/>
                <w:sz w:val="24"/>
                <w:szCs w:val="24"/>
                <w:lang w:eastAsia="lv-LV"/>
              </w:rPr>
              <w:t>a</w:t>
            </w:r>
            <w:r w:rsidRPr="00824B87">
              <w:rPr>
                <w:rFonts w:ascii="Times New Roman" w:eastAsia="Times New Roman" w:hAnsi="Times New Roman" w:cs="Times New Roman"/>
                <w:sz w:val="24"/>
                <w:szCs w:val="24"/>
                <w:lang w:eastAsia="lv-LV"/>
              </w:rPr>
              <w:t xml:space="preserve"> pārvaldīšanu atbilstoši vienotām prasībām, tas var ietekmēt tirgus dalībnieku aprēķina rezultātu pareizību un attiecīgi</w:t>
            </w:r>
            <w:r w:rsidR="00BC6682" w:rsidRPr="00824B87">
              <w:rPr>
                <w:rFonts w:ascii="Times New Roman" w:eastAsia="Times New Roman" w:hAnsi="Times New Roman" w:cs="Times New Roman"/>
                <w:sz w:val="24"/>
                <w:szCs w:val="24"/>
                <w:lang w:eastAsia="lv-LV"/>
              </w:rPr>
              <w:t xml:space="preserve"> t</w:t>
            </w:r>
            <w:r w:rsidR="00885F7B" w:rsidRPr="00824B87">
              <w:rPr>
                <w:rFonts w:ascii="Times New Roman" w:eastAsia="Times New Roman" w:hAnsi="Times New Roman" w:cs="Times New Roman"/>
                <w:sz w:val="24"/>
                <w:szCs w:val="24"/>
                <w:lang w:eastAsia="lv-LV"/>
              </w:rPr>
              <w:t>o</w:t>
            </w:r>
            <w:r w:rsidR="00BC6682" w:rsidRPr="00824B87">
              <w:rPr>
                <w:rFonts w:ascii="Times New Roman" w:eastAsia="Times New Roman" w:hAnsi="Times New Roman" w:cs="Times New Roman"/>
                <w:sz w:val="24"/>
                <w:szCs w:val="24"/>
                <w:lang w:eastAsia="lv-LV"/>
              </w:rPr>
              <w:t xml:space="preserve"> darbību</w:t>
            </w:r>
            <w:r w:rsidRPr="00824B87">
              <w:rPr>
                <w:rFonts w:ascii="Times New Roman" w:eastAsia="Times New Roman" w:hAnsi="Times New Roman" w:cs="Times New Roman"/>
                <w:sz w:val="24"/>
                <w:szCs w:val="24"/>
                <w:lang w:eastAsia="lv-LV"/>
              </w:rPr>
              <w:t xml:space="preserve"> </w:t>
            </w:r>
            <w:r w:rsidR="00BC6682" w:rsidRPr="00824B87">
              <w:rPr>
                <w:rFonts w:ascii="Times New Roman" w:eastAsia="Times New Roman" w:hAnsi="Times New Roman" w:cs="Times New Roman"/>
                <w:sz w:val="24"/>
                <w:szCs w:val="24"/>
                <w:lang w:eastAsia="lv-LV"/>
              </w:rPr>
              <w:t>regulējošajās</w:t>
            </w:r>
            <w:r w:rsidRPr="00824B87">
              <w:rPr>
                <w:rFonts w:ascii="Times New Roman" w:eastAsia="Times New Roman" w:hAnsi="Times New Roman" w:cs="Times New Roman"/>
                <w:sz w:val="24"/>
                <w:szCs w:val="24"/>
                <w:lang w:eastAsia="lv-LV"/>
              </w:rPr>
              <w:t xml:space="preserve"> prasībās noteikto </w:t>
            </w:r>
            <w:r w:rsidR="00BC6682" w:rsidRPr="00824B87">
              <w:rPr>
                <w:rFonts w:ascii="Times New Roman" w:eastAsia="Times New Roman" w:hAnsi="Times New Roman" w:cs="Times New Roman"/>
                <w:sz w:val="24"/>
                <w:szCs w:val="24"/>
                <w:lang w:eastAsia="lv-LV"/>
              </w:rPr>
              <w:t>ierobežojumu</w:t>
            </w:r>
            <w:r w:rsidRPr="00824B87">
              <w:rPr>
                <w:rFonts w:ascii="Times New Roman" w:eastAsia="Times New Roman" w:hAnsi="Times New Roman" w:cs="Times New Roman"/>
                <w:sz w:val="24"/>
                <w:szCs w:val="24"/>
                <w:lang w:eastAsia="lv-LV"/>
              </w:rPr>
              <w:t xml:space="preserve"> izpildi</w:t>
            </w:r>
            <w:r w:rsidR="00BC6682" w:rsidRPr="00824B87">
              <w:rPr>
                <w:rFonts w:ascii="Times New Roman" w:eastAsia="Times New Roman" w:hAnsi="Times New Roman" w:cs="Times New Roman"/>
                <w:sz w:val="24"/>
                <w:szCs w:val="24"/>
                <w:lang w:eastAsia="lv-LV"/>
              </w:rPr>
              <w:t>,</w:t>
            </w:r>
            <w:r w:rsidRPr="00824B87">
              <w:rPr>
                <w:rFonts w:ascii="Times New Roman" w:eastAsia="Times New Roman" w:hAnsi="Times New Roman" w:cs="Times New Roman"/>
                <w:sz w:val="24"/>
                <w:szCs w:val="24"/>
                <w:lang w:eastAsia="lv-LV"/>
              </w:rPr>
              <w:t xml:space="preserve"> radīt operacionālo un reputācijas risku. Lai nodrošinātu ieguldītāju interešu aizsardzību un finanšu tirgus stabilitāti, ir būtiski pēc iespējas mazināt un novērst minētos riskus. Līdz ar to atbilstošākais veids, kā noteikt tirgus dalībniekiem vienotas prasības, ir izdot tirgus dalībniekiem saistošus noteikumus. Citas alternatīvas jautājuma noregulēšanai un vienotu prasību noteikšanai nebūtu efektīvas un nesasniegtu izvirzīto mērķi</w:t>
            </w:r>
            <w:r w:rsidR="00D01B3F" w:rsidRPr="00824B87">
              <w:rPr>
                <w:rFonts w:ascii="Times New Roman" w:eastAsia="Times New Roman" w:hAnsi="Times New Roman" w:cs="Times New Roman"/>
                <w:sz w:val="24"/>
                <w:szCs w:val="24"/>
                <w:lang w:eastAsia="lv-LV"/>
              </w:rPr>
              <w:t xml:space="preserve"> tādā pašā līmenī (kvalitātē)</w:t>
            </w:r>
            <w:r w:rsidRPr="00824B87">
              <w:rPr>
                <w:rFonts w:ascii="Times New Roman" w:eastAsia="Times New Roman" w:hAnsi="Times New Roman" w:cs="Times New Roman"/>
                <w:sz w:val="24"/>
                <w:szCs w:val="24"/>
                <w:lang w:eastAsia="lv-LV"/>
              </w:rPr>
              <w:t xml:space="preserve">, jo nenodrošinātu </w:t>
            </w:r>
            <w:r w:rsidR="00D01B3F" w:rsidRPr="00824B87">
              <w:rPr>
                <w:rFonts w:ascii="Times New Roman" w:eastAsia="Times New Roman" w:hAnsi="Times New Roman" w:cs="Times New Roman"/>
                <w:sz w:val="24"/>
                <w:szCs w:val="24"/>
                <w:lang w:eastAsia="lv-LV"/>
              </w:rPr>
              <w:t xml:space="preserve">normu </w:t>
            </w:r>
            <w:r w:rsidRPr="00824B87">
              <w:rPr>
                <w:rFonts w:ascii="Times New Roman" w:eastAsia="Times New Roman" w:hAnsi="Times New Roman" w:cs="Times New Roman"/>
                <w:sz w:val="24"/>
                <w:szCs w:val="24"/>
                <w:lang w:eastAsia="lv-LV"/>
              </w:rPr>
              <w:t>vienveidīgu piemērošanu.</w:t>
            </w:r>
          </w:p>
          <w:p w14:paraId="531BFDCD" w14:textId="5A11B971" w:rsidR="00BE0F45" w:rsidRPr="00824B87" w:rsidRDefault="00BE0F45" w:rsidP="00BE0F45">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Izraugoties piemērotāko līdzekli leģitīmā mērķa sasniegšanai, Latvijas Banka</w:t>
            </w:r>
            <w:r w:rsidR="00D01B3F" w:rsidRPr="00824B87">
              <w:rPr>
                <w:rFonts w:ascii="Times New Roman" w:eastAsia="Times New Roman" w:hAnsi="Times New Roman" w:cs="Times New Roman"/>
                <w:sz w:val="24"/>
                <w:szCs w:val="24"/>
                <w:lang w:eastAsia="lv-LV"/>
              </w:rPr>
              <w:t>s</w:t>
            </w:r>
            <w:r w:rsidRPr="00824B87">
              <w:rPr>
                <w:rFonts w:ascii="Times New Roman" w:eastAsia="Times New Roman" w:hAnsi="Times New Roman" w:cs="Times New Roman"/>
                <w:sz w:val="24"/>
                <w:szCs w:val="24"/>
                <w:lang w:eastAsia="lv-LV"/>
              </w:rPr>
              <w:t xml:space="preserve"> vērtēj</w:t>
            </w:r>
            <w:r w:rsidR="00D01B3F" w:rsidRPr="00824B87">
              <w:rPr>
                <w:rFonts w:ascii="Times New Roman" w:eastAsia="Times New Roman" w:hAnsi="Times New Roman" w:cs="Times New Roman"/>
                <w:sz w:val="24"/>
                <w:szCs w:val="24"/>
                <w:lang w:eastAsia="lv-LV"/>
              </w:rPr>
              <w:t>umā</w:t>
            </w:r>
            <w:r w:rsidRPr="00824B87">
              <w:rPr>
                <w:rFonts w:ascii="Times New Roman" w:eastAsia="Times New Roman" w:hAnsi="Times New Roman" w:cs="Times New Roman"/>
                <w:sz w:val="24"/>
                <w:szCs w:val="24"/>
                <w:lang w:eastAsia="lv-LV"/>
              </w:rPr>
              <w:t xml:space="preserve"> nebūtu atbilstoši izdot, piemēram, zemāka </w:t>
            </w:r>
            <w:r w:rsidR="00BC6682" w:rsidRPr="00824B87">
              <w:rPr>
                <w:rFonts w:ascii="Times New Roman" w:eastAsia="Times New Roman" w:hAnsi="Times New Roman" w:cs="Times New Roman"/>
                <w:sz w:val="24"/>
                <w:szCs w:val="24"/>
                <w:lang w:eastAsia="lv-LV"/>
              </w:rPr>
              <w:t>līmeņa</w:t>
            </w:r>
            <w:r w:rsidRPr="00824B87">
              <w:rPr>
                <w:rFonts w:ascii="Times New Roman" w:eastAsia="Times New Roman" w:hAnsi="Times New Roman" w:cs="Times New Roman"/>
                <w:sz w:val="24"/>
                <w:szCs w:val="24"/>
                <w:lang w:eastAsia="lv-LV"/>
              </w:rPr>
              <w:t xml:space="preserve"> normatīvos aktus, kuri nebūtu tirgus dalībniekam juridiski saistoši. Turklāt noteikumu projekta izstrādi pilnvarojošās normas skaidri norāda uz noteikumu izstrādi. Vienlaikus ar noteikumu projektu tiek noteiktas prasības, kuras Latvijas Banka</w:t>
            </w:r>
            <w:r w:rsidR="009A14BA" w:rsidRPr="00824B87">
              <w:rPr>
                <w:rFonts w:ascii="Times New Roman" w:eastAsia="Times New Roman" w:hAnsi="Times New Roman" w:cs="Times New Roman"/>
                <w:sz w:val="24"/>
                <w:szCs w:val="24"/>
                <w:lang w:eastAsia="lv-LV"/>
              </w:rPr>
              <w:t>i</w:t>
            </w:r>
            <w:r w:rsidRPr="00824B87">
              <w:rPr>
                <w:rFonts w:ascii="Times New Roman" w:eastAsia="Times New Roman" w:hAnsi="Times New Roman" w:cs="Times New Roman"/>
                <w:sz w:val="24"/>
                <w:szCs w:val="24"/>
                <w:lang w:eastAsia="lv-LV"/>
              </w:rPr>
              <w:t xml:space="preserve"> uzraudzības ietvaros </w:t>
            </w:r>
            <w:r w:rsidR="003A7F1F" w:rsidRPr="00824B87">
              <w:rPr>
                <w:rFonts w:ascii="Times New Roman" w:eastAsia="Times New Roman" w:hAnsi="Times New Roman" w:cs="Times New Roman"/>
                <w:sz w:val="24"/>
                <w:szCs w:val="24"/>
                <w:lang w:eastAsia="lv-LV"/>
              </w:rPr>
              <w:t>ir tiesības</w:t>
            </w:r>
            <w:r w:rsidRPr="00824B87">
              <w:rPr>
                <w:rFonts w:ascii="Times New Roman" w:eastAsia="Times New Roman" w:hAnsi="Times New Roman" w:cs="Times New Roman"/>
                <w:sz w:val="24"/>
                <w:szCs w:val="24"/>
                <w:lang w:eastAsia="lv-LV"/>
              </w:rPr>
              <w:t xml:space="preserve"> kontrolēt un nepieciešamības gadījumā par konkrētu prasību pārkāpumu piemērot tirgus dalībniekam korektīvos pasākumus vai sankcijas.</w:t>
            </w:r>
          </w:p>
          <w:p w14:paraId="53FDB824" w14:textId="6AD8064C" w:rsidR="00E53DE9" w:rsidRPr="00824B87" w:rsidRDefault="00BE0F45" w:rsidP="00BE0F45">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Ņemot vērā iepriekš minēto, sabiedrības ieguvums būs lielāks par papildu slogu un resursu ieguldījumu (ņemot vērā jau esošās prasības), kas konkrētajam tirgus dalībniekam varētu rasties ar uzliktajiem pienākumiem, un tos atsver sagaidāmie ilgtermiņa ieguvumi stabilāka</w:t>
            </w:r>
            <w:r w:rsidR="009A14BA" w:rsidRPr="00824B87">
              <w:rPr>
                <w:rFonts w:ascii="Times New Roman" w:eastAsia="Times New Roman" w:hAnsi="Times New Roman" w:cs="Times New Roman"/>
                <w:sz w:val="24"/>
                <w:szCs w:val="24"/>
                <w:lang w:eastAsia="lv-LV"/>
              </w:rPr>
              <w:t>s</w:t>
            </w:r>
            <w:r w:rsidRPr="00824B87">
              <w:rPr>
                <w:rFonts w:ascii="Times New Roman" w:eastAsia="Times New Roman" w:hAnsi="Times New Roman" w:cs="Times New Roman"/>
                <w:sz w:val="24"/>
                <w:szCs w:val="24"/>
                <w:lang w:eastAsia="lv-LV"/>
              </w:rPr>
              <w:t xml:space="preserve"> finanšu sektora</w:t>
            </w:r>
            <w:r w:rsidR="000F1D37" w:rsidRPr="00824B87">
              <w:rPr>
                <w:rFonts w:ascii="Times New Roman" w:eastAsia="Times New Roman" w:hAnsi="Times New Roman" w:cs="Times New Roman"/>
                <w:sz w:val="24"/>
                <w:szCs w:val="24"/>
                <w:lang w:eastAsia="lv-LV"/>
              </w:rPr>
              <w:t xml:space="preserve"> darbības</w:t>
            </w:r>
            <w:r w:rsidRPr="00824B87">
              <w:rPr>
                <w:rFonts w:ascii="Times New Roman" w:eastAsia="Times New Roman" w:hAnsi="Times New Roman" w:cs="Times New Roman"/>
                <w:sz w:val="24"/>
                <w:szCs w:val="24"/>
                <w:lang w:eastAsia="lv-LV"/>
              </w:rPr>
              <w:t xml:space="preserve"> veidā. </w:t>
            </w:r>
            <w:r w:rsidR="00BC6682" w:rsidRPr="00824B87">
              <w:rPr>
                <w:rFonts w:ascii="Times New Roman" w:eastAsia="Times New Roman" w:hAnsi="Times New Roman" w:cs="Times New Roman"/>
                <w:sz w:val="24"/>
                <w:szCs w:val="24"/>
                <w:lang w:eastAsia="lv-LV"/>
              </w:rPr>
              <w:t>N</w:t>
            </w:r>
            <w:r w:rsidRPr="00824B87">
              <w:rPr>
                <w:rFonts w:ascii="Times New Roman" w:eastAsia="Times New Roman" w:hAnsi="Times New Roman" w:cs="Times New Roman"/>
                <w:sz w:val="24"/>
                <w:szCs w:val="24"/>
                <w:lang w:eastAsia="lv-LV"/>
              </w:rPr>
              <w:t>o</w:t>
            </w:r>
            <w:r w:rsidR="00BC6682" w:rsidRPr="00824B87">
              <w:rPr>
                <w:rFonts w:ascii="Times New Roman" w:eastAsia="Times New Roman" w:hAnsi="Times New Roman" w:cs="Times New Roman"/>
                <w:sz w:val="24"/>
                <w:szCs w:val="24"/>
                <w:lang w:eastAsia="lv-LV"/>
              </w:rPr>
              <w:t>teikumu projekts</w:t>
            </w:r>
            <w:r w:rsidRPr="00824B87">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w:t>
            </w:r>
            <w:r w:rsidR="00B85A1E" w:rsidRPr="00824B87">
              <w:rPr>
                <w:rFonts w:ascii="Times New Roman" w:eastAsia="Times New Roman" w:hAnsi="Times New Roman" w:cs="Times New Roman"/>
                <w:sz w:val="24"/>
                <w:szCs w:val="24"/>
                <w:lang w:eastAsia="lv-LV"/>
              </w:rPr>
              <w:t xml:space="preserve">prasību </w:t>
            </w:r>
            <w:r w:rsidRPr="00824B87">
              <w:rPr>
                <w:rFonts w:ascii="Times New Roman" w:eastAsia="Times New Roman" w:hAnsi="Times New Roman" w:cs="Times New Roman"/>
                <w:sz w:val="24"/>
                <w:szCs w:val="24"/>
                <w:lang w:eastAsia="lv-LV"/>
              </w:rPr>
              <w:t xml:space="preserve">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w:t>
            </w:r>
            <w:r w:rsidR="00684460">
              <w:rPr>
                <w:rFonts w:ascii="Times New Roman" w:eastAsia="Times New Roman" w:hAnsi="Times New Roman" w:cs="Times New Roman"/>
                <w:sz w:val="24"/>
                <w:szCs w:val="24"/>
                <w:lang w:eastAsia="lv-LV"/>
              </w:rPr>
              <w:t xml:space="preserve">ar kuriem </w:t>
            </w:r>
            <w:r w:rsidRPr="00824B87">
              <w:rPr>
                <w:rFonts w:ascii="Times New Roman" w:eastAsia="Times New Roman" w:hAnsi="Times New Roman" w:cs="Times New Roman"/>
                <w:sz w:val="24"/>
                <w:szCs w:val="24"/>
                <w:lang w:eastAsia="lv-LV"/>
              </w:rPr>
              <w:t xml:space="preserve">leģitīmo mērķi </w:t>
            </w:r>
            <w:r w:rsidR="00684460">
              <w:rPr>
                <w:rFonts w:ascii="Times New Roman" w:eastAsia="Times New Roman" w:hAnsi="Times New Roman" w:cs="Times New Roman"/>
                <w:sz w:val="24"/>
                <w:szCs w:val="24"/>
                <w:lang w:eastAsia="lv-LV"/>
              </w:rPr>
              <w:t xml:space="preserve">varētu sasniegt </w:t>
            </w:r>
            <w:r w:rsidRPr="00824B87">
              <w:rPr>
                <w:rFonts w:ascii="Times New Roman" w:eastAsia="Times New Roman" w:hAnsi="Times New Roman" w:cs="Times New Roman"/>
                <w:sz w:val="24"/>
                <w:szCs w:val="24"/>
                <w:lang w:eastAsia="lv-LV"/>
              </w:rPr>
              <w:t>tādā pašā kvalitātē.</w:t>
            </w:r>
          </w:p>
        </w:tc>
      </w:tr>
      <w:tr w:rsidR="000B4E0A" w:rsidRPr="00824B87" w14:paraId="76EA3413" w14:textId="77777777" w:rsidTr="00211300">
        <w:trPr>
          <w:trHeight w:val="567"/>
        </w:trPr>
        <w:tc>
          <w:tcPr>
            <w:tcW w:w="1092" w:type="pct"/>
            <w:shd w:val="clear" w:color="auto" w:fill="auto"/>
            <w:hideMark/>
          </w:tcPr>
          <w:p w14:paraId="31068790"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Spēkā stāšanās</w:t>
            </w:r>
          </w:p>
          <w:p w14:paraId="628B62D2"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185B0562" w14:textId="0313AF4A" w:rsidR="00CA28AB" w:rsidRPr="00824B87" w:rsidRDefault="00BC6682" w:rsidP="00482C42">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Nākamajā dienā pēc publicēšanas oficiālajā izdevumā "Latvijas Vēstnesis".</w:t>
            </w:r>
          </w:p>
        </w:tc>
      </w:tr>
      <w:tr w:rsidR="000B4E0A" w:rsidRPr="00824B87" w14:paraId="3989B2CF" w14:textId="77777777" w:rsidTr="00211300">
        <w:trPr>
          <w:trHeight w:val="567"/>
        </w:trPr>
        <w:tc>
          <w:tcPr>
            <w:tcW w:w="1092" w:type="pct"/>
            <w:shd w:val="clear" w:color="auto" w:fill="auto"/>
            <w:hideMark/>
          </w:tcPr>
          <w:p w14:paraId="11DCB4F1"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Ietekme uz Latvijas Bankas budžetu</w:t>
            </w:r>
          </w:p>
          <w:p w14:paraId="5B1634BA"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7DF19FBB" w14:textId="572F09D0" w:rsidR="00E53DE9" w:rsidRPr="00824B87" w:rsidRDefault="00BC6682" w:rsidP="000B4E0A">
            <w:pPr>
              <w:spacing w:after="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izdošana nerada ietekmi uz Latvijas Bankas budžetu.</w:t>
            </w:r>
          </w:p>
        </w:tc>
      </w:tr>
      <w:tr w:rsidR="000B4E0A" w:rsidRPr="00824B87" w14:paraId="53B03583" w14:textId="77777777" w:rsidTr="00211300">
        <w:trPr>
          <w:trHeight w:val="567"/>
        </w:trPr>
        <w:tc>
          <w:tcPr>
            <w:tcW w:w="1092" w:type="pct"/>
            <w:shd w:val="clear" w:color="auto" w:fill="auto"/>
            <w:hideMark/>
          </w:tcPr>
          <w:p w14:paraId="729D7BFF"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Administratīvā sloga un izmaksu novērtējums </w:t>
            </w:r>
            <w:r w:rsidR="00C85C34" w:rsidRPr="00824B87">
              <w:rPr>
                <w:rFonts w:ascii="Times New Roman" w:eastAsia="Times New Roman" w:hAnsi="Times New Roman" w:cs="Times New Roman"/>
                <w:b/>
                <w:bCs/>
                <w:sz w:val="24"/>
                <w:szCs w:val="24"/>
                <w:lang w:eastAsia="lv-LV"/>
              </w:rPr>
              <w:t>(</w:t>
            </w:r>
            <w:r w:rsidRPr="00824B87">
              <w:rPr>
                <w:rFonts w:ascii="Times New Roman" w:eastAsia="Times New Roman" w:hAnsi="Times New Roman" w:cs="Times New Roman"/>
                <w:b/>
                <w:bCs/>
                <w:sz w:val="24"/>
                <w:szCs w:val="24"/>
                <w:lang w:eastAsia="lv-LV"/>
              </w:rPr>
              <w:t>tirgus dalībniekiem</w:t>
            </w:r>
            <w:r w:rsidR="00C85C34" w:rsidRPr="00824B87">
              <w:rPr>
                <w:rFonts w:ascii="Times New Roman" w:eastAsia="Times New Roman" w:hAnsi="Times New Roman" w:cs="Times New Roman"/>
                <w:b/>
                <w:bCs/>
                <w:sz w:val="24"/>
                <w:szCs w:val="24"/>
                <w:lang w:eastAsia="lv-LV"/>
              </w:rPr>
              <w:t>)</w:t>
            </w:r>
          </w:p>
          <w:p w14:paraId="1EAAECCF"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1E4B8EC1" w14:textId="10C33360" w:rsidR="00A42788" w:rsidRPr="00824B87" w:rsidRDefault="00BC6682" w:rsidP="003B41EF">
            <w:pPr>
              <w:spacing w:after="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Ar noteikumu projektu netiek ieviestas jaunas prasības, procedūras vai kārtība fonda kopējā riska, riska darījumu apmēra ar darījumu partneri un darījumu koncentrācijas riska apmēra ar vienu emitentu vai darījumu partneri aprēķināšanai</w:t>
            </w:r>
            <w:r w:rsidR="003B41EF" w:rsidRPr="00824B87">
              <w:rPr>
                <w:rFonts w:ascii="Times New Roman" w:eastAsia="Times New Roman" w:hAnsi="Times New Roman" w:cs="Times New Roman"/>
                <w:sz w:val="24"/>
                <w:szCs w:val="24"/>
                <w:lang w:eastAsia="lv-LV"/>
              </w:rPr>
              <w:t>, saglabājot</w:t>
            </w:r>
            <w:r w:rsidRPr="00824B87">
              <w:rPr>
                <w:rFonts w:ascii="Times New Roman" w:eastAsia="Times New Roman" w:hAnsi="Times New Roman" w:cs="Times New Roman"/>
                <w:sz w:val="24"/>
                <w:szCs w:val="24"/>
                <w:lang w:eastAsia="lv-LV"/>
              </w:rPr>
              <w:t xml:space="preserve"> </w:t>
            </w:r>
            <w:r w:rsidR="00840AA7" w:rsidRPr="00824B87">
              <w:rPr>
                <w:rFonts w:ascii="Times New Roman" w:eastAsia="Times New Roman" w:hAnsi="Times New Roman" w:cs="Times New Roman"/>
                <w:sz w:val="24"/>
                <w:szCs w:val="24"/>
                <w:lang w:eastAsia="lv-LV"/>
              </w:rPr>
              <w:t xml:space="preserve">šobrīd </w:t>
            </w:r>
            <w:r w:rsidRPr="00824B87">
              <w:rPr>
                <w:rFonts w:ascii="Times New Roman" w:eastAsia="Times New Roman" w:hAnsi="Times New Roman" w:cs="Times New Roman"/>
                <w:sz w:val="24"/>
                <w:szCs w:val="24"/>
                <w:lang w:eastAsia="lv-LV"/>
              </w:rPr>
              <w:t>spēkā jau esošās prasības</w:t>
            </w:r>
            <w:r w:rsidR="00DB38CA" w:rsidRPr="00824B87">
              <w:rPr>
                <w:rFonts w:ascii="Times New Roman" w:eastAsia="Times New Roman" w:hAnsi="Times New Roman" w:cs="Times New Roman"/>
                <w:sz w:val="24"/>
                <w:szCs w:val="24"/>
                <w:lang w:eastAsia="lv-LV"/>
              </w:rPr>
              <w:t>, kuras noteiktas Finanšu un kapitāla tirgus komisijas 2020.</w:t>
            </w:r>
            <w:r w:rsidR="009A14BA" w:rsidRPr="00824B87">
              <w:rPr>
                <w:rFonts w:ascii="Times New Roman" w:eastAsia="Times New Roman" w:hAnsi="Times New Roman" w:cs="Times New Roman"/>
                <w:sz w:val="24"/>
                <w:szCs w:val="24"/>
                <w:lang w:eastAsia="lv-LV"/>
              </w:rPr>
              <w:t> </w:t>
            </w:r>
            <w:r w:rsidR="00DB38CA" w:rsidRPr="00824B87">
              <w:rPr>
                <w:rFonts w:ascii="Times New Roman" w:eastAsia="Times New Roman" w:hAnsi="Times New Roman" w:cs="Times New Roman"/>
                <w:sz w:val="24"/>
                <w:szCs w:val="24"/>
                <w:lang w:eastAsia="lv-LV"/>
              </w:rPr>
              <w:t xml:space="preserve">gada </w:t>
            </w:r>
            <w:r w:rsidR="00DB38CA" w:rsidRPr="00824B87">
              <w:rPr>
                <w:rFonts w:ascii="Times New Roman" w:eastAsia="Times New Roman" w:hAnsi="Times New Roman" w:cs="Times New Roman"/>
                <w:sz w:val="24"/>
                <w:szCs w:val="24"/>
                <w:lang w:eastAsia="lv-LV"/>
              </w:rPr>
              <w:lastRenderedPageBreak/>
              <w:t>1.</w:t>
            </w:r>
            <w:r w:rsidR="009A14BA" w:rsidRPr="00824B87">
              <w:rPr>
                <w:rFonts w:ascii="Times New Roman" w:eastAsia="Times New Roman" w:hAnsi="Times New Roman" w:cs="Times New Roman"/>
                <w:sz w:val="24"/>
                <w:szCs w:val="24"/>
                <w:lang w:eastAsia="lv-LV"/>
              </w:rPr>
              <w:t> </w:t>
            </w:r>
            <w:r w:rsidR="00DB38CA" w:rsidRPr="00824B87">
              <w:rPr>
                <w:rFonts w:ascii="Times New Roman" w:eastAsia="Times New Roman" w:hAnsi="Times New Roman" w:cs="Times New Roman"/>
                <w:sz w:val="24"/>
                <w:szCs w:val="24"/>
                <w:lang w:eastAsia="lv-LV"/>
              </w:rPr>
              <w:t>septembra normatīvajos noteikumos Nr.</w:t>
            </w:r>
            <w:r w:rsidR="009A14BA" w:rsidRPr="00824B87">
              <w:rPr>
                <w:rFonts w:ascii="Times New Roman" w:eastAsia="Times New Roman" w:hAnsi="Times New Roman" w:cs="Times New Roman"/>
                <w:sz w:val="24"/>
                <w:szCs w:val="24"/>
                <w:lang w:eastAsia="lv-LV"/>
              </w:rPr>
              <w:t> </w:t>
            </w:r>
            <w:r w:rsidR="00DB38CA" w:rsidRPr="00824B87">
              <w:rPr>
                <w:rFonts w:ascii="Times New Roman" w:eastAsia="Times New Roman" w:hAnsi="Times New Roman" w:cs="Times New Roman"/>
                <w:sz w:val="24"/>
                <w:szCs w:val="24"/>
                <w:lang w:eastAsia="lv-LV"/>
              </w:rPr>
              <w:t>147 "Fonda kopējā riska un riska darījumu apmēra ar darījumu partneri aprēķināšanas normatīvie noteikumi"</w:t>
            </w:r>
            <w:r w:rsidRPr="00824B87">
              <w:rPr>
                <w:rFonts w:ascii="Times New Roman" w:eastAsia="Times New Roman" w:hAnsi="Times New Roman" w:cs="Times New Roman"/>
                <w:sz w:val="24"/>
                <w:szCs w:val="24"/>
                <w:lang w:eastAsia="lv-LV"/>
              </w:rPr>
              <w:t>.</w:t>
            </w:r>
            <w:r w:rsidR="00DB38CA" w:rsidRPr="00482C42">
              <w:rPr>
                <w:rFonts w:ascii="Times New Roman" w:hAnsi="Times New Roman" w:cs="Times New Roman"/>
              </w:rPr>
              <w:t xml:space="preserve"> </w:t>
            </w:r>
            <w:r w:rsidR="003A7F1F" w:rsidRPr="00824B87">
              <w:rPr>
                <w:rFonts w:ascii="Times New Roman" w:eastAsia="Times New Roman" w:hAnsi="Times New Roman" w:cs="Times New Roman"/>
                <w:sz w:val="24"/>
                <w:szCs w:val="24"/>
                <w:lang w:eastAsia="lv-LV"/>
              </w:rPr>
              <w:t xml:space="preserve">Līdz ar to </w:t>
            </w:r>
            <w:r w:rsidR="00DB38CA" w:rsidRPr="00824B87">
              <w:rPr>
                <w:rFonts w:ascii="Times New Roman" w:eastAsia="Times New Roman" w:hAnsi="Times New Roman" w:cs="Times New Roman"/>
                <w:sz w:val="24"/>
                <w:szCs w:val="24"/>
                <w:lang w:eastAsia="lv-LV"/>
              </w:rPr>
              <w:t>papildu administratīvo slogu un jaunas administratīvās izmaksas noteikumu projekts tirgus dalībniekiem nerada.</w:t>
            </w:r>
          </w:p>
        </w:tc>
      </w:tr>
      <w:tr w:rsidR="000B4E0A" w:rsidRPr="00824B87" w14:paraId="787EF89A" w14:textId="77777777" w:rsidTr="00211300">
        <w:trPr>
          <w:trHeight w:val="567"/>
        </w:trPr>
        <w:tc>
          <w:tcPr>
            <w:tcW w:w="1092" w:type="pct"/>
            <w:shd w:val="clear" w:color="auto" w:fill="auto"/>
            <w:hideMark/>
          </w:tcPr>
          <w:p w14:paraId="2A01D3A9" w14:textId="77777777" w:rsidR="00A42788" w:rsidRPr="007712DA" w:rsidRDefault="00A42788" w:rsidP="000B4E0A">
            <w:pPr>
              <w:spacing w:after="0" w:line="240" w:lineRule="auto"/>
              <w:rPr>
                <w:rFonts w:ascii="Times New Roman" w:eastAsia="Times New Roman" w:hAnsi="Times New Roman" w:cs="Times New Roman"/>
                <w:b/>
                <w:bCs/>
                <w:sz w:val="24"/>
                <w:szCs w:val="24"/>
                <w:lang w:eastAsia="lv-LV"/>
              </w:rPr>
            </w:pPr>
            <w:r w:rsidRPr="007712DA">
              <w:rPr>
                <w:rFonts w:ascii="Times New Roman" w:eastAsia="Times New Roman" w:hAnsi="Times New Roman" w:cs="Times New Roman"/>
                <w:b/>
                <w:bCs/>
                <w:sz w:val="24"/>
                <w:szCs w:val="24"/>
                <w:lang w:eastAsia="lv-LV"/>
              </w:rPr>
              <w:lastRenderedPageBreak/>
              <w:t>Saistītie dokumenti</w:t>
            </w:r>
          </w:p>
          <w:p w14:paraId="2321B18B" w14:textId="77777777" w:rsidR="00CA28AB" w:rsidRPr="007712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5EA4EF58" w14:textId="3FA42098" w:rsidR="00E53DE9" w:rsidRPr="00824B87" w:rsidRDefault="003B41EF" w:rsidP="003B41EF">
            <w:pPr>
              <w:spacing w:after="0" w:line="240" w:lineRule="auto"/>
              <w:jc w:val="both"/>
              <w:rPr>
                <w:rFonts w:ascii="Times New Roman" w:eastAsia="Times New Roman" w:hAnsi="Times New Roman" w:cs="Times New Roman"/>
                <w:sz w:val="24"/>
                <w:szCs w:val="24"/>
                <w:lang w:eastAsia="lv-LV"/>
              </w:rPr>
            </w:pPr>
            <w:r w:rsidRPr="007712DA">
              <w:rPr>
                <w:rFonts w:ascii="Times New Roman" w:eastAsia="Times New Roman" w:hAnsi="Times New Roman" w:cs="Times New Roman"/>
                <w:sz w:val="24"/>
                <w:szCs w:val="24"/>
                <w:lang w:eastAsia="lv-LV"/>
              </w:rPr>
              <w:t>Līdz ar noteikumu projekta stāšanos spēkā spēku zaudēs Finanšu un kapitāla tirgus komisijas 2020.</w:t>
            </w:r>
            <w:r w:rsidR="009A14BA" w:rsidRPr="007712DA">
              <w:rPr>
                <w:rFonts w:ascii="Times New Roman" w:eastAsia="Times New Roman" w:hAnsi="Times New Roman" w:cs="Times New Roman"/>
                <w:sz w:val="24"/>
                <w:szCs w:val="24"/>
                <w:lang w:eastAsia="lv-LV"/>
              </w:rPr>
              <w:t> </w:t>
            </w:r>
            <w:r w:rsidRPr="007712DA">
              <w:rPr>
                <w:rFonts w:ascii="Times New Roman" w:eastAsia="Times New Roman" w:hAnsi="Times New Roman" w:cs="Times New Roman"/>
                <w:sz w:val="24"/>
                <w:szCs w:val="24"/>
                <w:lang w:eastAsia="lv-LV"/>
              </w:rPr>
              <w:t>gada 1.</w:t>
            </w:r>
            <w:r w:rsidR="009A14BA" w:rsidRPr="007712DA">
              <w:rPr>
                <w:rFonts w:ascii="Times New Roman" w:eastAsia="Times New Roman" w:hAnsi="Times New Roman" w:cs="Times New Roman"/>
                <w:sz w:val="24"/>
                <w:szCs w:val="24"/>
                <w:lang w:eastAsia="lv-LV"/>
              </w:rPr>
              <w:t> </w:t>
            </w:r>
            <w:r w:rsidRPr="007712DA">
              <w:rPr>
                <w:rFonts w:ascii="Times New Roman" w:eastAsia="Times New Roman" w:hAnsi="Times New Roman" w:cs="Times New Roman"/>
                <w:sz w:val="24"/>
                <w:szCs w:val="24"/>
                <w:lang w:eastAsia="lv-LV"/>
              </w:rPr>
              <w:t>septembra normatīvie noteikumi Nr.</w:t>
            </w:r>
            <w:r w:rsidR="009A14BA" w:rsidRPr="007712DA">
              <w:rPr>
                <w:rFonts w:ascii="Times New Roman" w:eastAsia="Times New Roman" w:hAnsi="Times New Roman" w:cs="Times New Roman"/>
                <w:sz w:val="24"/>
                <w:szCs w:val="24"/>
                <w:lang w:eastAsia="lv-LV"/>
              </w:rPr>
              <w:t> </w:t>
            </w:r>
            <w:r w:rsidRPr="007712DA">
              <w:rPr>
                <w:rFonts w:ascii="Times New Roman" w:eastAsia="Times New Roman" w:hAnsi="Times New Roman" w:cs="Times New Roman"/>
                <w:sz w:val="24"/>
                <w:szCs w:val="24"/>
                <w:lang w:eastAsia="lv-LV"/>
              </w:rPr>
              <w:t>147 "Fonda kopējā riska un riska darījumu apmēra ar darījumu partneri aprēķināšanas normatīvie noteikumi"</w:t>
            </w:r>
            <w:r w:rsidR="003A7F1F" w:rsidRPr="007712DA">
              <w:rPr>
                <w:rFonts w:ascii="Times New Roman" w:eastAsia="Times New Roman" w:hAnsi="Times New Roman" w:cs="Times New Roman"/>
                <w:sz w:val="24"/>
                <w:szCs w:val="24"/>
                <w:lang w:eastAsia="lv-LV"/>
              </w:rPr>
              <w:t>.</w:t>
            </w:r>
          </w:p>
        </w:tc>
      </w:tr>
      <w:tr w:rsidR="000B4E0A" w:rsidRPr="00824B87" w14:paraId="7D7C647B" w14:textId="77777777" w:rsidTr="00211300">
        <w:trPr>
          <w:trHeight w:val="567"/>
        </w:trPr>
        <w:tc>
          <w:tcPr>
            <w:tcW w:w="1092" w:type="pct"/>
            <w:shd w:val="clear" w:color="auto" w:fill="auto"/>
            <w:hideMark/>
          </w:tcPr>
          <w:p w14:paraId="3A1432E4" w14:textId="77777777" w:rsidR="00A42788" w:rsidRPr="00824B87" w:rsidRDefault="00A42788" w:rsidP="000B4E0A">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Eiropas Centrālo banku</w:t>
            </w:r>
          </w:p>
          <w:p w14:paraId="33F133EA" w14:textId="77777777" w:rsidR="00CA28AB" w:rsidRPr="00824B87"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47615EBD" w14:textId="49748C49" w:rsidR="00A42788" w:rsidRPr="00824B87" w:rsidRDefault="003B41EF" w:rsidP="0009616F">
            <w:pPr>
              <w:spacing w:after="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nav jāsaskaņo ar Eiropas Centrālo banku.</w:t>
            </w:r>
          </w:p>
        </w:tc>
      </w:tr>
      <w:tr w:rsidR="00831F16" w:rsidRPr="00824B87" w14:paraId="3B5BE58A" w14:textId="77777777" w:rsidTr="00211300">
        <w:trPr>
          <w:trHeight w:val="567"/>
        </w:trPr>
        <w:tc>
          <w:tcPr>
            <w:tcW w:w="1092" w:type="pct"/>
            <w:shd w:val="clear" w:color="auto" w:fill="auto"/>
            <w:hideMark/>
          </w:tcPr>
          <w:p w14:paraId="2827AB23" w14:textId="77777777" w:rsidR="00831F16" w:rsidRPr="00824B87" w:rsidRDefault="00831F16" w:rsidP="00831F16">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citām publiskām un privātām personām</w:t>
            </w:r>
          </w:p>
          <w:p w14:paraId="14DD1949" w14:textId="77777777" w:rsidR="00831F16" w:rsidRPr="00824B87" w:rsidRDefault="00831F16" w:rsidP="00831F16">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11FC882" w14:textId="6AEBEDDA" w:rsidR="00831F16" w:rsidRPr="00327536" w:rsidRDefault="00831F16" w:rsidP="00CC228E">
            <w:pPr>
              <w:spacing w:after="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Noteikumu projekts tika publicēts Latvijas Bankas tīmekļvietnes</w:t>
            </w:r>
            <w:r>
              <w:rPr>
                <w:rFonts w:ascii="Times New Roman" w:eastAsia="Times New Roman" w:hAnsi="Times New Roman" w:cs="Times New Roman"/>
                <w:sz w:val="24"/>
                <w:szCs w:val="24"/>
                <w:lang w:eastAsia="lv-LV"/>
              </w:rPr>
              <w:t xml:space="preserve"> </w:t>
            </w:r>
            <w:hyperlink r:id="rId14" w:history="1">
              <w:r w:rsidRPr="00481EB2">
                <w:rPr>
                  <w:rStyle w:val="Hipersaite"/>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sadaļā "Sabiedrības līdzdalība", un līdz 202</w:t>
            </w:r>
            <w:r>
              <w:rPr>
                <w:rFonts w:ascii="Times New Roman" w:eastAsia="Times New Roman" w:hAnsi="Times New Roman" w:cs="Times New Roman"/>
                <w:sz w:val="24"/>
                <w:szCs w:val="24"/>
                <w:lang w:eastAsia="lv-LV"/>
              </w:rPr>
              <w:t>3</w:t>
            </w:r>
            <w:r w:rsidRPr="000C29D8">
              <w:rPr>
                <w:rFonts w:ascii="Times New Roman" w:eastAsia="Times New Roman" w:hAnsi="Times New Roman" w:cs="Times New Roman"/>
                <w:sz w:val="24"/>
                <w:szCs w:val="24"/>
                <w:lang w:eastAsia="lv-LV"/>
              </w:rPr>
              <w:t>. gada</w:t>
            </w:r>
            <w:r w:rsidR="00CC22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11</w:t>
            </w:r>
            <w:r w:rsidRPr="000C29D8">
              <w:rPr>
                <w:rFonts w:ascii="Times New Roman" w:eastAsia="Times New Roman" w:hAnsi="Times New Roman" w:cs="Times New Roman"/>
                <w:sz w:val="24"/>
                <w:szCs w:val="24"/>
                <w:lang w:eastAsia="lv-LV"/>
              </w:rPr>
              <w:t>.</w:t>
            </w:r>
            <w:r w:rsidR="00D77C4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oktobrim</w:t>
            </w:r>
            <w:r w:rsidRPr="000C29D8">
              <w:rPr>
                <w:rFonts w:ascii="Times New Roman" w:eastAsia="Times New Roman" w:hAnsi="Times New Roman" w:cs="Times New Roman"/>
                <w:sz w:val="24"/>
                <w:szCs w:val="24"/>
                <w:lang w:eastAsia="lv-LV"/>
              </w:rPr>
              <w:t xml:space="preserve"> sabiedrība</w:t>
            </w:r>
            <w:r>
              <w:rPr>
                <w:rFonts w:ascii="Times New Roman" w:eastAsia="Times New Roman" w:hAnsi="Times New Roman" w:cs="Times New Roman"/>
                <w:sz w:val="24"/>
                <w:szCs w:val="24"/>
                <w:lang w:eastAsia="lv-LV"/>
              </w:rPr>
              <w:t>i</w:t>
            </w:r>
            <w:r w:rsidRPr="000C29D8">
              <w:rPr>
                <w:rFonts w:ascii="Times New Roman" w:eastAsia="Times New Roman" w:hAnsi="Times New Roman" w:cs="Times New Roman"/>
                <w:sz w:val="24"/>
                <w:szCs w:val="24"/>
                <w:lang w:eastAsia="lv-LV"/>
              </w:rPr>
              <w:t xml:space="preserve"> bija iespēja</w:t>
            </w:r>
            <w:r>
              <w:rPr>
                <w:rFonts w:ascii="Times New Roman" w:eastAsia="Times New Roman" w:hAnsi="Times New Roman" w:cs="Times New Roman"/>
                <w:sz w:val="24"/>
                <w:szCs w:val="24"/>
                <w:lang w:eastAsia="lv-LV"/>
              </w:rPr>
              <w:t xml:space="preserve"> iesaistīties tā apspriešanā</w:t>
            </w:r>
            <w:r w:rsidRPr="000C29D8">
              <w:rPr>
                <w:rFonts w:ascii="Times New Roman" w:eastAsia="Times New Roman" w:hAnsi="Times New Roman" w:cs="Times New Roman"/>
                <w:sz w:val="24"/>
                <w:szCs w:val="24"/>
                <w:lang w:eastAsia="lv-LV"/>
              </w:rPr>
              <w:t xml:space="preserve">. Vienlaikus par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oteikumu projektu un notiekošo sabiedrības līdzdalību tika informēta Latvijas Finanšu nozares asociācija</w:t>
            </w:r>
            <w:r>
              <w:rPr>
                <w:rFonts w:ascii="Times New Roman" w:eastAsia="Times New Roman" w:hAnsi="Times New Roman" w:cs="Times New Roman"/>
                <w:sz w:val="24"/>
                <w:szCs w:val="24"/>
                <w:lang w:eastAsia="lv-LV"/>
              </w:rPr>
              <w:t xml:space="preserve">. </w:t>
            </w:r>
          </w:p>
        </w:tc>
      </w:tr>
      <w:tr w:rsidR="00831F16" w:rsidRPr="00824B87" w14:paraId="22ACDFFC" w14:textId="77777777" w:rsidTr="00211300">
        <w:trPr>
          <w:trHeight w:val="567"/>
        </w:trPr>
        <w:tc>
          <w:tcPr>
            <w:tcW w:w="1092" w:type="pct"/>
            <w:shd w:val="clear" w:color="auto" w:fill="auto"/>
            <w:hideMark/>
          </w:tcPr>
          <w:p w14:paraId="4F81AF75" w14:textId="77777777" w:rsidR="00831F16" w:rsidRPr="00327536" w:rsidRDefault="00831F16" w:rsidP="00831F16">
            <w:pPr>
              <w:spacing w:after="0" w:line="240" w:lineRule="auto"/>
              <w:rPr>
                <w:rFonts w:ascii="Times New Roman" w:eastAsia="Times New Roman" w:hAnsi="Times New Roman" w:cs="Times New Roman"/>
                <w:b/>
                <w:bCs/>
                <w:sz w:val="24"/>
                <w:szCs w:val="24"/>
                <w:lang w:eastAsia="lv-LV"/>
              </w:rPr>
            </w:pPr>
            <w:r w:rsidRPr="00327536">
              <w:rPr>
                <w:rFonts w:ascii="Times New Roman" w:eastAsia="Times New Roman" w:hAnsi="Times New Roman" w:cs="Times New Roman"/>
                <w:b/>
                <w:bCs/>
                <w:sz w:val="24"/>
                <w:szCs w:val="24"/>
                <w:lang w:eastAsia="lv-LV"/>
              </w:rPr>
              <w:t>Saskaņošanas rezultāti</w:t>
            </w:r>
          </w:p>
          <w:p w14:paraId="3D34F605" w14:textId="77777777" w:rsidR="00831F16" w:rsidRPr="00327536" w:rsidRDefault="00831F16" w:rsidP="00831F16">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33CEE17A" w14:textId="213246C2" w:rsidR="00831F16" w:rsidRPr="00824B87" w:rsidRDefault="00831F16" w:rsidP="00831F16">
            <w:pPr>
              <w:spacing w:after="0" w:line="240" w:lineRule="auto"/>
              <w:jc w:val="both"/>
              <w:rPr>
                <w:rFonts w:ascii="Times New Roman" w:eastAsia="Times New Roman" w:hAnsi="Times New Roman" w:cs="Times New Roman"/>
                <w:sz w:val="24"/>
                <w:szCs w:val="24"/>
                <w:lang w:eastAsia="lv-LV"/>
              </w:rPr>
            </w:pPr>
            <w:r w:rsidRPr="00743043">
              <w:rPr>
                <w:rFonts w:ascii="Times New Roman" w:eastAsia="Times New Roman" w:hAnsi="Times New Roman" w:cs="Times New Roman"/>
                <w:sz w:val="24"/>
                <w:szCs w:val="24"/>
                <w:lang w:eastAsia="lv-LV"/>
              </w:rPr>
              <w:t>Sabiedrības līdzdalība</w:t>
            </w:r>
            <w:r>
              <w:rPr>
                <w:rFonts w:ascii="Times New Roman" w:eastAsia="Times New Roman" w:hAnsi="Times New Roman" w:cs="Times New Roman"/>
                <w:sz w:val="24"/>
                <w:szCs w:val="24"/>
                <w:lang w:eastAsia="lv-LV"/>
              </w:rPr>
              <w:t xml:space="preserve">s </w:t>
            </w:r>
            <w:r w:rsidRPr="000C29D8">
              <w:rPr>
                <w:rFonts w:ascii="Times New Roman" w:eastAsia="Times New Roman" w:hAnsi="Times New Roman" w:cs="Times New Roman"/>
                <w:sz w:val="24"/>
                <w:szCs w:val="24"/>
                <w:lang w:eastAsia="lv-LV"/>
              </w:rPr>
              <w:t xml:space="preserve">rezultātā par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 xml:space="preserve">oteikumu projektu netika saņemti iebildumi vai priekšlikumi. </w:t>
            </w:r>
            <w:r>
              <w:rPr>
                <w:rFonts w:ascii="Times New Roman" w:eastAsia="Times New Roman" w:hAnsi="Times New Roman" w:cs="Times New Roman"/>
                <w:sz w:val="24"/>
                <w:szCs w:val="24"/>
                <w:lang w:eastAsia="lv-LV"/>
              </w:rPr>
              <w:t>Līdz ar to</w:t>
            </w:r>
            <w:r w:rsidRPr="000C29D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oteikumu projekts ir saskaņots bez priekšlikumiem vai iebildumiem</w:t>
            </w:r>
            <w:r>
              <w:rPr>
                <w:rFonts w:ascii="Times New Roman" w:eastAsia="Times New Roman" w:hAnsi="Times New Roman" w:cs="Times New Roman"/>
                <w:sz w:val="24"/>
                <w:szCs w:val="24"/>
                <w:lang w:eastAsia="lv-LV"/>
              </w:rPr>
              <w:t>.</w:t>
            </w:r>
          </w:p>
        </w:tc>
      </w:tr>
    </w:tbl>
    <w:p w14:paraId="5D199824" w14:textId="77777777" w:rsidR="009B27BE" w:rsidRPr="00824B87" w:rsidRDefault="009B27BE" w:rsidP="0049248A">
      <w:pPr>
        <w:spacing w:after="0" w:line="240" w:lineRule="auto"/>
        <w:rPr>
          <w:rFonts w:ascii="Times New Roman" w:hAnsi="Times New Roman" w:cs="Times New Roman"/>
          <w:sz w:val="24"/>
          <w:szCs w:val="24"/>
        </w:rPr>
      </w:pPr>
    </w:p>
    <w:p w14:paraId="39EE95DD" w14:textId="77777777" w:rsidR="00E53DE9" w:rsidRDefault="00E53DE9" w:rsidP="0049248A">
      <w:pPr>
        <w:spacing w:after="0" w:line="240" w:lineRule="auto"/>
        <w:rPr>
          <w:rFonts w:ascii="Times New Roman" w:hAnsi="Times New Roman" w:cs="Times New Roman"/>
          <w:sz w:val="24"/>
          <w:szCs w:val="24"/>
        </w:rPr>
      </w:pPr>
    </w:p>
    <w:p w14:paraId="4F649534" w14:textId="77777777" w:rsidR="008F5AC8" w:rsidRDefault="008F5AC8" w:rsidP="0049248A">
      <w:pPr>
        <w:spacing w:after="0" w:line="240" w:lineRule="auto"/>
        <w:rPr>
          <w:rFonts w:ascii="Times New Roman" w:hAnsi="Times New Roman" w:cs="Times New Roman"/>
          <w:sz w:val="24"/>
          <w:szCs w:val="24"/>
        </w:rPr>
      </w:pPr>
    </w:p>
    <w:p w14:paraId="6332985E" w14:textId="77777777" w:rsidR="008F5AC8" w:rsidRDefault="008F5AC8" w:rsidP="0049248A">
      <w:pPr>
        <w:spacing w:after="0" w:line="240" w:lineRule="auto"/>
        <w:rPr>
          <w:rFonts w:ascii="Times New Roman" w:hAnsi="Times New Roman" w:cs="Times New Roman"/>
          <w:sz w:val="24"/>
          <w:szCs w:val="24"/>
        </w:rPr>
      </w:pPr>
    </w:p>
    <w:p w14:paraId="55A77A02" w14:textId="77777777" w:rsidR="008F5AC8" w:rsidRDefault="008F5AC8" w:rsidP="0049248A">
      <w:pPr>
        <w:spacing w:after="0" w:line="240" w:lineRule="auto"/>
        <w:rPr>
          <w:rFonts w:ascii="Times New Roman" w:hAnsi="Times New Roman" w:cs="Times New Roman"/>
          <w:sz w:val="24"/>
          <w:szCs w:val="24"/>
        </w:rPr>
      </w:pPr>
    </w:p>
    <w:p w14:paraId="561A7288" w14:textId="77777777" w:rsidR="008F5AC8" w:rsidRDefault="008F5AC8" w:rsidP="0049248A">
      <w:pPr>
        <w:spacing w:after="0" w:line="240" w:lineRule="auto"/>
        <w:rPr>
          <w:rFonts w:ascii="Times New Roman" w:hAnsi="Times New Roman" w:cs="Times New Roman"/>
          <w:sz w:val="24"/>
          <w:szCs w:val="24"/>
        </w:rPr>
      </w:pPr>
    </w:p>
    <w:p w14:paraId="4B5E77B2" w14:textId="77777777" w:rsidR="008F5AC8" w:rsidRDefault="008F5AC8" w:rsidP="0049248A">
      <w:pPr>
        <w:spacing w:after="0" w:line="240" w:lineRule="auto"/>
        <w:rPr>
          <w:rFonts w:ascii="Times New Roman" w:hAnsi="Times New Roman" w:cs="Times New Roman"/>
          <w:sz w:val="24"/>
          <w:szCs w:val="24"/>
        </w:rPr>
      </w:pPr>
    </w:p>
    <w:p w14:paraId="043D128C" w14:textId="77777777" w:rsidR="008F5AC8" w:rsidRDefault="008F5AC8" w:rsidP="0049248A">
      <w:pPr>
        <w:spacing w:after="0" w:line="240" w:lineRule="auto"/>
        <w:rPr>
          <w:rFonts w:ascii="Times New Roman" w:hAnsi="Times New Roman" w:cs="Times New Roman"/>
          <w:sz w:val="24"/>
          <w:szCs w:val="24"/>
        </w:rPr>
      </w:pPr>
    </w:p>
    <w:p w14:paraId="0A748BD8" w14:textId="77777777" w:rsidR="008F5AC8" w:rsidRDefault="008F5AC8" w:rsidP="0049248A">
      <w:pPr>
        <w:spacing w:after="0" w:line="240" w:lineRule="auto"/>
        <w:rPr>
          <w:rFonts w:ascii="Times New Roman" w:hAnsi="Times New Roman" w:cs="Times New Roman"/>
          <w:sz w:val="24"/>
          <w:szCs w:val="24"/>
        </w:rPr>
      </w:pPr>
    </w:p>
    <w:p w14:paraId="01F4E9DC" w14:textId="77777777" w:rsidR="008F5AC8" w:rsidRDefault="008F5AC8" w:rsidP="0049248A">
      <w:pPr>
        <w:spacing w:after="0" w:line="240" w:lineRule="auto"/>
        <w:rPr>
          <w:rFonts w:ascii="Times New Roman" w:hAnsi="Times New Roman" w:cs="Times New Roman"/>
          <w:sz w:val="24"/>
          <w:szCs w:val="24"/>
        </w:rPr>
      </w:pPr>
    </w:p>
    <w:p w14:paraId="6E8572FB" w14:textId="77777777" w:rsidR="008F5AC8" w:rsidRDefault="008F5AC8" w:rsidP="0049248A">
      <w:pPr>
        <w:spacing w:after="0" w:line="240" w:lineRule="auto"/>
        <w:rPr>
          <w:rFonts w:ascii="Times New Roman" w:hAnsi="Times New Roman" w:cs="Times New Roman"/>
          <w:sz w:val="24"/>
          <w:szCs w:val="24"/>
        </w:rPr>
      </w:pPr>
    </w:p>
    <w:p w14:paraId="70D532EE" w14:textId="77777777" w:rsidR="008F5AC8" w:rsidRDefault="008F5AC8" w:rsidP="0049248A">
      <w:pPr>
        <w:spacing w:after="0" w:line="240" w:lineRule="auto"/>
        <w:rPr>
          <w:rFonts w:ascii="Times New Roman" w:hAnsi="Times New Roman" w:cs="Times New Roman"/>
          <w:sz w:val="24"/>
          <w:szCs w:val="24"/>
        </w:rPr>
      </w:pPr>
    </w:p>
    <w:p w14:paraId="1EEDD725" w14:textId="77777777" w:rsidR="008F5AC8" w:rsidRDefault="008F5AC8" w:rsidP="0049248A">
      <w:pPr>
        <w:spacing w:after="0" w:line="240" w:lineRule="auto"/>
        <w:rPr>
          <w:rFonts w:ascii="Times New Roman" w:hAnsi="Times New Roman" w:cs="Times New Roman"/>
          <w:sz w:val="24"/>
          <w:szCs w:val="24"/>
        </w:rPr>
      </w:pPr>
    </w:p>
    <w:p w14:paraId="4F8E87B5" w14:textId="77777777" w:rsidR="008F5AC8" w:rsidRDefault="008F5AC8" w:rsidP="0049248A">
      <w:pPr>
        <w:spacing w:after="0" w:line="240" w:lineRule="auto"/>
        <w:rPr>
          <w:rFonts w:ascii="Times New Roman" w:hAnsi="Times New Roman" w:cs="Times New Roman"/>
          <w:sz w:val="24"/>
          <w:szCs w:val="24"/>
        </w:rPr>
      </w:pPr>
    </w:p>
    <w:p w14:paraId="378C515C" w14:textId="77777777" w:rsidR="008F5AC8" w:rsidRDefault="008F5AC8" w:rsidP="0049248A">
      <w:pPr>
        <w:spacing w:after="0" w:line="240" w:lineRule="auto"/>
        <w:rPr>
          <w:rFonts w:ascii="Times New Roman" w:hAnsi="Times New Roman" w:cs="Times New Roman"/>
          <w:sz w:val="24"/>
          <w:szCs w:val="24"/>
        </w:rPr>
      </w:pPr>
    </w:p>
    <w:p w14:paraId="70979882" w14:textId="77777777" w:rsidR="008F5AC8" w:rsidRDefault="008F5AC8" w:rsidP="0049248A">
      <w:pPr>
        <w:spacing w:after="0" w:line="240" w:lineRule="auto"/>
        <w:rPr>
          <w:rFonts w:ascii="Times New Roman" w:hAnsi="Times New Roman" w:cs="Times New Roman"/>
          <w:sz w:val="24"/>
          <w:szCs w:val="24"/>
        </w:rPr>
      </w:pPr>
    </w:p>
    <w:p w14:paraId="1F4239BB" w14:textId="77777777" w:rsidR="008F5AC8" w:rsidRDefault="008F5AC8" w:rsidP="0049248A">
      <w:pPr>
        <w:spacing w:after="0" w:line="240" w:lineRule="auto"/>
        <w:rPr>
          <w:rFonts w:ascii="Times New Roman" w:hAnsi="Times New Roman" w:cs="Times New Roman"/>
          <w:sz w:val="24"/>
          <w:szCs w:val="24"/>
        </w:rPr>
      </w:pPr>
    </w:p>
    <w:p w14:paraId="153E62B1" w14:textId="77777777" w:rsidR="008F5AC8" w:rsidRDefault="008F5AC8" w:rsidP="0049248A">
      <w:pPr>
        <w:spacing w:after="0" w:line="240" w:lineRule="auto"/>
        <w:rPr>
          <w:rFonts w:ascii="Times New Roman" w:hAnsi="Times New Roman" w:cs="Times New Roman"/>
          <w:sz w:val="24"/>
          <w:szCs w:val="24"/>
        </w:rPr>
      </w:pPr>
    </w:p>
    <w:p w14:paraId="5AF30166" w14:textId="77777777" w:rsidR="008F5AC8" w:rsidRDefault="008F5AC8" w:rsidP="0049248A">
      <w:pPr>
        <w:spacing w:after="0" w:line="240" w:lineRule="auto"/>
        <w:rPr>
          <w:rFonts w:ascii="Times New Roman" w:hAnsi="Times New Roman" w:cs="Times New Roman"/>
          <w:sz w:val="24"/>
          <w:szCs w:val="24"/>
        </w:rPr>
      </w:pPr>
    </w:p>
    <w:p w14:paraId="5CD7AA6F" w14:textId="77777777" w:rsidR="008F5AC8" w:rsidRDefault="008F5AC8" w:rsidP="0049248A">
      <w:pPr>
        <w:spacing w:after="0" w:line="240" w:lineRule="auto"/>
        <w:rPr>
          <w:rFonts w:ascii="Times New Roman" w:hAnsi="Times New Roman" w:cs="Times New Roman"/>
          <w:sz w:val="24"/>
          <w:szCs w:val="24"/>
        </w:rPr>
      </w:pPr>
    </w:p>
    <w:p w14:paraId="69FF1CFE" w14:textId="77777777" w:rsidR="008F5AC8" w:rsidRDefault="008F5AC8" w:rsidP="0049248A">
      <w:pPr>
        <w:spacing w:after="0" w:line="240" w:lineRule="auto"/>
        <w:rPr>
          <w:rFonts w:ascii="Times New Roman" w:hAnsi="Times New Roman" w:cs="Times New Roman"/>
          <w:sz w:val="24"/>
          <w:szCs w:val="24"/>
        </w:rPr>
      </w:pPr>
    </w:p>
    <w:p w14:paraId="28C5879A" w14:textId="77777777" w:rsidR="008F5AC8" w:rsidRDefault="008F5AC8" w:rsidP="0049248A">
      <w:pPr>
        <w:spacing w:after="0" w:line="240" w:lineRule="auto"/>
        <w:rPr>
          <w:rFonts w:ascii="Times New Roman" w:hAnsi="Times New Roman" w:cs="Times New Roman"/>
          <w:sz w:val="24"/>
          <w:szCs w:val="24"/>
        </w:rPr>
      </w:pPr>
    </w:p>
    <w:p w14:paraId="688ED5ED" w14:textId="77777777" w:rsidR="008F5AC8" w:rsidRDefault="008F5AC8" w:rsidP="0049248A">
      <w:pPr>
        <w:spacing w:after="0" w:line="240" w:lineRule="auto"/>
        <w:rPr>
          <w:rFonts w:ascii="Times New Roman" w:hAnsi="Times New Roman" w:cs="Times New Roman"/>
          <w:sz w:val="24"/>
          <w:szCs w:val="24"/>
        </w:rPr>
      </w:pPr>
    </w:p>
    <w:p w14:paraId="02852E2E" w14:textId="77777777" w:rsidR="008F5AC8" w:rsidRDefault="008F5AC8" w:rsidP="0049248A">
      <w:pPr>
        <w:spacing w:after="0" w:line="240" w:lineRule="auto"/>
        <w:rPr>
          <w:rFonts w:ascii="Times New Roman" w:hAnsi="Times New Roman" w:cs="Times New Roman"/>
          <w:sz w:val="24"/>
          <w:szCs w:val="24"/>
        </w:rPr>
      </w:pPr>
    </w:p>
    <w:p w14:paraId="0648B793" w14:textId="77777777" w:rsidR="008F5AC8" w:rsidRDefault="008F5AC8" w:rsidP="0049248A">
      <w:pPr>
        <w:spacing w:after="0" w:line="240" w:lineRule="auto"/>
        <w:rPr>
          <w:rFonts w:ascii="Times New Roman" w:hAnsi="Times New Roman" w:cs="Times New Roman"/>
          <w:sz w:val="24"/>
          <w:szCs w:val="24"/>
        </w:rPr>
      </w:pPr>
    </w:p>
    <w:p w14:paraId="030118AA" w14:textId="77777777" w:rsidR="008F5AC8" w:rsidRDefault="008F5AC8" w:rsidP="0049248A">
      <w:pPr>
        <w:spacing w:after="0" w:line="240" w:lineRule="auto"/>
        <w:rPr>
          <w:rFonts w:ascii="Times New Roman" w:hAnsi="Times New Roman" w:cs="Times New Roman"/>
          <w:sz w:val="24"/>
          <w:szCs w:val="24"/>
        </w:rPr>
      </w:pPr>
    </w:p>
    <w:p w14:paraId="3E088BEC" w14:textId="77777777" w:rsidR="008F5AC8" w:rsidRDefault="008F5AC8" w:rsidP="008F5AC8">
      <w:pPr>
        <w:jc w:val="right"/>
        <w:rPr>
          <w:color w:val="000000" w:themeColor="text1"/>
          <w:sz w:val="24"/>
          <w:szCs w:val="24"/>
        </w:rPr>
        <w:sectPr w:rsidR="008F5AC8" w:rsidSect="007E313B">
          <w:headerReference w:type="default" r:id="rId15"/>
          <w:pgSz w:w="11906" w:h="16838" w:code="9"/>
          <w:pgMar w:top="1134" w:right="1134" w:bottom="1134" w:left="1701" w:header="708" w:footer="708" w:gutter="0"/>
          <w:cols w:space="708"/>
          <w:titlePg/>
          <w:docGrid w:linePitch="360"/>
        </w:sectPr>
      </w:pPr>
    </w:p>
    <w:p w14:paraId="53EB2572" w14:textId="77777777" w:rsidR="008F5AC8" w:rsidRPr="00482C42" w:rsidRDefault="008F5AC8" w:rsidP="00482C42">
      <w:pPr>
        <w:spacing w:after="0" w:line="240" w:lineRule="auto"/>
        <w:jc w:val="right"/>
        <w:rPr>
          <w:rFonts w:ascii="Times New Roman" w:hAnsi="Times New Roman" w:cs="Times New Roman"/>
          <w:color w:val="000000" w:themeColor="text1"/>
          <w:sz w:val="24"/>
          <w:szCs w:val="24"/>
        </w:rPr>
      </w:pPr>
      <w:r w:rsidRPr="00482C42">
        <w:rPr>
          <w:rFonts w:ascii="Times New Roman" w:hAnsi="Times New Roman" w:cs="Times New Roman"/>
          <w:color w:val="000000" w:themeColor="text1"/>
          <w:sz w:val="24"/>
          <w:szCs w:val="24"/>
        </w:rPr>
        <w:lastRenderedPageBreak/>
        <w:t>Pielikums</w:t>
      </w:r>
    </w:p>
    <w:p w14:paraId="7F0856CF" w14:textId="77777777" w:rsidR="008F5AC8" w:rsidRPr="00482C42" w:rsidRDefault="008F5AC8" w:rsidP="00482C42">
      <w:pPr>
        <w:spacing w:after="0" w:line="240" w:lineRule="auto"/>
        <w:jc w:val="right"/>
        <w:rPr>
          <w:rFonts w:ascii="Times New Roman" w:hAnsi="Times New Roman" w:cs="Times New Roman"/>
          <w:color w:val="000000" w:themeColor="text1"/>
          <w:sz w:val="24"/>
          <w:szCs w:val="24"/>
        </w:rPr>
      </w:pPr>
      <w:r w:rsidRPr="00482C42">
        <w:rPr>
          <w:rFonts w:ascii="Times New Roman" w:hAnsi="Times New Roman" w:cs="Times New Roman"/>
          <w:color w:val="000000" w:themeColor="text1"/>
          <w:sz w:val="24"/>
          <w:szCs w:val="24"/>
        </w:rPr>
        <w:t xml:space="preserve">Latvijas Bankas noteikumu projekta </w:t>
      </w:r>
      <w:r w:rsidRPr="00482C42">
        <w:rPr>
          <w:rFonts w:ascii="Times New Roman" w:hAnsi="Times New Roman" w:cs="Times New Roman"/>
          <w:color w:val="000000" w:themeColor="text1"/>
          <w:sz w:val="24"/>
          <w:szCs w:val="24"/>
        </w:rPr>
        <w:br/>
        <w:t>anotācijai</w:t>
      </w:r>
    </w:p>
    <w:p w14:paraId="114EFEB0" w14:textId="77777777" w:rsidR="008F5AC8" w:rsidRPr="00482C42" w:rsidRDefault="008F5AC8" w:rsidP="008F5AC8">
      <w:pPr>
        <w:jc w:val="right"/>
        <w:rPr>
          <w:rFonts w:ascii="Times New Roman" w:hAnsi="Times New Roman" w:cs="Times New Roman"/>
          <w:color w:val="000000" w:themeColor="text1"/>
          <w:sz w:val="24"/>
          <w:szCs w:val="24"/>
        </w:rPr>
      </w:pPr>
    </w:p>
    <w:p w14:paraId="1E8D6B66" w14:textId="77777777" w:rsidR="008F5AC8" w:rsidRPr="00482C42" w:rsidRDefault="008F5AC8" w:rsidP="00482C42">
      <w:pPr>
        <w:spacing w:after="240" w:line="240" w:lineRule="auto"/>
        <w:jc w:val="center"/>
        <w:rPr>
          <w:rFonts w:ascii="Times New Roman" w:hAnsi="Times New Roman" w:cs="Times New Roman"/>
          <w:b/>
          <w:color w:val="000000" w:themeColor="text1"/>
          <w:sz w:val="24"/>
          <w:szCs w:val="24"/>
        </w:rPr>
      </w:pPr>
      <w:r w:rsidRPr="00482C42">
        <w:rPr>
          <w:rFonts w:ascii="Times New Roman" w:hAnsi="Times New Roman" w:cs="Times New Roman"/>
          <w:b/>
          <w:color w:val="000000" w:themeColor="text1"/>
          <w:sz w:val="24"/>
          <w:szCs w:val="24"/>
        </w:rPr>
        <w:t>Eiropas Savienības tiesību aktu pārņemšanas/ieviešanas tabula</w:t>
      </w:r>
    </w:p>
    <w:p w14:paraId="1EB3FB56" w14:textId="77777777" w:rsidR="008F5AC8" w:rsidRPr="00482C42" w:rsidRDefault="008F5AC8" w:rsidP="00482C42">
      <w:pPr>
        <w:spacing w:after="240" w:line="240" w:lineRule="auto"/>
        <w:jc w:val="both"/>
        <w:rPr>
          <w:rFonts w:ascii="Times New Roman" w:hAnsi="Times New Roman" w:cs="Times New Roman"/>
          <w:b/>
          <w:color w:val="000000" w:themeColor="text1"/>
          <w:sz w:val="24"/>
          <w:szCs w:val="24"/>
        </w:rPr>
      </w:pPr>
      <w:r w:rsidRPr="00482C42">
        <w:rPr>
          <w:rFonts w:ascii="Times New Roman" w:hAnsi="Times New Roman" w:cs="Times New Roman"/>
          <w:b/>
          <w:color w:val="000000" w:themeColor="text1"/>
          <w:sz w:val="24"/>
          <w:szCs w:val="24"/>
        </w:rPr>
        <w:t>Latvijas Bankas noteikumu projekta nosaukums:</w:t>
      </w:r>
      <w:r w:rsidRPr="00482C42">
        <w:rPr>
          <w:rFonts w:ascii="Times New Roman" w:hAnsi="Times New Roman" w:cs="Times New Roman"/>
          <w:bCs/>
          <w:color w:val="000000" w:themeColor="text1"/>
          <w:sz w:val="24"/>
          <w:szCs w:val="24"/>
        </w:rPr>
        <w:t xml:space="preserve"> "Fonda kopējā riska un riska darījumu apmēra ar darījumu partneri aprēķināšanas noteikumi" (turpmāk – projekts)</w:t>
      </w:r>
    </w:p>
    <w:p w14:paraId="03CC4DB0" w14:textId="77777777" w:rsidR="008F5AC8" w:rsidRPr="00482C42" w:rsidRDefault="008F5AC8" w:rsidP="00482C42">
      <w:pPr>
        <w:spacing w:after="240" w:line="240" w:lineRule="auto"/>
        <w:jc w:val="both"/>
        <w:rPr>
          <w:rFonts w:ascii="Times New Roman" w:hAnsi="Times New Roman" w:cs="Times New Roman"/>
          <w:bCs/>
          <w:color w:val="000000" w:themeColor="text1"/>
          <w:sz w:val="24"/>
          <w:szCs w:val="24"/>
        </w:rPr>
      </w:pPr>
      <w:r w:rsidRPr="00482C42">
        <w:rPr>
          <w:rFonts w:ascii="Times New Roman" w:hAnsi="Times New Roman" w:cs="Times New Roman"/>
          <w:b/>
          <w:color w:val="000000" w:themeColor="text1"/>
          <w:sz w:val="24"/>
          <w:szCs w:val="24"/>
        </w:rPr>
        <w:t>Eiropas Savienības tiesību akta nosaukums:</w:t>
      </w:r>
      <w:r w:rsidRPr="00482C42">
        <w:rPr>
          <w:rFonts w:ascii="Times New Roman" w:hAnsi="Times New Roman" w:cs="Times New Roman"/>
          <w:bCs/>
          <w:color w:val="000000" w:themeColor="text1"/>
          <w:sz w:val="24"/>
          <w:szCs w:val="24"/>
        </w:rPr>
        <w:t xml:space="preserve"> Eiropas Parlamenta un Padomes 2010. gada 1. jūlija direktīva 2010/43/ES, ar ko īsteno Eiropas Parlamenta un Padomes direktīvu 2009/65/EK attiecībā uz organizatoriskajām prasībām, interešu konfliktiem, profesionālo ētiku, riska pārvaldību un starp depozitāriju un pārvaldības sabiedrību noslēdzamās vienošanās saturu (turpmāk – Direktīva 2010/43/ES)</w:t>
      </w:r>
    </w:p>
    <w:tbl>
      <w:tblPr>
        <w:tblStyle w:val="Reatabula"/>
        <w:tblW w:w="14628" w:type="dxa"/>
        <w:tblLook w:val="04A0" w:firstRow="1" w:lastRow="0" w:firstColumn="1" w:lastColumn="0" w:noHBand="0" w:noVBand="1"/>
      </w:tblPr>
      <w:tblGrid>
        <w:gridCol w:w="2438"/>
        <w:gridCol w:w="2438"/>
        <w:gridCol w:w="2438"/>
        <w:gridCol w:w="2438"/>
        <w:gridCol w:w="2438"/>
        <w:gridCol w:w="2438"/>
      </w:tblGrid>
      <w:tr w:rsidR="008F5AC8" w:rsidRPr="008F5AC8" w14:paraId="7FB3BAD4" w14:textId="77777777" w:rsidTr="0090625F">
        <w:tc>
          <w:tcPr>
            <w:tcW w:w="2438" w:type="dxa"/>
          </w:tcPr>
          <w:p w14:paraId="07D81664" w14:textId="77777777" w:rsidR="008F5AC8" w:rsidRPr="008F5AC8" w:rsidRDefault="008F5AC8" w:rsidP="0090625F">
            <w:pPr>
              <w:jc w:val="left"/>
              <w:rPr>
                <w:color w:val="000000" w:themeColor="text1"/>
                <w:sz w:val="24"/>
                <w:szCs w:val="24"/>
              </w:rPr>
            </w:pPr>
            <w:r w:rsidRPr="008F5AC8">
              <w:rPr>
                <w:b/>
                <w:bCs/>
                <w:color w:val="000000" w:themeColor="text1"/>
                <w:sz w:val="24"/>
                <w:szCs w:val="24"/>
              </w:rPr>
              <w:t xml:space="preserve">Eiropas Savienības tiesību akta pants, punkts vai apakšpunkts, kurā paredzētās prasības Latvijā jāizpilda </w:t>
            </w:r>
            <w:r w:rsidRPr="008F5AC8">
              <w:rPr>
                <w:i/>
                <w:iCs/>
                <w:color w:val="000000" w:themeColor="text1"/>
                <w:sz w:val="24"/>
                <w:szCs w:val="24"/>
              </w:rPr>
              <w:t>(Norāda pēc iespējas konkrētāku teksta vienību)</w:t>
            </w:r>
          </w:p>
        </w:tc>
        <w:tc>
          <w:tcPr>
            <w:tcW w:w="2438" w:type="dxa"/>
          </w:tcPr>
          <w:p w14:paraId="07DFB35A" w14:textId="77777777" w:rsidR="008F5AC8" w:rsidRPr="008F5AC8" w:rsidRDefault="008F5AC8" w:rsidP="0090625F">
            <w:pPr>
              <w:jc w:val="left"/>
              <w:rPr>
                <w:b/>
                <w:bCs/>
                <w:color w:val="000000" w:themeColor="text1"/>
                <w:sz w:val="24"/>
                <w:szCs w:val="24"/>
              </w:rPr>
            </w:pPr>
            <w:r w:rsidRPr="008F5AC8">
              <w:rPr>
                <w:b/>
                <w:bCs/>
                <w:color w:val="000000" w:themeColor="text1"/>
                <w:sz w:val="24"/>
                <w:szCs w:val="24"/>
              </w:rPr>
              <w:t xml:space="preserve">Projekta punkts vai apakšpunkts, kas izpilda A ailē minēto prasību </w:t>
            </w:r>
          </w:p>
          <w:p w14:paraId="2BF03FF0" w14:textId="77777777" w:rsidR="008F5AC8" w:rsidRPr="008F5AC8" w:rsidRDefault="008F5AC8" w:rsidP="0090625F">
            <w:pPr>
              <w:jc w:val="left"/>
              <w:rPr>
                <w:b/>
                <w:bCs/>
                <w:color w:val="000000" w:themeColor="text1"/>
                <w:sz w:val="24"/>
                <w:szCs w:val="24"/>
              </w:rPr>
            </w:pPr>
            <w:r w:rsidRPr="008F5AC8">
              <w:rPr>
                <w:i/>
                <w:iCs/>
                <w:color w:val="000000" w:themeColor="text1"/>
                <w:sz w:val="24"/>
                <w:szCs w:val="24"/>
              </w:rPr>
              <w:t>(Norāda pēc iespējas konkrētāku teksta vienību)</w:t>
            </w:r>
          </w:p>
        </w:tc>
        <w:tc>
          <w:tcPr>
            <w:tcW w:w="2438" w:type="dxa"/>
          </w:tcPr>
          <w:p w14:paraId="3AD1B587" w14:textId="77777777" w:rsidR="008F5AC8" w:rsidRPr="008F5AC8" w:rsidRDefault="008F5AC8" w:rsidP="0090625F">
            <w:pPr>
              <w:jc w:val="left"/>
              <w:rPr>
                <w:b/>
                <w:bCs/>
                <w:color w:val="000000" w:themeColor="text1"/>
                <w:sz w:val="24"/>
                <w:szCs w:val="24"/>
              </w:rPr>
            </w:pPr>
            <w:r w:rsidRPr="008F5AC8">
              <w:rPr>
                <w:b/>
                <w:bCs/>
                <w:color w:val="000000" w:themeColor="text1"/>
                <w:sz w:val="24"/>
                <w:szCs w:val="24"/>
              </w:rPr>
              <w:t xml:space="preserve">Vai A ailē minētā prasība ar B ailē minēto projekta punktu vai apakšpunktu tiek izpildīta pilnībā vai daļēji? </w:t>
            </w:r>
          </w:p>
          <w:p w14:paraId="1A2DBFA2" w14:textId="77777777" w:rsidR="008F5AC8" w:rsidRPr="008F5AC8" w:rsidRDefault="008F5AC8" w:rsidP="0090625F">
            <w:pPr>
              <w:jc w:val="left"/>
              <w:rPr>
                <w:b/>
                <w:bCs/>
                <w:color w:val="000000" w:themeColor="text1"/>
                <w:sz w:val="24"/>
                <w:szCs w:val="24"/>
              </w:rPr>
            </w:pPr>
            <w:r w:rsidRPr="008F5AC8">
              <w:rPr>
                <w:i/>
                <w:iCs/>
                <w:color w:val="000000" w:themeColor="text1"/>
                <w:sz w:val="24"/>
                <w:szCs w:val="24"/>
              </w:rPr>
              <w:t>(Ja daļēji, norāda, kur un kā ir vai tiks nodrošināta prasības pilnīga izpilde)</w:t>
            </w:r>
          </w:p>
        </w:tc>
        <w:tc>
          <w:tcPr>
            <w:tcW w:w="2438" w:type="dxa"/>
          </w:tcPr>
          <w:p w14:paraId="681D572E" w14:textId="77777777" w:rsidR="008F5AC8" w:rsidRPr="008F5AC8" w:rsidRDefault="008F5AC8" w:rsidP="0090625F">
            <w:pPr>
              <w:jc w:val="left"/>
              <w:rPr>
                <w:b/>
                <w:bCs/>
                <w:color w:val="000000" w:themeColor="text1"/>
                <w:sz w:val="24"/>
                <w:szCs w:val="24"/>
              </w:rPr>
            </w:pPr>
            <w:r w:rsidRPr="008F5AC8">
              <w:rPr>
                <w:b/>
                <w:bCs/>
                <w:color w:val="000000" w:themeColor="text1"/>
                <w:sz w:val="24"/>
                <w:szCs w:val="24"/>
              </w:rPr>
              <w:t xml:space="preserve">Vai B ailē norādītais projekta punkts vai apakšpunkts paredz stingrākas prasības, nekā A ailē minētā prasība </w:t>
            </w:r>
          </w:p>
          <w:p w14:paraId="48A67BCB" w14:textId="77777777" w:rsidR="008F5AC8" w:rsidRPr="008F5AC8" w:rsidRDefault="008F5AC8" w:rsidP="0090625F">
            <w:pPr>
              <w:jc w:val="left"/>
              <w:rPr>
                <w:b/>
                <w:bCs/>
                <w:color w:val="000000" w:themeColor="text1"/>
                <w:sz w:val="24"/>
                <w:szCs w:val="24"/>
              </w:rPr>
            </w:pPr>
            <w:r w:rsidRPr="008F5AC8">
              <w:rPr>
                <w:i/>
                <w:iCs/>
                <w:color w:val="000000" w:themeColor="text1"/>
                <w:sz w:val="24"/>
                <w:szCs w:val="24"/>
              </w:rPr>
              <w:t>(Ja paredz stingrākas prasības, norāda pamatojumu šādu stingrāku prasību nepieciešamībai)</w:t>
            </w:r>
          </w:p>
        </w:tc>
        <w:tc>
          <w:tcPr>
            <w:tcW w:w="2438" w:type="dxa"/>
          </w:tcPr>
          <w:p w14:paraId="35E7ECCB" w14:textId="77777777" w:rsidR="008F5AC8" w:rsidRPr="008F5AC8" w:rsidRDefault="008F5AC8" w:rsidP="0090625F">
            <w:pPr>
              <w:jc w:val="left"/>
              <w:rPr>
                <w:b/>
                <w:bCs/>
                <w:color w:val="000000" w:themeColor="text1"/>
                <w:sz w:val="24"/>
                <w:szCs w:val="24"/>
              </w:rPr>
            </w:pPr>
            <w:r w:rsidRPr="008F5AC8">
              <w:rPr>
                <w:b/>
                <w:bCs/>
                <w:color w:val="000000" w:themeColor="text1"/>
                <w:sz w:val="24"/>
                <w:szCs w:val="24"/>
              </w:rPr>
              <w:t xml:space="preserve">Vai A ailē minētā prasība ir jāizpilda obligāti? </w:t>
            </w:r>
          </w:p>
          <w:p w14:paraId="1D73FD9E" w14:textId="77777777" w:rsidR="008F5AC8" w:rsidRPr="008F5AC8" w:rsidRDefault="008F5AC8" w:rsidP="0090625F">
            <w:pPr>
              <w:jc w:val="left"/>
              <w:rPr>
                <w:i/>
                <w:iCs/>
                <w:color w:val="000000" w:themeColor="text1"/>
                <w:sz w:val="24"/>
                <w:szCs w:val="24"/>
              </w:rPr>
            </w:pPr>
            <w:r w:rsidRPr="008F5AC8">
              <w:rPr>
                <w:i/>
                <w:iCs/>
                <w:color w:val="000000" w:themeColor="text1"/>
                <w:sz w:val="24"/>
                <w:szCs w:val="24"/>
              </w:rPr>
              <w:t>(Ja Eiropas Savienības tiesību akts paredz izvēles iespēju, norāda, vai un kādēļ šī rīcības brīvība Latvijā ir vai nav jāizmanto)</w:t>
            </w:r>
          </w:p>
          <w:p w14:paraId="05D55006" w14:textId="77777777" w:rsidR="008F5AC8" w:rsidRPr="008F5AC8" w:rsidRDefault="008F5AC8" w:rsidP="0090625F">
            <w:pPr>
              <w:jc w:val="left"/>
              <w:rPr>
                <w:b/>
                <w:bCs/>
                <w:color w:val="000000" w:themeColor="text1"/>
                <w:sz w:val="24"/>
                <w:szCs w:val="24"/>
              </w:rPr>
            </w:pPr>
          </w:p>
          <w:p w14:paraId="636B9D71" w14:textId="77777777" w:rsidR="008F5AC8" w:rsidRPr="008F5AC8" w:rsidRDefault="008F5AC8" w:rsidP="0090625F">
            <w:pPr>
              <w:jc w:val="left"/>
              <w:rPr>
                <w:b/>
                <w:bCs/>
                <w:color w:val="000000" w:themeColor="text1"/>
                <w:sz w:val="24"/>
                <w:szCs w:val="24"/>
              </w:rPr>
            </w:pPr>
          </w:p>
        </w:tc>
        <w:tc>
          <w:tcPr>
            <w:tcW w:w="2438" w:type="dxa"/>
          </w:tcPr>
          <w:p w14:paraId="3283D8C9" w14:textId="77777777" w:rsidR="008F5AC8" w:rsidRPr="00482C42" w:rsidRDefault="008F5AC8" w:rsidP="0090625F">
            <w:pPr>
              <w:jc w:val="left"/>
              <w:rPr>
                <w:rStyle w:val="cf01"/>
                <w:rFonts w:ascii="Times New Roman" w:hAnsi="Times New Roman" w:cs="Times New Roman"/>
                <w:b/>
                <w:bCs/>
                <w:sz w:val="22"/>
                <w:szCs w:val="22"/>
              </w:rPr>
            </w:pPr>
            <w:r w:rsidRPr="00482C42">
              <w:rPr>
                <w:rStyle w:val="cf01"/>
                <w:rFonts w:ascii="Times New Roman" w:hAnsi="Times New Roman" w:cs="Times New Roman"/>
                <w:b/>
                <w:bCs/>
                <w:sz w:val="22"/>
                <w:szCs w:val="22"/>
              </w:rPr>
              <w:t>Vai A ailē minētais Eiropas Savienības tiesību akts paredz dalībvalsts paziņošanas pienākumu Eiropas Savienības institūcijām?</w:t>
            </w:r>
          </w:p>
          <w:p w14:paraId="07205D9B" w14:textId="77777777" w:rsidR="008F5AC8" w:rsidRPr="008F5AC8" w:rsidRDefault="008F5AC8" w:rsidP="0090625F">
            <w:pPr>
              <w:jc w:val="left"/>
              <w:rPr>
                <w:b/>
                <w:bCs/>
                <w:color w:val="000000" w:themeColor="text1"/>
                <w:sz w:val="24"/>
                <w:szCs w:val="24"/>
              </w:rPr>
            </w:pPr>
            <w:r w:rsidRPr="00482C42">
              <w:rPr>
                <w:rStyle w:val="cf01"/>
                <w:rFonts w:ascii="Times New Roman" w:hAnsi="Times New Roman" w:cs="Times New Roman"/>
                <w:i/>
                <w:iCs/>
                <w:sz w:val="22"/>
                <w:szCs w:val="22"/>
              </w:rPr>
              <w:t>(Ja paredz, norāda, kas un kādā termiņā šo paziņošanas pienākumu izpildīs)</w:t>
            </w:r>
          </w:p>
        </w:tc>
      </w:tr>
      <w:tr w:rsidR="008F5AC8" w:rsidRPr="008F5AC8" w14:paraId="359DE8E4" w14:textId="77777777" w:rsidTr="0090625F">
        <w:tc>
          <w:tcPr>
            <w:tcW w:w="2438" w:type="dxa"/>
          </w:tcPr>
          <w:p w14:paraId="2D1347B6" w14:textId="77777777" w:rsidR="008F5AC8" w:rsidRPr="008F5AC8" w:rsidRDefault="008F5AC8" w:rsidP="0090625F">
            <w:pPr>
              <w:jc w:val="center"/>
              <w:rPr>
                <w:color w:val="000000" w:themeColor="text1"/>
                <w:sz w:val="24"/>
                <w:szCs w:val="24"/>
              </w:rPr>
            </w:pPr>
            <w:r w:rsidRPr="008F5AC8">
              <w:rPr>
                <w:color w:val="000000" w:themeColor="text1"/>
                <w:sz w:val="24"/>
                <w:szCs w:val="24"/>
              </w:rPr>
              <w:t>A</w:t>
            </w:r>
          </w:p>
        </w:tc>
        <w:tc>
          <w:tcPr>
            <w:tcW w:w="2438" w:type="dxa"/>
          </w:tcPr>
          <w:p w14:paraId="57B2CBC9" w14:textId="77777777" w:rsidR="008F5AC8" w:rsidRPr="008F5AC8" w:rsidRDefault="008F5AC8" w:rsidP="0090625F">
            <w:pPr>
              <w:jc w:val="center"/>
              <w:rPr>
                <w:color w:val="000000" w:themeColor="text1"/>
                <w:sz w:val="24"/>
                <w:szCs w:val="24"/>
              </w:rPr>
            </w:pPr>
            <w:r w:rsidRPr="008F5AC8">
              <w:rPr>
                <w:color w:val="000000" w:themeColor="text1"/>
                <w:sz w:val="24"/>
                <w:szCs w:val="24"/>
              </w:rPr>
              <w:t>B</w:t>
            </w:r>
          </w:p>
        </w:tc>
        <w:tc>
          <w:tcPr>
            <w:tcW w:w="2438" w:type="dxa"/>
          </w:tcPr>
          <w:p w14:paraId="0140C07B" w14:textId="77777777" w:rsidR="008F5AC8" w:rsidRPr="008F5AC8" w:rsidRDefault="008F5AC8" w:rsidP="0090625F">
            <w:pPr>
              <w:jc w:val="center"/>
              <w:rPr>
                <w:color w:val="000000" w:themeColor="text1"/>
                <w:sz w:val="24"/>
                <w:szCs w:val="24"/>
              </w:rPr>
            </w:pPr>
            <w:r w:rsidRPr="008F5AC8">
              <w:rPr>
                <w:color w:val="000000" w:themeColor="text1"/>
                <w:sz w:val="24"/>
                <w:szCs w:val="24"/>
              </w:rPr>
              <w:t>C</w:t>
            </w:r>
          </w:p>
        </w:tc>
        <w:tc>
          <w:tcPr>
            <w:tcW w:w="2438" w:type="dxa"/>
          </w:tcPr>
          <w:p w14:paraId="2C24D5B9" w14:textId="77777777" w:rsidR="008F5AC8" w:rsidRPr="008F5AC8" w:rsidRDefault="008F5AC8" w:rsidP="0090625F">
            <w:pPr>
              <w:jc w:val="center"/>
              <w:rPr>
                <w:color w:val="000000" w:themeColor="text1"/>
                <w:sz w:val="24"/>
                <w:szCs w:val="24"/>
              </w:rPr>
            </w:pPr>
            <w:r w:rsidRPr="008F5AC8">
              <w:rPr>
                <w:color w:val="000000" w:themeColor="text1"/>
                <w:sz w:val="24"/>
                <w:szCs w:val="24"/>
              </w:rPr>
              <w:t>D</w:t>
            </w:r>
          </w:p>
        </w:tc>
        <w:tc>
          <w:tcPr>
            <w:tcW w:w="2438" w:type="dxa"/>
          </w:tcPr>
          <w:p w14:paraId="1C27E60A" w14:textId="77777777" w:rsidR="008F5AC8" w:rsidRPr="008F5AC8" w:rsidRDefault="008F5AC8" w:rsidP="0090625F">
            <w:pPr>
              <w:jc w:val="center"/>
              <w:rPr>
                <w:color w:val="000000" w:themeColor="text1"/>
                <w:sz w:val="24"/>
                <w:szCs w:val="24"/>
              </w:rPr>
            </w:pPr>
            <w:r w:rsidRPr="008F5AC8">
              <w:rPr>
                <w:color w:val="000000" w:themeColor="text1"/>
                <w:sz w:val="24"/>
                <w:szCs w:val="24"/>
              </w:rPr>
              <w:t>E</w:t>
            </w:r>
          </w:p>
        </w:tc>
        <w:tc>
          <w:tcPr>
            <w:tcW w:w="2438" w:type="dxa"/>
          </w:tcPr>
          <w:p w14:paraId="41B0C5B8" w14:textId="77777777" w:rsidR="008F5AC8" w:rsidRPr="008F5AC8" w:rsidRDefault="008F5AC8" w:rsidP="0090625F">
            <w:pPr>
              <w:jc w:val="center"/>
              <w:rPr>
                <w:color w:val="000000" w:themeColor="text1"/>
                <w:sz w:val="24"/>
                <w:szCs w:val="24"/>
              </w:rPr>
            </w:pPr>
            <w:r w:rsidRPr="008F5AC8">
              <w:rPr>
                <w:color w:val="000000" w:themeColor="text1"/>
                <w:sz w:val="24"/>
                <w:szCs w:val="24"/>
              </w:rPr>
              <w:t>F</w:t>
            </w:r>
          </w:p>
        </w:tc>
      </w:tr>
      <w:tr w:rsidR="008F5AC8" w:rsidRPr="008F5AC8" w14:paraId="659BDC0E" w14:textId="77777777" w:rsidTr="0090625F">
        <w:tc>
          <w:tcPr>
            <w:tcW w:w="2438" w:type="dxa"/>
          </w:tcPr>
          <w:p w14:paraId="05FC481A"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41. panta 1. punkts</w:t>
            </w:r>
          </w:p>
        </w:tc>
        <w:tc>
          <w:tcPr>
            <w:tcW w:w="2438" w:type="dxa"/>
          </w:tcPr>
          <w:p w14:paraId="3A66B5AF"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4. punkts</w:t>
            </w:r>
          </w:p>
        </w:tc>
        <w:tc>
          <w:tcPr>
            <w:tcW w:w="2438" w:type="dxa"/>
          </w:tcPr>
          <w:p w14:paraId="1154C2CF"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7BC23691"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64B461CB"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val="restart"/>
          </w:tcPr>
          <w:p w14:paraId="7718922B" w14:textId="77777777" w:rsidR="008F5AC8" w:rsidRPr="008F5AC8" w:rsidRDefault="008F5AC8" w:rsidP="0090625F">
            <w:pPr>
              <w:jc w:val="left"/>
              <w:rPr>
                <w:color w:val="000000" w:themeColor="text1"/>
                <w:sz w:val="24"/>
                <w:szCs w:val="24"/>
              </w:rPr>
            </w:pPr>
            <w:r w:rsidRPr="008F5AC8">
              <w:rPr>
                <w:color w:val="000000" w:themeColor="text1"/>
                <w:sz w:val="24"/>
                <w:szCs w:val="24"/>
              </w:rPr>
              <w:t xml:space="preserve">Pēc noteikumu apstiprināšanas un publicēšanas oficiālajā izdevumā "Latvijas Vēstnesis" Finanšu ministrijai tiks nosūtīts </w:t>
            </w:r>
            <w:r w:rsidRPr="008F5AC8">
              <w:rPr>
                <w:color w:val="000000" w:themeColor="text1"/>
                <w:sz w:val="24"/>
                <w:szCs w:val="24"/>
              </w:rPr>
              <w:lastRenderedPageBreak/>
              <w:t>paziņojums par Direktīvas 2010/43/ES attiecīgo pantu ieviešanu.</w:t>
            </w:r>
          </w:p>
          <w:p w14:paraId="04AC6B45" w14:textId="77777777" w:rsidR="008F5AC8" w:rsidRPr="008F5AC8" w:rsidRDefault="008F5AC8" w:rsidP="0090625F">
            <w:pPr>
              <w:jc w:val="left"/>
              <w:rPr>
                <w:color w:val="000000" w:themeColor="text1"/>
                <w:sz w:val="24"/>
                <w:szCs w:val="24"/>
              </w:rPr>
            </w:pPr>
          </w:p>
        </w:tc>
      </w:tr>
      <w:tr w:rsidR="008F5AC8" w:rsidRPr="008F5AC8" w14:paraId="0E46A4A7" w14:textId="77777777" w:rsidTr="0090625F">
        <w:tc>
          <w:tcPr>
            <w:tcW w:w="2438" w:type="dxa"/>
          </w:tcPr>
          <w:p w14:paraId="2755E273" w14:textId="77777777" w:rsidR="008F5AC8" w:rsidRPr="008F5AC8" w:rsidRDefault="008F5AC8" w:rsidP="0090625F">
            <w:pPr>
              <w:jc w:val="left"/>
              <w:rPr>
                <w:color w:val="000000" w:themeColor="text1"/>
                <w:sz w:val="24"/>
                <w:szCs w:val="24"/>
              </w:rPr>
            </w:pPr>
            <w:bookmarkStart w:id="0" w:name="_Hlk140564097"/>
            <w:r w:rsidRPr="008F5AC8">
              <w:rPr>
                <w:color w:val="000000" w:themeColor="text1"/>
                <w:sz w:val="24"/>
                <w:szCs w:val="24"/>
              </w:rPr>
              <w:t>Direktīvas 2010/43/ES 41. panta 2. punkts</w:t>
            </w:r>
          </w:p>
        </w:tc>
        <w:tc>
          <w:tcPr>
            <w:tcW w:w="2438" w:type="dxa"/>
          </w:tcPr>
          <w:p w14:paraId="24DD15B1"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11. punkts</w:t>
            </w:r>
          </w:p>
        </w:tc>
        <w:tc>
          <w:tcPr>
            <w:tcW w:w="2438" w:type="dxa"/>
          </w:tcPr>
          <w:p w14:paraId="5095FED1"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255D77C3"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0DC83388"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546DAB04" w14:textId="77777777" w:rsidR="008F5AC8" w:rsidRPr="008F5AC8" w:rsidRDefault="008F5AC8" w:rsidP="0090625F">
            <w:pPr>
              <w:jc w:val="left"/>
              <w:rPr>
                <w:color w:val="000000" w:themeColor="text1"/>
                <w:sz w:val="24"/>
                <w:szCs w:val="24"/>
              </w:rPr>
            </w:pPr>
          </w:p>
        </w:tc>
      </w:tr>
      <w:bookmarkEnd w:id="0"/>
      <w:tr w:rsidR="008F5AC8" w:rsidRPr="008F5AC8" w14:paraId="4B62B097" w14:textId="77777777" w:rsidTr="0090625F">
        <w:tc>
          <w:tcPr>
            <w:tcW w:w="2438" w:type="dxa"/>
          </w:tcPr>
          <w:p w14:paraId="4727593C"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41.  panta 3.  punkts</w:t>
            </w:r>
          </w:p>
        </w:tc>
        <w:tc>
          <w:tcPr>
            <w:tcW w:w="2438" w:type="dxa"/>
          </w:tcPr>
          <w:p w14:paraId="4B971FF9"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4. un 6. punkts</w:t>
            </w:r>
          </w:p>
        </w:tc>
        <w:tc>
          <w:tcPr>
            <w:tcW w:w="2438" w:type="dxa"/>
          </w:tcPr>
          <w:p w14:paraId="7FB270BD"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7B9C0854"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2BF88085"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7767277C" w14:textId="77777777" w:rsidR="008F5AC8" w:rsidRPr="008F5AC8" w:rsidRDefault="008F5AC8" w:rsidP="0090625F">
            <w:pPr>
              <w:jc w:val="left"/>
              <w:rPr>
                <w:color w:val="000000" w:themeColor="text1"/>
                <w:sz w:val="24"/>
                <w:szCs w:val="24"/>
              </w:rPr>
            </w:pPr>
          </w:p>
        </w:tc>
      </w:tr>
      <w:tr w:rsidR="008F5AC8" w:rsidRPr="008F5AC8" w14:paraId="10BB060A" w14:textId="77777777" w:rsidTr="0090625F">
        <w:tc>
          <w:tcPr>
            <w:tcW w:w="2438" w:type="dxa"/>
          </w:tcPr>
          <w:p w14:paraId="241D641A" w14:textId="77777777" w:rsidR="008F5AC8" w:rsidRPr="008F5AC8" w:rsidRDefault="008F5AC8" w:rsidP="0090625F">
            <w:pPr>
              <w:jc w:val="left"/>
              <w:rPr>
                <w:color w:val="000000" w:themeColor="text1"/>
                <w:sz w:val="24"/>
                <w:szCs w:val="24"/>
              </w:rPr>
            </w:pPr>
            <w:r w:rsidRPr="008F5AC8">
              <w:rPr>
                <w:color w:val="000000" w:themeColor="text1"/>
                <w:sz w:val="24"/>
                <w:szCs w:val="24"/>
              </w:rPr>
              <w:lastRenderedPageBreak/>
              <w:t>Direktīvas 2010/43/ES 41.  panta 4.  punkts</w:t>
            </w:r>
          </w:p>
        </w:tc>
        <w:tc>
          <w:tcPr>
            <w:tcW w:w="2438" w:type="dxa"/>
          </w:tcPr>
          <w:p w14:paraId="16960BB8"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36. punkts</w:t>
            </w:r>
          </w:p>
        </w:tc>
        <w:tc>
          <w:tcPr>
            <w:tcW w:w="2438" w:type="dxa"/>
          </w:tcPr>
          <w:p w14:paraId="154C5642"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2C95CF3C"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0A3BFF8D"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3AC77407" w14:textId="77777777" w:rsidR="008F5AC8" w:rsidRPr="008F5AC8" w:rsidRDefault="008F5AC8" w:rsidP="0090625F">
            <w:pPr>
              <w:jc w:val="left"/>
              <w:rPr>
                <w:color w:val="000000" w:themeColor="text1"/>
                <w:sz w:val="24"/>
                <w:szCs w:val="24"/>
              </w:rPr>
            </w:pPr>
          </w:p>
        </w:tc>
      </w:tr>
      <w:tr w:rsidR="008F5AC8" w:rsidRPr="008F5AC8" w14:paraId="598FEF46" w14:textId="77777777" w:rsidTr="0090625F">
        <w:tc>
          <w:tcPr>
            <w:tcW w:w="2438" w:type="dxa"/>
          </w:tcPr>
          <w:p w14:paraId="71E36AC6"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42. panta 1. punkts</w:t>
            </w:r>
          </w:p>
        </w:tc>
        <w:tc>
          <w:tcPr>
            <w:tcW w:w="2438" w:type="dxa"/>
          </w:tcPr>
          <w:p w14:paraId="3C841029"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12. punkts</w:t>
            </w:r>
          </w:p>
        </w:tc>
        <w:tc>
          <w:tcPr>
            <w:tcW w:w="2438" w:type="dxa"/>
          </w:tcPr>
          <w:p w14:paraId="316CD3D4"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37074B2D"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2DDBCB0D"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6409730F" w14:textId="77777777" w:rsidR="008F5AC8" w:rsidRPr="008F5AC8" w:rsidRDefault="008F5AC8" w:rsidP="0090625F">
            <w:pPr>
              <w:jc w:val="left"/>
              <w:rPr>
                <w:color w:val="000000" w:themeColor="text1"/>
                <w:sz w:val="24"/>
                <w:szCs w:val="24"/>
              </w:rPr>
            </w:pPr>
          </w:p>
        </w:tc>
      </w:tr>
      <w:tr w:rsidR="008F5AC8" w:rsidRPr="008F5AC8" w14:paraId="30BA9038" w14:textId="77777777" w:rsidTr="0090625F">
        <w:tc>
          <w:tcPr>
            <w:tcW w:w="2438" w:type="dxa"/>
          </w:tcPr>
          <w:p w14:paraId="01DB2EB2"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42. panta 2. punkts</w:t>
            </w:r>
          </w:p>
        </w:tc>
        <w:tc>
          <w:tcPr>
            <w:tcW w:w="2438" w:type="dxa"/>
          </w:tcPr>
          <w:p w14:paraId="509B031B"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16. punkts</w:t>
            </w:r>
          </w:p>
        </w:tc>
        <w:tc>
          <w:tcPr>
            <w:tcW w:w="2438" w:type="dxa"/>
          </w:tcPr>
          <w:p w14:paraId="65D31599"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6DF089E9"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3FE7AF19"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36352ADF" w14:textId="77777777" w:rsidR="008F5AC8" w:rsidRPr="008F5AC8" w:rsidRDefault="008F5AC8" w:rsidP="0090625F">
            <w:pPr>
              <w:jc w:val="left"/>
              <w:rPr>
                <w:color w:val="000000" w:themeColor="text1"/>
                <w:sz w:val="24"/>
                <w:szCs w:val="24"/>
              </w:rPr>
            </w:pPr>
          </w:p>
        </w:tc>
      </w:tr>
      <w:tr w:rsidR="008F5AC8" w:rsidRPr="008F5AC8" w14:paraId="45A502CA" w14:textId="77777777" w:rsidTr="0090625F">
        <w:tc>
          <w:tcPr>
            <w:tcW w:w="2438" w:type="dxa"/>
          </w:tcPr>
          <w:p w14:paraId="003B7AB5"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42. panta 3. punkts</w:t>
            </w:r>
          </w:p>
        </w:tc>
        <w:tc>
          <w:tcPr>
            <w:tcW w:w="2438" w:type="dxa"/>
          </w:tcPr>
          <w:p w14:paraId="04DF1460"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27. punkts</w:t>
            </w:r>
          </w:p>
        </w:tc>
        <w:tc>
          <w:tcPr>
            <w:tcW w:w="2438" w:type="dxa"/>
          </w:tcPr>
          <w:p w14:paraId="7D1D5734"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69A7542B"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5354ED6E"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7C257FCE" w14:textId="77777777" w:rsidR="008F5AC8" w:rsidRPr="008F5AC8" w:rsidRDefault="008F5AC8" w:rsidP="0090625F">
            <w:pPr>
              <w:jc w:val="left"/>
              <w:rPr>
                <w:color w:val="000000" w:themeColor="text1"/>
                <w:sz w:val="24"/>
                <w:szCs w:val="24"/>
              </w:rPr>
            </w:pPr>
          </w:p>
        </w:tc>
      </w:tr>
      <w:tr w:rsidR="008F5AC8" w:rsidRPr="008F5AC8" w14:paraId="04CBEF9E" w14:textId="77777777" w:rsidTr="0090625F">
        <w:tc>
          <w:tcPr>
            <w:tcW w:w="2438" w:type="dxa"/>
          </w:tcPr>
          <w:p w14:paraId="6668CA16"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42. panta 4. punkts</w:t>
            </w:r>
          </w:p>
        </w:tc>
        <w:tc>
          <w:tcPr>
            <w:tcW w:w="2438" w:type="dxa"/>
          </w:tcPr>
          <w:p w14:paraId="5D1D8B80"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3.7. apakšnodaļa</w:t>
            </w:r>
          </w:p>
        </w:tc>
        <w:tc>
          <w:tcPr>
            <w:tcW w:w="2438" w:type="dxa"/>
          </w:tcPr>
          <w:p w14:paraId="517DA1B7"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5BB1B8C1"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4C09A4B2"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29001FAD" w14:textId="77777777" w:rsidR="008F5AC8" w:rsidRPr="008F5AC8" w:rsidRDefault="008F5AC8" w:rsidP="0090625F">
            <w:pPr>
              <w:jc w:val="left"/>
              <w:rPr>
                <w:color w:val="000000" w:themeColor="text1"/>
                <w:sz w:val="24"/>
                <w:szCs w:val="24"/>
              </w:rPr>
            </w:pPr>
          </w:p>
        </w:tc>
      </w:tr>
      <w:tr w:rsidR="008F5AC8" w:rsidRPr="008F5AC8" w14:paraId="345B37AE" w14:textId="77777777" w:rsidTr="0090625F">
        <w:tc>
          <w:tcPr>
            <w:tcW w:w="2438" w:type="dxa"/>
          </w:tcPr>
          <w:p w14:paraId="1EB4239E"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42. panta 5. punkts</w:t>
            </w:r>
          </w:p>
        </w:tc>
        <w:tc>
          <w:tcPr>
            <w:tcW w:w="2438" w:type="dxa"/>
          </w:tcPr>
          <w:p w14:paraId="7FC7261B"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15. punkts</w:t>
            </w:r>
          </w:p>
        </w:tc>
        <w:tc>
          <w:tcPr>
            <w:tcW w:w="2438" w:type="dxa"/>
          </w:tcPr>
          <w:p w14:paraId="160DE57A"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2E2942FA"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7FFB397F"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63D9C4AE" w14:textId="77777777" w:rsidR="008F5AC8" w:rsidRPr="008F5AC8" w:rsidRDefault="008F5AC8" w:rsidP="0090625F">
            <w:pPr>
              <w:jc w:val="left"/>
              <w:rPr>
                <w:color w:val="000000" w:themeColor="text1"/>
                <w:sz w:val="24"/>
                <w:szCs w:val="24"/>
              </w:rPr>
            </w:pPr>
          </w:p>
        </w:tc>
      </w:tr>
      <w:tr w:rsidR="008F5AC8" w:rsidRPr="008F5AC8" w14:paraId="6C9AE552" w14:textId="77777777" w:rsidTr="0090625F">
        <w:tc>
          <w:tcPr>
            <w:tcW w:w="2438" w:type="dxa"/>
          </w:tcPr>
          <w:p w14:paraId="2A73DA57" w14:textId="77777777" w:rsidR="008F5AC8" w:rsidRPr="008F5AC8" w:rsidRDefault="008F5AC8" w:rsidP="0090625F">
            <w:pPr>
              <w:jc w:val="left"/>
              <w:rPr>
                <w:color w:val="000000" w:themeColor="text1"/>
                <w:sz w:val="24"/>
                <w:szCs w:val="24"/>
              </w:rPr>
            </w:pPr>
            <w:bookmarkStart w:id="1" w:name="_Hlk140568225"/>
            <w:r w:rsidRPr="008F5AC8">
              <w:rPr>
                <w:color w:val="000000" w:themeColor="text1"/>
                <w:sz w:val="24"/>
                <w:szCs w:val="24"/>
              </w:rPr>
              <w:t>Direktīvas 2010/43/ES 43. panta 1. punkts</w:t>
            </w:r>
          </w:p>
        </w:tc>
        <w:tc>
          <w:tcPr>
            <w:tcW w:w="2438" w:type="dxa"/>
          </w:tcPr>
          <w:p w14:paraId="398C0410"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2.7. apakšpunkts un 100. punkts</w:t>
            </w:r>
          </w:p>
        </w:tc>
        <w:tc>
          <w:tcPr>
            <w:tcW w:w="2438" w:type="dxa"/>
          </w:tcPr>
          <w:p w14:paraId="4B84A617"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3AE496C0"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6E7807C8"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0DCF812A" w14:textId="77777777" w:rsidR="008F5AC8" w:rsidRPr="008F5AC8" w:rsidRDefault="008F5AC8" w:rsidP="0090625F">
            <w:pPr>
              <w:jc w:val="left"/>
              <w:rPr>
                <w:color w:val="000000" w:themeColor="text1"/>
                <w:sz w:val="24"/>
                <w:szCs w:val="24"/>
              </w:rPr>
            </w:pPr>
          </w:p>
        </w:tc>
      </w:tr>
      <w:tr w:rsidR="008F5AC8" w:rsidRPr="008F5AC8" w14:paraId="2288AC3F" w14:textId="77777777" w:rsidTr="0090625F">
        <w:tc>
          <w:tcPr>
            <w:tcW w:w="2438" w:type="dxa"/>
          </w:tcPr>
          <w:p w14:paraId="0D5C7C6B"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43. panta 2. punkts</w:t>
            </w:r>
          </w:p>
        </w:tc>
        <w:tc>
          <w:tcPr>
            <w:tcW w:w="2438" w:type="dxa"/>
          </w:tcPr>
          <w:p w14:paraId="301DD1A4"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99. un 100. punkts</w:t>
            </w:r>
          </w:p>
        </w:tc>
        <w:tc>
          <w:tcPr>
            <w:tcW w:w="2438" w:type="dxa"/>
          </w:tcPr>
          <w:p w14:paraId="03003FF9"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3BA2DA32"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7199867B"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29C9171E" w14:textId="77777777" w:rsidR="008F5AC8" w:rsidRPr="008F5AC8" w:rsidRDefault="008F5AC8" w:rsidP="0090625F">
            <w:pPr>
              <w:jc w:val="left"/>
              <w:rPr>
                <w:color w:val="000000" w:themeColor="text1"/>
                <w:sz w:val="24"/>
                <w:szCs w:val="24"/>
              </w:rPr>
            </w:pPr>
          </w:p>
        </w:tc>
      </w:tr>
      <w:tr w:rsidR="008F5AC8" w:rsidRPr="008F5AC8" w14:paraId="217CC56A" w14:textId="77777777" w:rsidTr="0090625F">
        <w:tc>
          <w:tcPr>
            <w:tcW w:w="2438" w:type="dxa"/>
          </w:tcPr>
          <w:p w14:paraId="7044B843"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43. panta 3. punkts</w:t>
            </w:r>
          </w:p>
        </w:tc>
        <w:tc>
          <w:tcPr>
            <w:tcW w:w="2438" w:type="dxa"/>
          </w:tcPr>
          <w:p w14:paraId="175DD834" w14:textId="77777777" w:rsidR="008F5AC8" w:rsidRPr="008F5AC8" w:rsidRDefault="008F5AC8" w:rsidP="0090625F">
            <w:pPr>
              <w:jc w:val="left"/>
              <w:rPr>
                <w:color w:val="000000" w:themeColor="text1"/>
                <w:sz w:val="24"/>
                <w:szCs w:val="24"/>
              </w:rPr>
            </w:pPr>
          </w:p>
        </w:tc>
        <w:tc>
          <w:tcPr>
            <w:tcW w:w="2438" w:type="dxa"/>
          </w:tcPr>
          <w:p w14:paraId="063C1218" w14:textId="77777777" w:rsidR="008F5AC8" w:rsidRPr="008F5AC8" w:rsidRDefault="008F5AC8" w:rsidP="0090625F">
            <w:pPr>
              <w:jc w:val="left"/>
              <w:rPr>
                <w:color w:val="000000" w:themeColor="text1"/>
                <w:sz w:val="24"/>
                <w:szCs w:val="24"/>
              </w:rPr>
            </w:pPr>
          </w:p>
        </w:tc>
        <w:tc>
          <w:tcPr>
            <w:tcW w:w="2438" w:type="dxa"/>
          </w:tcPr>
          <w:p w14:paraId="498ED5F8" w14:textId="77777777" w:rsidR="008F5AC8" w:rsidRPr="008F5AC8" w:rsidRDefault="008F5AC8" w:rsidP="0090625F">
            <w:pPr>
              <w:jc w:val="left"/>
              <w:rPr>
                <w:color w:val="000000" w:themeColor="text1"/>
                <w:sz w:val="24"/>
                <w:szCs w:val="24"/>
              </w:rPr>
            </w:pPr>
          </w:p>
        </w:tc>
        <w:tc>
          <w:tcPr>
            <w:tcW w:w="2438" w:type="dxa"/>
          </w:tcPr>
          <w:p w14:paraId="07B36E3A" w14:textId="77777777" w:rsidR="008F5AC8" w:rsidRPr="008F5AC8" w:rsidRDefault="008F5AC8" w:rsidP="0090625F">
            <w:pPr>
              <w:jc w:val="left"/>
            </w:pPr>
            <w:r w:rsidRPr="008F5AC8">
              <w:rPr>
                <w:color w:val="000000" w:themeColor="text1"/>
                <w:sz w:val="24"/>
                <w:szCs w:val="24"/>
              </w:rPr>
              <w:t xml:space="preserve">Direktīvas 2010/43/ES 43. panta 3. punkts paredz dalībvalstīm rīcības brīvību atļaut pārvaldības sabiedrībām samazināt PVKIU pakļautību darījumu partnera riskam atvasinātu ārpusbiržas instrumentu darījumā, saņemot nodrošinājumu. Saņemtajam nodrošinājumam ir </w:t>
            </w:r>
            <w:r w:rsidRPr="008F5AC8">
              <w:rPr>
                <w:color w:val="000000" w:themeColor="text1"/>
                <w:sz w:val="24"/>
                <w:szCs w:val="24"/>
              </w:rPr>
              <w:lastRenderedPageBreak/>
              <w:t>jābūt pietiekami likvīdam, lai to ātri varētu pārdot par cenu, kas daudz neatšķiras no nodrošinājuma pirmspārdošanas vērtējuma.</w:t>
            </w:r>
            <w:r w:rsidRPr="008F5AC8">
              <w:t xml:space="preserve"> </w:t>
            </w:r>
          </w:p>
          <w:p w14:paraId="09986677" w14:textId="77777777" w:rsidR="008F5AC8" w:rsidRPr="008F5AC8" w:rsidRDefault="008F5AC8" w:rsidP="0090625F">
            <w:pPr>
              <w:jc w:val="left"/>
              <w:rPr>
                <w:color w:val="000000" w:themeColor="text1"/>
                <w:sz w:val="24"/>
                <w:szCs w:val="24"/>
              </w:rPr>
            </w:pPr>
            <w:r w:rsidRPr="008F5AC8">
              <w:rPr>
                <w:color w:val="000000" w:themeColor="text1"/>
                <w:sz w:val="24"/>
                <w:szCs w:val="24"/>
              </w:rPr>
              <w:t>Projektā ir paredzēts izmantot šo rīcības brīvību un nepiemērot normu, lai nodrošinātu piesardzīgāko pieeju riska limitu, kas izriet no regulētā tirgū netirgotiem atvasinātajiem finanšu instrumentiem, pārvaldīšanai.</w:t>
            </w:r>
          </w:p>
        </w:tc>
        <w:tc>
          <w:tcPr>
            <w:tcW w:w="2438" w:type="dxa"/>
            <w:vMerge/>
          </w:tcPr>
          <w:p w14:paraId="369F89F8" w14:textId="77777777" w:rsidR="008F5AC8" w:rsidRPr="008F5AC8" w:rsidRDefault="008F5AC8" w:rsidP="0090625F">
            <w:pPr>
              <w:jc w:val="left"/>
              <w:rPr>
                <w:color w:val="000000" w:themeColor="text1"/>
                <w:sz w:val="24"/>
                <w:szCs w:val="24"/>
              </w:rPr>
            </w:pPr>
          </w:p>
        </w:tc>
      </w:tr>
      <w:tr w:rsidR="008F5AC8" w:rsidRPr="008F5AC8" w14:paraId="11D08A93" w14:textId="77777777" w:rsidTr="0090625F">
        <w:tc>
          <w:tcPr>
            <w:tcW w:w="2438" w:type="dxa"/>
          </w:tcPr>
          <w:p w14:paraId="4AAE3093"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43. panta 4. punkts</w:t>
            </w:r>
          </w:p>
        </w:tc>
        <w:tc>
          <w:tcPr>
            <w:tcW w:w="2438" w:type="dxa"/>
          </w:tcPr>
          <w:p w14:paraId="178A52AB"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101. un 102. punkts</w:t>
            </w:r>
          </w:p>
        </w:tc>
        <w:tc>
          <w:tcPr>
            <w:tcW w:w="2438" w:type="dxa"/>
          </w:tcPr>
          <w:p w14:paraId="309226BD"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71E4F879"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781D35A9"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13A09067" w14:textId="77777777" w:rsidR="008F5AC8" w:rsidRPr="008F5AC8" w:rsidRDefault="008F5AC8" w:rsidP="0090625F">
            <w:pPr>
              <w:jc w:val="left"/>
              <w:rPr>
                <w:color w:val="000000" w:themeColor="text1"/>
                <w:sz w:val="24"/>
                <w:szCs w:val="24"/>
              </w:rPr>
            </w:pPr>
          </w:p>
        </w:tc>
      </w:tr>
      <w:tr w:rsidR="008F5AC8" w:rsidRPr="008F5AC8" w14:paraId="6A5D78A1" w14:textId="77777777" w:rsidTr="0090625F">
        <w:tc>
          <w:tcPr>
            <w:tcW w:w="2438" w:type="dxa"/>
          </w:tcPr>
          <w:p w14:paraId="0860E400" w14:textId="77777777" w:rsidR="008F5AC8" w:rsidRPr="008F5AC8" w:rsidRDefault="008F5AC8" w:rsidP="0090625F">
            <w:pPr>
              <w:jc w:val="left"/>
              <w:rPr>
                <w:color w:val="000000" w:themeColor="text1"/>
                <w:sz w:val="24"/>
                <w:szCs w:val="24"/>
              </w:rPr>
            </w:pPr>
            <w:bookmarkStart w:id="2" w:name="_Hlk140571689"/>
            <w:bookmarkEnd w:id="1"/>
            <w:r w:rsidRPr="008F5AC8">
              <w:rPr>
                <w:color w:val="000000" w:themeColor="text1"/>
                <w:sz w:val="24"/>
                <w:szCs w:val="24"/>
              </w:rPr>
              <w:t>Direktīvas 2010/43/ES 43. panta 5. punkts</w:t>
            </w:r>
          </w:p>
        </w:tc>
        <w:tc>
          <w:tcPr>
            <w:tcW w:w="2438" w:type="dxa"/>
          </w:tcPr>
          <w:p w14:paraId="08178921"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103.3. apakšpunkts un 105. punkts</w:t>
            </w:r>
          </w:p>
        </w:tc>
        <w:tc>
          <w:tcPr>
            <w:tcW w:w="2438" w:type="dxa"/>
          </w:tcPr>
          <w:p w14:paraId="09F46227"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7F661741"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0A971573"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611E8191" w14:textId="77777777" w:rsidR="008F5AC8" w:rsidRPr="008F5AC8" w:rsidRDefault="008F5AC8" w:rsidP="0090625F">
            <w:pPr>
              <w:jc w:val="left"/>
              <w:rPr>
                <w:color w:val="000000" w:themeColor="text1"/>
                <w:sz w:val="24"/>
                <w:szCs w:val="24"/>
              </w:rPr>
            </w:pPr>
          </w:p>
        </w:tc>
      </w:tr>
      <w:bookmarkEnd w:id="2"/>
      <w:tr w:rsidR="008F5AC8" w:rsidRPr="008F5AC8" w14:paraId="2A7364EE" w14:textId="77777777" w:rsidTr="0090625F">
        <w:tc>
          <w:tcPr>
            <w:tcW w:w="2438" w:type="dxa"/>
          </w:tcPr>
          <w:p w14:paraId="1EE9BA57" w14:textId="77777777" w:rsidR="008F5AC8" w:rsidRPr="008F5AC8" w:rsidRDefault="008F5AC8" w:rsidP="0090625F">
            <w:pPr>
              <w:jc w:val="left"/>
              <w:rPr>
                <w:color w:val="000000" w:themeColor="text1"/>
                <w:sz w:val="24"/>
                <w:szCs w:val="24"/>
              </w:rPr>
            </w:pPr>
            <w:r w:rsidRPr="008F5AC8">
              <w:rPr>
                <w:color w:val="000000" w:themeColor="text1"/>
                <w:sz w:val="24"/>
                <w:szCs w:val="24"/>
              </w:rPr>
              <w:t>Direktīvas 2010/43/ES 43. panta 6. punkts</w:t>
            </w:r>
          </w:p>
        </w:tc>
        <w:tc>
          <w:tcPr>
            <w:tcW w:w="2438" w:type="dxa"/>
          </w:tcPr>
          <w:p w14:paraId="079E6D22" w14:textId="77777777" w:rsidR="008F5AC8" w:rsidRPr="008F5AC8" w:rsidRDefault="008F5AC8" w:rsidP="0090625F">
            <w:pPr>
              <w:jc w:val="left"/>
              <w:rPr>
                <w:color w:val="000000" w:themeColor="text1"/>
                <w:sz w:val="24"/>
                <w:szCs w:val="24"/>
              </w:rPr>
            </w:pPr>
            <w:r w:rsidRPr="008F5AC8">
              <w:rPr>
                <w:color w:val="000000" w:themeColor="text1"/>
                <w:sz w:val="24"/>
                <w:szCs w:val="24"/>
              </w:rPr>
              <w:t>Projekta 103.4. apakšpunkts</w:t>
            </w:r>
          </w:p>
        </w:tc>
        <w:tc>
          <w:tcPr>
            <w:tcW w:w="2438" w:type="dxa"/>
          </w:tcPr>
          <w:p w14:paraId="63CD5670" w14:textId="77777777" w:rsidR="008F5AC8" w:rsidRPr="008F5AC8" w:rsidRDefault="008F5AC8" w:rsidP="0090625F">
            <w:pPr>
              <w:jc w:val="left"/>
              <w:rPr>
                <w:color w:val="000000" w:themeColor="text1"/>
                <w:sz w:val="24"/>
                <w:szCs w:val="24"/>
              </w:rPr>
            </w:pPr>
            <w:r w:rsidRPr="008F5AC8">
              <w:rPr>
                <w:color w:val="000000" w:themeColor="text1"/>
                <w:sz w:val="24"/>
                <w:szCs w:val="24"/>
              </w:rPr>
              <w:t>Izpilda pilnībā</w:t>
            </w:r>
          </w:p>
        </w:tc>
        <w:tc>
          <w:tcPr>
            <w:tcW w:w="2438" w:type="dxa"/>
          </w:tcPr>
          <w:p w14:paraId="577A0384" w14:textId="77777777" w:rsidR="008F5AC8" w:rsidRPr="008F5AC8" w:rsidRDefault="008F5AC8" w:rsidP="0090625F">
            <w:pPr>
              <w:jc w:val="left"/>
              <w:rPr>
                <w:color w:val="000000" w:themeColor="text1"/>
                <w:sz w:val="24"/>
                <w:szCs w:val="24"/>
              </w:rPr>
            </w:pPr>
            <w:r w:rsidRPr="008F5AC8">
              <w:rPr>
                <w:color w:val="000000" w:themeColor="text1"/>
                <w:sz w:val="24"/>
                <w:szCs w:val="24"/>
              </w:rPr>
              <w:t>Nē</w:t>
            </w:r>
          </w:p>
        </w:tc>
        <w:tc>
          <w:tcPr>
            <w:tcW w:w="2438" w:type="dxa"/>
          </w:tcPr>
          <w:p w14:paraId="7EE5D051" w14:textId="77777777" w:rsidR="008F5AC8" w:rsidRPr="008F5AC8" w:rsidRDefault="008F5AC8" w:rsidP="0090625F">
            <w:pPr>
              <w:jc w:val="left"/>
              <w:rPr>
                <w:color w:val="000000" w:themeColor="text1"/>
                <w:sz w:val="24"/>
                <w:szCs w:val="24"/>
              </w:rPr>
            </w:pPr>
            <w:r w:rsidRPr="008F5AC8">
              <w:rPr>
                <w:color w:val="000000" w:themeColor="text1"/>
                <w:sz w:val="24"/>
                <w:szCs w:val="24"/>
              </w:rPr>
              <w:t>Jā</w:t>
            </w:r>
          </w:p>
        </w:tc>
        <w:tc>
          <w:tcPr>
            <w:tcW w:w="2438" w:type="dxa"/>
            <w:vMerge/>
          </w:tcPr>
          <w:p w14:paraId="5175ACCF" w14:textId="77777777" w:rsidR="008F5AC8" w:rsidRPr="008F5AC8" w:rsidRDefault="008F5AC8" w:rsidP="0090625F">
            <w:pPr>
              <w:jc w:val="left"/>
              <w:rPr>
                <w:color w:val="000000" w:themeColor="text1"/>
                <w:sz w:val="24"/>
                <w:szCs w:val="24"/>
              </w:rPr>
            </w:pPr>
          </w:p>
        </w:tc>
      </w:tr>
    </w:tbl>
    <w:p w14:paraId="6919EF0E" w14:textId="77777777" w:rsidR="008F5AC8" w:rsidRPr="00824B87" w:rsidRDefault="008F5AC8" w:rsidP="008F5AC8">
      <w:pPr>
        <w:spacing w:after="0" w:line="240" w:lineRule="auto"/>
        <w:rPr>
          <w:rFonts w:ascii="Times New Roman" w:hAnsi="Times New Roman" w:cs="Times New Roman"/>
          <w:sz w:val="24"/>
          <w:szCs w:val="24"/>
        </w:rPr>
      </w:pPr>
    </w:p>
    <w:sectPr w:rsidR="008F5AC8" w:rsidRPr="00824B87" w:rsidSect="00482C42">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D939" w14:textId="77777777" w:rsidR="00591C07" w:rsidRDefault="00591C07" w:rsidP="009B27BE">
      <w:pPr>
        <w:spacing w:after="0" w:line="240" w:lineRule="auto"/>
      </w:pPr>
      <w:r>
        <w:separator/>
      </w:r>
    </w:p>
  </w:endnote>
  <w:endnote w:type="continuationSeparator" w:id="0">
    <w:p w14:paraId="6A7BBD89" w14:textId="77777777" w:rsidR="00591C07" w:rsidRDefault="00591C0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837F5" w14:textId="77777777" w:rsidR="00591C07" w:rsidRDefault="00591C07" w:rsidP="009B27BE">
      <w:pPr>
        <w:spacing w:after="0" w:line="240" w:lineRule="auto"/>
      </w:pPr>
      <w:r>
        <w:separator/>
      </w:r>
    </w:p>
  </w:footnote>
  <w:footnote w:type="continuationSeparator" w:id="0">
    <w:p w14:paraId="008EBBC4" w14:textId="77777777" w:rsidR="00591C07" w:rsidRDefault="00591C07"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4"/>
        <w:szCs w:val="24"/>
      </w:rPr>
    </w:sdtEndPr>
    <w:sdtContent>
      <w:p w14:paraId="071BCDC5" w14:textId="77777777" w:rsidR="007E313B" w:rsidRPr="00482C42" w:rsidRDefault="007E313B">
        <w:pPr>
          <w:pStyle w:val="Galvene"/>
          <w:jc w:val="center"/>
          <w:rPr>
            <w:rFonts w:ascii="Times New Roman" w:hAnsi="Times New Roman" w:cs="Times New Roman"/>
            <w:sz w:val="24"/>
            <w:szCs w:val="24"/>
          </w:rPr>
        </w:pPr>
        <w:r w:rsidRPr="00482C42">
          <w:rPr>
            <w:rFonts w:ascii="Times New Roman" w:hAnsi="Times New Roman" w:cs="Times New Roman"/>
            <w:sz w:val="24"/>
            <w:szCs w:val="24"/>
          </w:rPr>
          <w:fldChar w:fldCharType="begin"/>
        </w:r>
        <w:r w:rsidRPr="00482C42">
          <w:rPr>
            <w:rFonts w:ascii="Times New Roman" w:hAnsi="Times New Roman" w:cs="Times New Roman"/>
            <w:sz w:val="24"/>
            <w:szCs w:val="24"/>
          </w:rPr>
          <w:instrText>PAGE   \* MERGEFORMAT</w:instrText>
        </w:r>
        <w:r w:rsidRPr="00482C42">
          <w:rPr>
            <w:rFonts w:ascii="Times New Roman" w:hAnsi="Times New Roman" w:cs="Times New Roman"/>
            <w:sz w:val="24"/>
            <w:szCs w:val="24"/>
          </w:rPr>
          <w:fldChar w:fldCharType="separate"/>
        </w:r>
        <w:r w:rsidRPr="00482C42">
          <w:rPr>
            <w:rFonts w:ascii="Times New Roman" w:hAnsi="Times New Roman" w:cs="Times New Roman"/>
            <w:sz w:val="24"/>
            <w:szCs w:val="24"/>
          </w:rPr>
          <w:t>2</w:t>
        </w:r>
        <w:r w:rsidRPr="00482C42">
          <w:rPr>
            <w:rFonts w:ascii="Times New Roman" w:hAnsi="Times New Roman" w:cs="Times New Roman"/>
            <w:sz w:val="24"/>
            <w:szCs w:val="24"/>
          </w:rPr>
          <w:fldChar w:fldCharType="end"/>
        </w:r>
      </w:p>
    </w:sdtContent>
  </w:sdt>
  <w:p w14:paraId="50B1B9C2"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161758"/>
    <w:multiLevelType w:val="hybridMultilevel"/>
    <w:tmpl w:val="6186B9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425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00"/>
    <w:rsid w:val="00021ADF"/>
    <w:rsid w:val="000263F5"/>
    <w:rsid w:val="00042469"/>
    <w:rsid w:val="000473FE"/>
    <w:rsid w:val="000657BC"/>
    <w:rsid w:val="0008510E"/>
    <w:rsid w:val="0009616F"/>
    <w:rsid w:val="000A054F"/>
    <w:rsid w:val="000A2355"/>
    <w:rsid w:val="000B2E8D"/>
    <w:rsid w:val="000B4E0A"/>
    <w:rsid w:val="000B5B46"/>
    <w:rsid w:val="000D7792"/>
    <w:rsid w:val="000F1D37"/>
    <w:rsid w:val="000F3BFB"/>
    <w:rsid w:val="00132070"/>
    <w:rsid w:val="00133F6A"/>
    <w:rsid w:val="001372CC"/>
    <w:rsid w:val="00143A48"/>
    <w:rsid w:val="001A5171"/>
    <w:rsid w:val="00211300"/>
    <w:rsid w:val="00221584"/>
    <w:rsid w:val="00252BA9"/>
    <w:rsid w:val="002916CC"/>
    <w:rsid w:val="002C576C"/>
    <w:rsid w:val="002D4FFA"/>
    <w:rsid w:val="002F54DF"/>
    <w:rsid w:val="003148F2"/>
    <w:rsid w:val="00327536"/>
    <w:rsid w:val="003344C2"/>
    <w:rsid w:val="00365838"/>
    <w:rsid w:val="003840CF"/>
    <w:rsid w:val="003A7F1F"/>
    <w:rsid w:val="003B41EF"/>
    <w:rsid w:val="003B481B"/>
    <w:rsid w:val="003C5C8E"/>
    <w:rsid w:val="003C625B"/>
    <w:rsid w:val="003C652E"/>
    <w:rsid w:val="00431CB6"/>
    <w:rsid w:val="00437C1E"/>
    <w:rsid w:val="00475ED3"/>
    <w:rsid w:val="00482C42"/>
    <w:rsid w:val="0049248A"/>
    <w:rsid w:val="004940DF"/>
    <w:rsid w:val="004C0CCE"/>
    <w:rsid w:val="004F327F"/>
    <w:rsid w:val="00570C5E"/>
    <w:rsid w:val="00591C07"/>
    <w:rsid w:val="005B3E28"/>
    <w:rsid w:val="005C1BEB"/>
    <w:rsid w:val="0060016E"/>
    <w:rsid w:val="006275C2"/>
    <w:rsid w:val="00632774"/>
    <w:rsid w:val="00635A01"/>
    <w:rsid w:val="00642172"/>
    <w:rsid w:val="0066677E"/>
    <w:rsid w:val="0068293B"/>
    <w:rsid w:val="00684460"/>
    <w:rsid w:val="00756820"/>
    <w:rsid w:val="00762371"/>
    <w:rsid w:val="00763A73"/>
    <w:rsid w:val="007712DA"/>
    <w:rsid w:val="00772A37"/>
    <w:rsid w:val="00790CDB"/>
    <w:rsid w:val="007B4CE2"/>
    <w:rsid w:val="007B6A26"/>
    <w:rsid w:val="007E313B"/>
    <w:rsid w:val="007F21F6"/>
    <w:rsid w:val="007F5031"/>
    <w:rsid w:val="00824B87"/>
    <w:rsid w:val="00831F16"/>
    <w:rsid w:val="00840AA7"/>
    <w:rsid w:val="00847563"/>
    <w:rsid w:val="00885F7B"/>
    <w:rsid w:val="008862D5"/>
    <w:rsid w:val="00890CC1"/>
    <w:rsid w:val="00891482"/>
    <w:rsid w:val="008A3D75"/>
    <w:rsid w:val="008C1FDB"/>
    <w:rsid w:val="008F5AC8"/>
    <w:rsid w:val="00920831"/>
    <w:rsid w:val="009302CA"/>
    <w:rsid w:val="00941B06"/>
    <w:rsid w:val="00942D75"/>
    <w:rsid w:val="00954401"/>
    <w:rsid w:val="00966A4C"/>
    <w:rsid w:val="009A14BA"/>
    <w:rsid w:val="009B27BE"/>
    <w:rsid w:val="009D69BC"/>
    <w:rsid w:val="00A0418B"/>
    <w:rsid w:val="00A10264"/>
    <w:rsid w:val="00A229E4"/>
    <w:rsid w:val="00A42788"/>
    <w:rsid w:val="00A73953"/>
    <w:rsid w:val="00A949CB"/>
    <w:rsid w:val="00AC73E2"/>
    <w:rsid w:val="00B239A5"/>
    <w:rsid w:val="00B547D3"/>
    <w:rsid w:val="00B62244"/>
    <w:rsid w:val="00B80B95"/>
    <w:rsid w:val="00B85A1E"/>
    <w:rsid w:val="00B95445"/>
    <w:rsid w:val="00B95DAB"/>
    <w:rsid w:val="00BC0C8C"/>
    <w:rsid w:val="00BC6682"/>
    <w:rsid w:val="00BD2EDC"/>
    <w:rsid w:val="00BE0F45"/>
    <w:rsid w:val="00BE6403"/>
    <w:rsid w:val="00C0284E"/>
    <w:rsid w:val="00C1424D"/>
    <w:rsid w:val="00C61DEA"/>
    <w:rsid w:val="00C85C34"/>
    <w:rsid w:val="00C94CFF"/>
    <w:rsid w:val="00CA28AB"/>
    <w:rsid w:val="00CC228E"/>
    <w:rsid w:val="00CD6AF5"/>
    <w:rsid w:val="00CE0699"/>
    <w:rsid w:val="00CE3CB6"/>
    <w:rsid w:val="00CF4408"/>
    <w:rsid w:val="00D01B3F"/>
    <w:rsid w:val="00D17D5D"/>
    <w:rsid w:val="00D2056C"/>
    <w:rsid w:val="00D43C59"/>
    <w:rsid w:val="00D508D3"/>
    <w:rsid w:val="00D77C4A"/>
    <w:rsid w:val="00DA5565"/>
    <w:rsid w:val="00DB38CA"/>
    <w:rsid w:val="00E04474"/>
    <w:rsid w:val="00E253DA"/>
    <w:rsid w:val="00E53DE9"/>
    <w:rsid w:val="00E60064"/>
    <w:rsid w:val="00E60491"/>
    <w:rsid w:val="00E957BC"/>
    <w:rsid w:val="00EB261C"/>
    <w:rsid w:val="00EB3DC3"/>
    <w:rsid w:val="00EF330D"/>
    <w:rsid w:val="00F505C8"/>
    <w:rsid w:val="00FA2E51"/>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BDAF"/>
  <w15:chartTrackingRefBased/>
  <w15:docId w15:val="{F71D6BCD-79EF-4390-8A63-8D3CA0D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character" w:styleId="Hipersaite">
    <w:name w:val="Hyperlink"/>
    <w:basedOn w:val="Noklusjumarindkopasfonts"/>
    <w:uiPriority w:val="99"/>
    <w:unhideWhenUsed/>
    <w:rsid w:val="00847563"/>
    <w:rPr>
      <w:color w:val="0563C1" w:themeColor="hyperlink"/>
      <w:u w:val="single"/>
    </w:rPr>
  </w:style>
  <w:style w:type="character" w:styleId="Neatrisintapieminana">
    <w:name w:val="Unresolved Mention"/>
    <w:basedOn w:val="Noklusjumarindkopasfonts"/>
    <w:uiPriority w:val="99"/>
    <w:semiHidden/>
    <w:unhideWhenUsed/>
    <w:rsid w:val="00847563"/>
    <w:rPr>
      <w:color w:val="605E5C"/>
      <w:shd w:val="clear" w:color="auto" w:fill="E1DFDD"/>
    </w:rPr>
  </w:style>
  <w:style w:type="character" w:styleId="Izmantotahipersaite">
    <w:name w:val="FollowedHyperlink"/>
    <w:basedOn w:val="Noklusjumarindkopasfonts"/>
    <w:uiPriority w:val="99"/>
    <w:semiHidden/>
    <w:unhideWhenUsed/>
    <w:rsid w:val="00B80B95"/>
    <w:rPr>
      <w:color w:val="954F72" w:themeColor="followedHyperlink"/>
      <w:u w:val="single"/>
    </w:rPr>
  </w:style>
  <w:style w:type="paragraph" w:styleId="Sarakstarindkopa">
    <w:name w:val="List Paragraph"/>
    <w:basedOn w:val="Parasts"/>
    <w:uiPriority w:val="34"/>
    <w:qFormat/>
    <w:rsid w:val="00D2056C"/>
    <w:pPr>
      <w:ind w:left="720"/>
      <w:contextualSpacing/>
    </w:pPr>
  </w:style>
  <w:style w:type="paragraph" w:styleId="Prskatjums">
    <w:name w:val="Revision"/>
    <w:hidden/>
    <w:uiPriority w:val="99"/>
    <w:semiHidden/>
    <w:rsid w:val="00A10264"/>
    <w:pPr>
      <w:spacing w:after="0" w:line="240" w:lineRule="auto"/>
    </w:pPr>
  </w:style>
  <w:style w:type="character" w:styleId="Komentraatsauce">
    <w:name w:val="annotation reference"/>
    <w:basedOn w:val="Noklusjumarindkopasfonts"/>
    <w:uiPriority w:val="99"/>
    <w:semiHidden/>
    <w:unhideWhenUsed/>
    <w:rsid w:val="007F5031"/>
    <w:rPr>
      <w:sz w:val="16"/>
      <w:szCs w:val="16"/>
    </w:rPr>
  </w:style>
  <w:style w:type="paragraph" w:styleId="Komentrateksts">
    <w:name w:val="annotation text"/>
    <w:basedOn w:val="Parasts"/>
    <w:link w:val="KomentratekstsRakstz"/>
    <w:uiPriority w:val="99"/>
    <w:unhideWhenUsed/>
    <w:rsid w:val="007F5031"/>
    <w:pPr>
      <w:spacing w:line="240" w:lineRule="auto"/>
    </w:pPr>
    <w:rPr>
      <w:sz w:val="20"/>
      <w:szCs w:val="20"/>
    </w:rPr>
  </w:style>
  <w:style w:type="character" w:customStyle="1" w:styleId="KomentratekstsRakstz">
    <w:name w:val="Komentāra teksts Rakstz."/>
    <w:basedOn w:val="Noklusjumarindkopasfonts"/>
    <w:link w:val="Komentrateksts"/>
    <w:uiPriority w:val="99"/>
    <w:rsid w:val="007F5031"/>
    <w:rPr>
      <w:sz w:val="20"/>
      <w:szCs w:val="20"/>
    </w:rPr>
  </w:style>
  <w:style w:type="paragraph" w:styleId="Komentratma">
    <w:name w:val="annotation subject"/>
    <w:basedOn w:val="Komentrateksts"/>
    <w:next w:val="Komentrateksts"/>
    <w:link w:val="KomentratmaRakstz"/>
    <w:uiPriority w:val="99"/>
    <w:semiHidden/>
    <w:unhideWhenUsed/>
    <w:rsid w:val="007F5031"/>
    <w:rPr>
      <w:b/>
      <w:bCs/>
    </w:rPr>
  </w:style>
  <w:style w:type="character" w:customStyle="1" w:styleId="KomentratmaRakstz">
    <w:name w:val="Komentāra tēma Rakstz."/>
    <w:basedOn w:val="KomentratekstsRakstz"/>
    <w:link w:val="Komentratma"/>
    <w:uiPriority w:val="99"/>
    <w:semiHidden/>
    <w:rsid w:val="007F5031"/>
    <w:rPr>
      <w:b/>
      <w:bCs/>
      <w:sz w:val="20"/>
      <w:szCs w:val="20"/>
    </w:rPr>
  </w:style>
  <w:style w:type="table" w:styleId="Reatabula">
    <w:name w:val="Table Grid"/>
    <w:basedOn w:val="Parastatabula"/>
    <w:uiPriority w:val="39"/>
    <w:rsid w:val="008F5AC8"/>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oklusjumarindkopasfonts"/>
    <w:rsid w:val="008F5AC8"/>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sma.europa.eu/document/guidelines-risk-measurement-and-calculation-global-exposure-certain-types-structured-uci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ma.europa.eu/document/guidelines-risk-measurement-and-calculation-global-exposure-and-counterparty-risk-ucit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dir/2009/65/oj/?locale=L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k.l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11</TotalTime>
  <Pages>7</Pages>
  <Words>9778</Words>
  <Characters>5574</Characters>
  <Application>Microsoft Office Word</Application>
  <DocSecurity>0</DocSecurity>
  <Lines>46</Lines>
  <Paragraphs>30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Sandra Sedleniece</cp:lastModifiedBy>
  <cp:revision>4</cp:revision>
  <dcterms:created xsi:type="dcterms:W3CDTF">2023-10-11T11:14:00Z</dcterms:created>
  <dcterms:modified xsi:type="dcterms:W3CDTF">2023-10-11T11:27:00Z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