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D4A69" w14:textId="2AE17C97" w:rsidR="003B481B" w:rsidRPr="000B4E0A" w:rsidRDefault="00CA28AB" w:rsidP="00FE5A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28AB">
        <w:rPr>
          <w:rFonts w:ascii="Times New Roman" w:hAnsi="Times New Roman" w:cs="Times New Roman"/>
          <w:b/>
          <w:bCs/>
          <w:sz w:val="24"/>
          <w:szCs w:val="24"/>
        </w:rPr>
        <w:t xml:space="preserve">Latvijas Bankas noteikumu projekta </w:t>
      </w:r>
      <w:r w:rsidR="00622ED3" w:rsidRPr="00622ED3">
        <w:rPr>
          <w:rFonts w:ascii="Times New Roman" w:hAnsi="Times New Roman" w:cs="Times New Roman"/>
          <w:b/>
          <w:bCs/>
          <w:sz w:val="24"/>
          <w:szCs w:val="24"/>
        </w:rPr>
        <w:t>"Oficiālās regulētās informācijas centralizētās glabāšanas sistēmas noteikumi"</w:t>
      </w:r>
      <w:r w:rsidR="003B481B" w:rsidRPr="00622E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481B" w:rsidRPr="00CA28AB">
        <w:rPr>
          <w:rFonts w:ascii="Times New Roman" w:hAnsi="Times New Roman" w:cs="Times New Roman"/>
          <w:b/>
          <w:bCs/>
          <w:sz w:val="24"/>
          <w:szCs w:val="24"/>
        </w:rPr>
        <w:t>anotācija</w:t>
      </w:r>
    </w:p>
    <w:p w14:paraId="3B6C5D16" w14:textId="77777777" w:rsidR="003B481B" w:rsidRPr="000B4E0A" w:rsidRDefault="003B481B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9"/>
      </w:tblGrid>
      <w:tr w:rsidR="000B4E0A" w:rsidRPr="000B4E0A" w14:paraId="1A1AA1F7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473BDEA6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5ED94EFC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51B7FABA" w14:textId="48D335AF" w:rsidR="00E53DE9" w:rsidRPr="00FA39C3" w:rsidRDefault="00622ED3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22E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Oficiālās regulētās informācijas centralizētās glabāšanas sistēmas noteikumi</w:t>
            </w:r>
          </w:p>
        </w:tc>
      </w:tr>
      <w:tr w:rsidR="000B4E0A" w:rsidRPr="000B4E0A" w14:paraId="62D4987D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26BA0868" w14:textId="440B9343" w:rsidR="00CA28AB" w:rsidRPr="00E253DA" w:rsidRDefault="00A42788" w:rsidP="00434DDE">
            <w:pPr>
              <w:tabs>
                <w:tab w:val="right" w:pos="30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</w:tc>
        <w:tc>
          <w:tcPr>
            <w:tcW w:w="3204" w:type="pct"/>
            <w:shd w:val="clear" w:color="auto" w:fill="auto"/>
          </w:tcPr>
          <w:p w14:paraId="49E149AF" w14:textId="69BF5D1A" w:rsidR="00E53DE9" w:rsidRPr="00FA39C3" w:rsidRDefault="00FA39C3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A39C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noteikumi</w:t>
            </w:r>
          </w:p>
        </w:tc>
      </w:tr>
      <w:tr w:rsidR="000B4E0A" w:rsidRPr="000B4E0A" w14:paraId="12183A9C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10EACC0E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1AA2E3FE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5D914D58" w14:textId="6D63A92D" w:rsidR="00FA39C3" w:rsidRPr="008941BA" w:rsidRDefault="00FA39C3" w:rsidP="008941BA">
            <w:pPr>
              <w:pStyle w:val="ListParagraph"/>
              <w:numPr>
                <w:ilvl w:val="0"/>
                <w:numId w:val="1"/>
              </w:numPr>
              <w:tabs>
                <w:tab w:val="left" w:pos="2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Finanšu instrumentu tirgus likuma 64.</w:t>
            </w: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="00AE2C47"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otrā daļa.</w:t>
            </w:r>
          </w:p>
          <w:p w14:paraId="4507325F" w14:textId="3374ECEC" w:rsidR="00BC1634" w:rsidRPr="008941BA" w:rsidRDefault="00D417A2" w:rsidP="008941BA">
            <w:pPr>
              <w:pStyle w:val="ListParagraph"/>
              <w:numPr>
                <w:ilvl w:val="0"/>
                <w:numId w:val="1"/>
              </w:numPr>
              <w:tabs>
                <w:tab w:val="left" w:pos="160"/>
                <w:tab w:val="left" w:pos="2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likuma pārejas noteikumu 3.</w:t>
            </w:r>
            <w:r w:rsidR="00AE2C47"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punkts.</w:t>
            </w:r>
          </w:p>
          <w:p w14:paraId="514754D9" w14:textId="42644B97" w:rsidR="00BC1634" w:rsidRPr="008941BA" w:rsidRDefault="00BC1634" w:rsidP="008941BA">
            <w:pPr>
              <w:pStyle w:val="ListParagraph"/>
              <w:numPr>
                <w:ilvl w:val="0"/>
                <w:numId w:val="1"/>
              </w:numPr>
              <w:tabs>
                <w:tab w:val="left" w:pos="160"/>
                <w:tab w:val="left" w:pos="2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2016.</w:t>
            </w:r>
            <w:r w:rsidR="00AE2C47"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19.</w:t>
            </w:r>
            <w:r w:rsidR="00AE2C47"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maija deleģētā regula (ES)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2016/1437</w:t>
            </w:r>
            <w:r w:rsidR="00FE5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ar ko attiecībā uz regulatīvajiem tehniskajiem standartiem par piekļuvi regulētai informācijai Savienības līmenī papildina Eiropas Parlamenta un Padomes </w:t>
            </w:r>
            <w:r w:rsidR="00BE7A06"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</w:t>
            </w: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irektīvu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2004/109/EK.</w:t>
            </w:r>
          </w:p>
          <w:p w14:paraId="761155DF" w14:textId="78E92F56" w:rsidR="00E53DE9" w:rsidRPr="008941BA" w:rsidRDefault="00FA39C3" w:rsidP="008941BA">
            <w:pPr>
              <w:pStyle w:val="ListParagraph"/>
              <w:numPr>
                <w:ilvl w:val="0"/>
                <w:numId w:val="1"/>
              </w:numPr>
              <w:tabs>
                <w:tab w:val="left" w:pos="160"/>
                <w:tab w:val="left" w:pos="22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941B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sagatavots pēc Latvijas Bankas iniciatīvas, lai novērstu praksē konstatētās problēmas regulējuma piemērošanā.</w:t>
            </w:r>
          </w:p>
        </w:tc>
      </w:tr>
      <w:tr w:rsidR="000B4E0A" w:rsidRPr="000B4E0A" w14:paraId="618EF4E2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468D2A0B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3092CAC1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7C77BF49" w14:textId="2CCBB60C" w:rsidR="00E53DE9" w:rsidRDefault="00A14884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Saskaņā ar </w:t>
            </w:r>
            <w:r w:rsidRPr="00A148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Finanšu instrumentu tirgus likuma 64.</w:t>
            </w:r>
            <w:r w:rsidRPr="00A1488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A148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otr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Pr="00A148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ir izdoti Finanšu un kapitāla tirgus komisijas 2020.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22.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decembra </w:t>
            </w:r>
            <w:r w:rsidR="00FE5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normatīvie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noteikumi Nr.</w:t>
            </w:r>
            <w:r w:rsidR="00AE2C47">
              <w:t> </w:t>
            </w:r>
            <w:r w:rsidRPr="00A148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246 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Pr="00A148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Normatīvie noteikumi par kārtību, kādā iesniedzama informācija Oficiālajai regulētās informācijas centralizētās glabāšanas sistēmai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Ņemot vērā </w:t>
            </w:r>
            <w:r w:rsidRPr="00A148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likuma pārejas noteikumu 3.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A148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u, ir sagatavots </w:t>
            </w:r>
            <w:r w:rsidR="00FE5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Pr="00A148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oteikumu projekts.</w:t>
            </w:r>
          </w:p>
          <w:p w14:paraId="2285BD56" w14:textId="77777777" w:rsidR="00895EDD" w:rsidRDefault="00895EDD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DD73E43" w14:textId="40550D42" w:rsidR="00895EDD" w:rsidRDefault="00895EDD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projektā vārd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Pr="00895ED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Finanšu un kapitāla tirgus komisija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1475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attiecīgā locījumā</w:t>
            </w:r>
            <w:r w:rsidR="001475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aizstāti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vārdiem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1475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attiecīg</w:t>
            </w:r>
            <w:r w:rsidR="009C49C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locījum</w:t>
            </w:r>
            <w:r w:rsidR="009C49C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1475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</w:p>
          <w:p w14:paraId="47C21176" w14:textId="77777777" w:rsidR="00895EDD" w:rsidRDefault="00895EDD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0A791107" w14:textId="60FDF4E1" w:rsidR="00895EDD" w:rsidRPr="00FA39C3" w:rsidRDefault="00895EDD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Ņemot vērā praksē konstatēto, ir veikti arī precizējumi noteikumu 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punktā</w:t>
            </w:r>
            <w:r w:rsidR="000A2FA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E1B2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norādot korektu atsauci uz Finanšu instrumentu tirgus likuma 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1. </w:t>
            </w:r>
            <w:r w:rsidR="00CE1B2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panta 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pirmās </w:t>
            </w:r>
            <w:r w:rsidR="00CE1B2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45.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E1B2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punktu, kas nosaka regulētās informācijas definīciju</w:t>
            </w:r>
            <w:r w:rsidR="00D9685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kā arī papildinātas atsauces uz </w:t>
            </w:r>
            <w:r w:rsidR="00D96859" w:rsidRPr="00D9685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54.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96859" w:rsidRPr="00D9685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otrās daļas</w:t>
            </w:r>
            <w:r w:rsidR="00D9685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2. un 3.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9685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punktu un trešās daļas 2., 3. un 4.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D9685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punktu</w:t>
            </w:r>
            <w:r w:rsidR="00CE1B2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1A792887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44557CE9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Leģitīmais mērķis</w:t>
            </w:r>
          </w:p>
          <w:p w14:paraId="1EA5C552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0CB2CB0E" w14:textId="19EA6773" w:rsidR="00FA23EA" w:rsidRPr="003A02E6" w:rsidRDefault="006874D1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0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nepieciešams, lai nodrošinātu, ka emitent</w:t>
            </w:r>
            <w:r w:rsidR="00EA26EB" w:rsidRPr="003A0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iem ir vienota izpratne par </w:t>
            </w:r>
            <w:r w:rsidR="003A02E6" w:rsidRPr="003A0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Oficiālās </w:t>
            </w:r>
            <w:r w:rsidR="00DD47D4" w:rsidRPr="00A148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regulētās informācijas centralizētās </w:t>
            </w:r>
            <w:r w:rsidR="003A02E6" w:rsidRPr="003A0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glabāšanas sistēmas lietošanu un regulētās informācijas klasifikāciju. 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 ar to</w:t>
            </w:r>
            <w:r w:rsidR="00DD47D4" w:rsidRPr="003A0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A23EA" w:rsidRPr="003A0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ir svarīgi noteikt, kur atklājamā informācija ir ievietojama, kas izveido un uztur informācijas glabāšanas sistēmu, kādas ir prasības informācijas izplatīšanai un kādā veidā informācija tiek ievietota informācijas glabāšanas sistēmā. </w:t>
            </w:r>
          </w:p>
          <w:p w14:paraId="3FD2B1A0" w14:textId="77777777" w:rsidR="008B3F9B" w:rsidRPr="003A02E6" w:rsidRDefault="008B3F9B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14:paraId="11C9D20D" w14:textId="517763F4" w:rsidR="008B3F9B" w:rsidRPr="003A02E6" w:rsidRDefault="008B3F9B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A0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projekta </w:t>
            </w:r>
            <w:r w:rsidRPr="003A0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prasības ir vērstas uz </w:t>
            </w:r>
            <w:r w:rsidR="000F5DB5" w:rsidRPr="003A0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atklāšanu</w:t>
            </w:r>
            <w:r w:rsidR="00BE7A0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0F5DB5" w:rsidRPr="003A0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tādā veidā nodrošinot </w:t>
            </w:r>
            <w:r w:rsidRPr="003A0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ieguldītāju interešu aizsardzību.</w:t>
            </w:r>
          </w:p>
          <w:p w14:paraId="417966FA" w14:textId="77777777" w:rsidR="008B3F9B" w:rsidRPr="0035283B" w:rsidRDefault="008B3F9B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lv-LV"/>
              </w:rPr>
            </w:pPr>
          </w:p>
          <w:p w14:paraId="588FA9FD" w14:textId="20F7AA62" w:rsidR="00E53DE9" w:rsidRPr="00EA26EB" w:rsidRDefault="008A315C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A02E6">
              <w:rPr>
                <w:rFonts w:ascii="Times New Roman" w:eastAsia="Times New Roman" w:hAnsi="Times New Roman" w:cs="Times New Roman"/>
                <w:sz w:val="24"/>
                <w:szCs w:val="24"/>
              </w:rPr>
              <w:t>Ar Latvijas Bankas noteikumiem</w:t>
            </w:r>
            <w:r w:rsidR="002409B1" w:rsidRPr="003A0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nosakot Oficiālās </w:t>
            </w:r>
            <w:r w:rsidR="00DD47D4" w:rsidRPr="00A148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regulētās informācijas centralizētās </w:t>
            </w:r>
            <w:r w:rsidR="002409B1" w:rsidRPr="003A0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glabāšanas sistēmas izveidošanas un uzturēšanas kārtību, prasības regulētās </w:t>
            </w:r>
            <w:r w:rsidR="002409B1" w:rsidRPr="003A02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informācijas izplatīšanai, kā arī informācijas nosūtīšanas kārtību,</w:t>
            </w:r>
            <w:r w:rsidRPr="003A0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tiek veicināta emitentu </w:t>
            </w:r>
            <w:r w:rsidR="002409B1" w:rsidRPr="003A0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vienota izpratne par sniedzamās informācijas veidiem </w:t>
            </w:r>
            <w:r w:rsidR="00EA26EB" w:rsidRPr="003A02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sistēmas lietošanu. Tas savukārt veicina kvalitatīvas un strukturētas regulētās informācijas publisku pieejamību ieguldītājiem, kā arī citām ieinteresētajām pusēm, </w:t>
            </w:r>
            <w:r w:rsidRPr="003A02E6">
              <w:rPr>
                <w:rFonts w:ascii="Times New Roman" w:eastAsia="Times New Roman" w:hAnsi="Times New Roman" w:cs="Times New Roman"/>
                <w:sz w:val="24"/>
                <w:szCs w:val="24"/>
              </w:rPr>
              <w:t>kas nodrošina Latvijas Bankai Latvijas Bankas likumā noteikto pienākumu izpildi, lai sasniegtu tās darbības mērķi – veicināt ieguldītāju aizsardzību un vienlīdzīgas informācijas sniegšanu ieguldītājiem.</w:t>
            </w:r>
            <w:r w:rsidRPr="007E3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0B4E0A" w:rsidRPr="000B4E0A" w14:paraId="60C14D6A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35147FD0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Samērīgums</w:t>
            </w:r>
          </w:p>
          <w:p w14:paraId="6E780DF3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40A2D383" w14:textId="5655204F" w:rsidR="00434DDE" w:rsidRPr="00434DDE" w:rsidRDefault="00434DDE" w:rsidP="00434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4D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kopumā un tajā ietvertās tiesību normas atbilst samērīguma principam, jo:</w:t>
            </w:r>
          </w:p>
          <w:p w14:paraId="419912B2" w14:textId="30030104" w:rsidR="00434DDE" w:rsidRPr="00434DDE" w:rsidRDefault="00434DDE" w:rsidP="00434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4D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434D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pirmkārt, ar noteikumu projektu un tajā ietvertajām prasībām tiek sasniegts leģitīmais mērķis (citu personu tiesību aizsardzība);</w:t>
            </w:r>
          </w:p>
          <w:p w14:paraId="286F02CB" w14:textId="13E1248E" w:rsidR="00434DDE" w:rsidRPr="00434DDE" w:rsidRDefault="00434DDE" w:rsidP="00434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4D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434D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otrkārt, nepastāv tādi alternatīvi līdzekļi, kas sasniegtu leģitīmo mērķi tādā pašā kvalitātē;</w:t>
            </w:r>
          </w:p>
          <w:p w14:paraId="0EBC16BF" w14:textId="542FC857" w:rsidR="00F10C21" w:rsidRPr="00FA39C3" w:rsidRDefault="00434DDE" w:rsidP="00434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4D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434D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treškārt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434D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labums, ko iegūs sabiedrība, būs lielāks par projektā ietverto prasību radītajām negatīvajām sekām.</w:t>
            </w:r>
          </w:p>
        </w:tc>
      </w:tr>
      <w:tr w:rsidR="000B4E0A" w:rsidRPr="000B4E0A" w14:paraId="76EC6B04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72C3C5E7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Spēkā stāšanās</w:t>
            </w:r>
          </w:p>
          <w:p w14:paraId="5B8C2C6C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B910EAA" w14:textId="0C3D5CAA" w:rsidR="00CA28AB" w:rsidRPr="00FA39C3" w:rsidRDefault="00B22856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2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Nākamajā dienā pēc publicēšanas oficiālajā izdevumā "Latvijas Vēstnesis".</w:t>
            </w:r>
          </w:p>
        </w:tc>
      </w:tr>
      <w:tr w:rsidR="000B4E0A" w:rsidRPr="000B4E0A" w14:paraId="19A97983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66D281CB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  <w:p w14:paraId="34CA4700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4F12A750" w14:textId="07EA8041" w:rsidR="00E53DE9" w:rsidRPr="00FA39C3" w:rsidRDefault="00B22856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E3A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ietekmes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38FD13F6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15A75B14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tirgus dalībniekiem</w:t>
            </w:r>
            <w:r w:rsidR="00C85C34"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  <w:p w14:paraId="505DC27D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37FB2667" w14:textId="452339C1" w:rsidR="00A42788" w:rsidRPr="00FA39C3" w:rsidRDefault="00B22856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285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Noteikumi papildu administratīvo slogu nerada, jo līdzīgi noteikumi ir spēkā šobrīd.</w:t>
            </w:r>
          </w:p>
        </w:tc>
      </w:tr>
      <w:tr w:rsidR="000B4E0A" w:rsidRPr="000B4E0A" w14:paraId="10EAD559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5FF39656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1EDB5682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2D5F199C" w14:textId="4F5554BB" w:rsidR="00D27D1A" w:rsidRDefault="00D27D1A" w:rsidP="00FE5A09">
            <w:pPr>
              <w:pStyle w:val="ListParagraph"/>
              <w:numPr>
                <w:ilvl w:val="0"/>
                <w:numId w:val="4"/>
              </w:numPr>
              <w:tabs>
                <w:tab w:val="left" w:pos="31"/>
                <w:tab w:val="left" w:pos="25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Finanšu instrumentu tirgus likums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38EF4A51" w14:textId="17A05C0F" w:rsidR="00D27D1A" w:rsidRDefault="00D27D1A" w:rsidP="00FE5A09">
            <w:pPr>
              <w:pStyle w:val="ListParagraph"/>
              <w:numPr>
                <w:ilvl w:val="0"/>
                <w:numId w:val="4"/>
              </w:numPr>
              <w:tabs>
                <w:tab w:val="left" w:pos="31"/>
                <w:tab w:val="left" w:pos="25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Komisijas </w:t>
            </w:r>
            <w:r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2016.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19.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deleģētā regula </w:t>
            </w:r>
            <w:r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(ES)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2016/1437</w:t>
            </w:r>
            <w:r w:rsidR="00FE5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ko attiecībā uz regulatīvajiem tehniskajiem standartiem par piekļuvi regulētai informācijai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Savienības līmenī papildina Eiropas Parlamenta un Padomes </w:t>
            </w:r>
            <w:r w:rsidR="00BE7A0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</w:t>
            </w:r>
            <w:r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irektīvu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2004/109/EK</w:t>
            </w:r>
            <w:r w:rsidR="00DD47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5F9276F7" w14:textId="5819A3BA" w:rsidR="00D27D1A" w:rsidRPr="00D27D1A" w:rsidRDefault="00F73CD0" w:rsidP="00F73CD0">
            <w:pPr>
              <w:pStyle w:val="ListParagraph"/>
              <w:tabs>
                <w:tab w:val="left" w:pos="31"/>
                <w:tab w:val="left" w:pos="25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3. </w:t>
            </w:r>
            <w:r w:rsidR="00B22856"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Finanšu un kapitāla tirgus komisijas 2020.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B22856"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gada </w:t>
            </w:r>
            <w:r w:rsidR="002D0D9B"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</w:t>
            </w:r>
            <w:r w:rsidR="00B22856"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D0D9B"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decembra</w:t>
            </w:r>
            <w:r w:rsidR="00B22856"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normatīvie noteikumi Nr.</w:t>
            </w:r>
            <w:r w:rsidR="00AE2C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D0D9B"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246</w:t>
            </w:r>
            <w:r w:rsidR="00B22856"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</w:t>
            </w:r>
            <w:r w:rsidR="002D0D9B"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Normatīvie noteikumi par kārtību, kādā iesniedzama informācija Oficiālajai regulētās informācijas centralizētās glabāšanas sistēmai</w:t>
            </w:r>
            <w:r w:rsidR="00B22856" w:rsidRPr="00D27D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".</w:t>
            </w:r>
          </w:p>
        </w:tc>
      </w:tr>
      <w:tr w:rsidR="000B4E0A" w:rsidRPr="000B4E0A" w14:paraId="34D095D4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1C07753A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  <w:p w14:paraId="6528E6E5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6D2EBB33" w14:textId="36AE052A" w:rsidR="00A42788" w:rsidRPr="00FA39C3" w:rsidRDefault="00610859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1085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attiecināms.</w:t>
            </w:r>
          </w:p>
        </w:tc>
      </w:tr>
      <w:tr w:rsidR="000B4E0A" w:rsidRPr="000B4E0A" w14:paraId="43D105E7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4110BB0F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39E50E82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3389C5ED" w14:textId="77777777" w:rsidR="008C422B" w:rsidRDefault="008C422B" w:rsidP="008941BA">
            <w:pPr>
              <w:spacing w:after="0" w:line="240" w:lineRule="auto"/>
              <w:jc w:val="both"/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04639B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Noteikumu projekts tik</w:t>
            </w:r>
            <w:r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a</w:t>
            </w:r>
            <w:r w:rsidRPr="0004639B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publicēts Latvijas Bankas tīmekļvietnes </w:t>
            </w:r>
            <w:hyperlink r:id="rId11" w:history="1">
              <w:r w:rsidRPr="0004639B">
                <w:rPr>
                  <w:rStyle w:val="cf01"/>
                  <w:rFonts w:ascii="Times New Roman" w:hAnsi="Times New Roman" w:cs="Times New Roman"/>
                  <w:i w:val="0"/>
                  <w:iCs w:val="0"/>
                  <w:color w:val="0000FF"/>
                  <w:sz w:val="24"/>
                  <w:szCs w:val="24"/>
                  <w:u w:val="single"/>
                </w:rPr>
                <w:t>www.bank.lv</w:t>
              </w:r>
            </w:hyperlink>
            <w:r w:rsidRPr="0004639B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Pr="008C422B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sadaļas "Tiesību akti" </w:t>
            </w:r>
            <w:proofErr w:type="spellStart"/>
            <w:r w:rsidRPr="008C422B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apakšsadaļā</w:t>
            </w:r>
            <w:proofErr w:type="spellEnd"/>
            <w:r w:rsidRPr="008C422B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"Sabiedrības līdzdalība"</w:t>
            </w:r>
            <w:r w:rsidRPr="0004639B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, un </w:t>
            </w:r>
            <w:r w:rsidRPr="003D1561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par to bija iespējama sabiedrības līdzdalība. </w:t>
            </w:r>
          </w:p>
          <w:p w14:paraId="531054A4" w14:textId="77777777" w:rsidR="008C422B" w:rsidRDefault="008C422B" w:rsidP="008941BA">
            <w:pPr>
              <w:spacing w:after="0" w:line="240" w:lineRule="auto"/>
              <w:jc w:val="both"/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236A65D3" w14:textId="477AF4DB" w:rsidR="00E53DE9" w:rsidRPr="0029216F" w:rsidRDefault="008C422B" w:rsidP="008941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D1561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Noteikumu projekts 2024. gada 19. februārī tika nosūtīts emitentiem iebildumu un priekšlikumu sniegšanai.</w:t>
            </w:r>
          </w:p>
        </w:tc>
      </w:tr>
      <w:tr w:rsidR="000B4E0A" w:rsidRPr="000B4E0A" w14:paraId="1819444B" w14:textId="77777777" w:rsidTr="00E253DA">
        <w:trPr>
          <w:trHeight w:val="567"/>
        </w:trPr>
        <w:tc>
          <w:tcPr>
            <w:tcW w:w="1796" w:type="pct"/>
            <w:shd w:val="clear" w:color="auto" w:fill="auto"/>
            <w:hideMark/>
          </w:tcPr>
          <w:p w14:paraId="44DC35E0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  <w:p w14:paraId="4F0BACBD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204" w:type="pct"/>
            <w:shd w:val="clear" w:color="auto" w:fill="auto"/>
          </w:tcPr>
          <w:p w14:paraId="0DEEAAC0" w14:textId="5A62036B" w:rsidR="00E53DE9" w:rsidRPr="008C422B" w:rsidRDefault="008C422B" w:rsidP="009A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8C422B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Priekšlikumi, ierosinājumi vai komentāri no sabiedrības pārstāvjiem</w:t>
            </w:r>
            <w:r w:rsidRPr="008C422B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un emitentiem </w:t>
            </w:r>
            <w:r w:rsidRPr="008C422B">
              <w:rPr>
                <w:rStyle w:val="cf01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netika saņemti.</w:t>
            </w:r>
          </w:p>
        </w:tc>
      </w:tr>
    </w:tbl>
    <w:p w14:paraId="1C5DC219" w14:textId="77777777" w:rsidR="009B27BE" w:rsidRDefault="009B27BE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BEC2F" w14:textId="77777777" w:rsidR="00E53DE9" w:rsidRPr="000B4E0A" w:rsidRDefault="00E53DE9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3DE9" w:rsidRPr="000B4E0A" w:rsidSect="007E313B">
      <w:headerReference w:type="default" r:id="rId12"/>
      <w:pgSz w:w="11906" w:h="16838" w:code="9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1AADB" w14:textId="77777777" w:rsidR="00C033A0" w:rsidRDefault="00C033A0" w:rsidP="009B27BE">
      <w:pPr>
        <w:spacing w:after="0" w:line="240" w:lineRule="auto"/>
      </w:pPr>
      <w:r>
        <w:separator/>
      </w:r>
    </w:p>
  </w:endnote>
  <w:endnote w:type="continuationSeparator" w:id="0">
    <w:p w14:paraId="417C5585" w14:textId="77777777" w:rsidR="00C033A0" w:rsidRDefault="00C033A0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09C45" w14:textId="77777777" w:rsidR="00C033A0" w:rsidRDefault="00C033A0" w:rsidP="009B27BE">
      <w:pPr>
        <w:spacing w:after="0" w:line="240" w:lineRule="auto"/>
      </w:pPr>
      <w:r>
        <w:separator/>
      </w:r>
    </w:p>
  </w:footnote>
  <w:footnote w:type="continuationSeparator" w:id="0">
    <w:p w14:paraId="67F80161" w14:textId="77777777" w:rsidR="00C033A0" w:rsidRDefault="00C033A0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5DFCB96" w14:textId="77777777" w:rsidR="007E313B" w:rsidRPr="007E313B" w:rsidRDefault="007E31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31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1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E313B">
          <w:rPr>
            <w:rFonts w:ascii="Times New Roman" w:hAnsi="Times New Roman" w:cs="Times New Roman"/>
            <w:sz w:val="20"/>
            <w:szCs w:val="20"/>
          </w:rPr>
          <w:t>2</w: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5921DAC" w14:textId="77777777" w:rsidR="007E313B" w:rsidRDefault="007E31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65633"/>
    <w:multiLevelType w:val="hybridMultilevel"/>
    <w:tmpl w:val="8A1E012E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DB1CA4"/>
    <w:multiLevelType w:val="hybridMultilevel"/>
    <w:tmpl w:val="2D9E8668"/>
    <w:lvl w:ilvl="0" w:tplc="042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D6358D"/>
    <w:multiLevelType w:val="hybridMultilevel"/>
    <w:tmpl w:val="75C0B6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C18CF"/>
    <w:multiLevelType w:val="hybridMultilevel"/>
    <w:tmpl w:val="EB1656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183085">
    <w:abstractNumId w:val="3"/>
  </w:num>
  <w:num w:numId="2" w16cid:durableId="663629047">
    <w:abstractNumId w:val="2"/>
  </w:num>
  <w:num w:numId="3" w16cid:durableId="710767427">
    <w:abstractNumId w:val="1"/>
  </w:num>
  <w:num w:numId="4" w16cid:durableId="10341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A0"/>
    <w:rsid w:val="000263F5"/>
    <w:rsid w:val="0004639B"/>
    <w:rsid w:val="0008510E"/>
    <w:rsid w:val="0009616F"/>
    <w:rsid w:val="000A2FA6"/>
    <w:rsid w:val="000B4E0A"/>
    <w:rsid w:val="000F5DB5"/>
    <w:rsid w:val="00132070"/>
    <w:rsid w:val="00133F6A"/>
    <w:rsid w:val="00143A48"/>
    <w:rsid w:val="001475E0"/>
    <w:rsid w:val="001A5171"/>
    <w:rsid w:val="002409B1"/>
    <w:rsid w:val="0029216F"/>
    <w:rsid w:val="00295B8A"/>
    <w:rsid w:val="002C576C"/>
    <w:rsid w:val="002D08C7"/>
    <w:rsid w:val="002D0D9B"/>
    <w:rsid w:val="002E07B9"/>
    <w:rsid w:val="003344C2"/>
    <w:rsid w:val="0035062A"/>
    <w:rsid w:val="0035283B"/>
    <w:rsid w:val="003A02E6"/>
    <w:rsid w:val="003B481B"/>
    <w:rsid w:val="00434DDE"/>
    <w:rsid w:val="0049248A"/>
    <w:rsid w:val="005B3E28"/>
    <w:rsid w:val="0060016E"/>
    <w:rsid w:val="00610859"/>
    <w:rsid w:val="00622ED3"/>
    <w:rsid w:val="00642172"/>
    <w:rsid w:val="006874D1"/>
    <w:rsid w:val="006A0FDE"/>
    <w:rsid w:val="006D4196"/>
    <w:rsid w:val="006D54B1"/>
    <w:rsid w:val="006E6DC4"/>
    <w:rsid w:val="00706D63"/>
    <w:rsid w:val="0073509A"/>
    <w:rsid w:val="00756820"/>
    <w:rsid w:val="00762371"/>
    <w:rsid w:val="007704E3"/>
    <w:rsid w:val="00773556"/>
    <w:rsid w:val="007775DE"/>
    <w:rsid w:val="00790CDB"/>
    <w:rsid w:val="007E313B"/>
    <w:rsid w:val="007F136A"/>
    <w:rsid w:val="00862E67"/>
    <w:rsid w:val="00871769"/>
    <w:rsid w:val="008941BA"/>
    <w:rsid w:val="00895EDD"/>
    <w:rsid w:val="008A315C"/>
    <w:rsid w:val="008B3F9B"/>
    <w:rsid w:val="008C422B"/>
    <w:rsid w:val="00902B7F"/>
    <w:rsid w:val="00920325"/>
    <w:rsid w:val="009205DA"/>
    <w:rsid w:val="00920831"/>
    <w:rsid w:val="0092110B"/>
    <w:rsid w:val="00925CD3"/>
    <w:rsid w:val="009A13C5"/>
    <w:rsid w:val="009B27BE"/>
    <w:rsid w:val="009C49CC"/>
    <w:rsid w:val="009D1C38"/>
    <w:rsid w:val="009D69BC"/>
    <w:rsid w:val="00A0418B"/>
    <w:rsid w:val="00A069CF"/>
    <w:rsid w:val="00A14884"/>
    <w:rsid w:val="00A42788"/>
    <w:rsid w:val="00A923BB"/>
    <w:rsid w:val="00AE2C47"/>
    <w:rsid w:val="00B22856"/>
    <w:rsid w:val="00B239A5"/>
    <w:rsid w:val="00B62244"/>
    <w:rsid w:val="00B95DAB"/>
    <w:rsid w:val="00BA0942"/>
    <w:rsid w:val="00BC1634"/>
    <w:rsid w:val="00BE7A06"/>
    <w:rsid w:val="00C033A0"/>
    <w:rsid w:val="00C635BE"/>
    <w:rsid w:val="00C85C34"/>
    <w:rsid w:val="00CA28AB"/>
    <w:rsid w:val="00CD28FE"/>
    <w:rsid w:val="00CE1B2D"/>
    <w:rsid w:val="00CE3CB6"/>
    <w:rsid w:val="00D02F98"/>
    <w:rsid w:val="00D17D5D"/>
    <w:rsid w:val="00D27D1A"/>
    <w:rsid w:val="00D417A2"/>
    <w:rsid w:val="00D508D3"/>
    <w:rsid w:val="00D62C17"/>
    <w:rsid w:val="00D96859"/>
    <w:rsid w:val="00DB3A6F"/>
    <w:rsid w:val="00DD47D4"/>
    <w:rsid w:val="00DE2D9C"/>
    <w:rsid w:val="00E03FE6"/>
    <w:rsid w:val="00E04474"/>
    <w:rsid w:val="00E253DA"/>
    <w:rsid w:val="00E53DE9"/>
    <w:rsid w:val="00E60064"/>
    <w:rsid w:val="00EA26EB"/>
    <w:rsid w:val="00EB261C"/>
    <w:rsid w:val="00EF330D"/>
    <w:rsid w:val="00F10C21"/>
    <w:rsid w:val="00F65C69"/>
    <w:rsid w:val="00F73CD0"/>
    <w:rsid w:val="00FA23EA"/>
    <w:rsid w:val="00FA39C3"/>
    <w:rsid w:val="00FA4B91"/>
    <w:rsid w:val="00FC38EE"/>
    <w:rsid w:val="00FE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7DB338"/>
  <w15:chartTrackingRefBased/>
  <w15:docId w15:val="{54615396-AF0B-4255-9235-2D6A2A2B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paragraph" w:styleId="ListParagraph">
    <w:name w:val="List Paragraph"/>
    <w:basedOn w:val="Normal"/>
    <w:uiPriority w:val="34"/>
    <w:qFormat/>
    <w:rsid w:val="00FA39C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F13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13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13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36A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610859"/>
    <w:rPr>
      <w:rFonts w:ascii="Segoe UI" w:hAnsi="Segoe UI" w:cs="Segoe UI" w:hint="default"/>
      <w:i/>
      <w:iCs/>
      <w:sz w:val="18"/>
      <w:szCs w:val="18"/>
    </w:rPr>
  </w:style>
  <w:style w:type="paragraph" w:styleId="Revision">
    <w:name w:val="Revision"/>
    <w:hidden/>
    <w:uiPriority w:val="99"/>
    <w:semiHidden/>
    <w:rsid w:val="009A13C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06D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6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ank.l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NA_ANOTACIJA.dotx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ANA_ANOTACIJA.dotx</Template>
  <TotalTime>3</TotalTime>
  <Pages>2</Pages>
  <Words>3035</Words>
  <Characters>1731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 Ilenāne</dc:creator>
  <cp:keywords/>
  <dc:description/>
  <cp:lastModifiedBy>Gunta Ilenāne</cp:lastModifiedBy>
  <cp:revision>3</cp:revision>
  <dcterms:created xsi:type="dcterms:W3CDTF">2024-03-05T08:18:00Z</dcterms:created>
  <dcterms:modified xsi:type="dcterms:W3CDTF">2024-03-05T08:22:00Z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