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47E01" w14:textId="7669DD68" w:rsidR="009B27BE" w:rsidRPr="00CA28AB" w:rsidRDefault="00CA28AB" w:rsidP="00920831">
      <w:pPr>
        <w:spacing w:after="0" w:line="240" w:lineRule="auto"/>
        <w:jc w:val="center"/>
        <w:rPr>
          <w:rFonts w:ascii="Times New Roman" w:hAnsi="Times New Roman" w:cs="Times New Roman"/>
          <w:b/>
          <w:bCs/>
          <w:sz w:val="24"/>
          <w:szCs w:val="24"/>
        </w:rPr>
      </w:pPr>
      <w:r w:rsidRPr="2AD891FB">
        <w:rPr>
          <w:rFonts w:ascii="Times New Roman" w:hAnsi="Times New Roman" w:cs="Times New Roman"/>
          <w:b/>
          <w:bCs/>
          <w:sz w:val="24"/>
          <w:szCs w:val="24"/>
        </w:rPr>
        <w:t xml:space="preserve">Latvijas Bankas noteikumu projekta </w:t>
      </w:r>
      <w:r w:rsidR="00C23668" w:rsidRPr="2AD891FB">
        <w:rPr>
          <w:rFonts w:ascii="Times New Roman" w:hAnsi="Times New Roman" w:cs="Times New Roman"/>
          <w:b/>
          <w:bCs/>
          <w:sz w:val="24"/>
          <w:szCs w:val="24"/>
        </w:rPr>
        <w:t>"</w:t>
      </w:r>
      <w:r w:rsidR="00BE0378" w:rsidRPr="2AD891FB">
        <w:rPr>
          <w:rFonts w:ascii="Times New Roman" w:hAnsi="Times New Roman" w:cs="Times New Roman"/>
          <w:b/>
          <w:bCs/>
          <w:sz w:val="24"/>
          <w:szCs w:val="24"/>
        </w:rPr>
        <w:t>Kredītriska</w:t>
      </w:r>
      <w:r w:rsidR="00C23668" w:rsidRPr="2AD891FB">
        <w:rPr>
          <w:rFonts w:ascii="Times New Roman" w:hAnsi="Times New Roman" w:cs="Times New Roman"/>
          <w:b/>
          <w:bCs/>
          <w:sz w:val="24"/>
          <w:szCs w:val="24"/>
        </w:rPr>
        <w:t xml:space="preserve"> pārvaldīšanas</w:t>
      </w:r>
      <w:r w:rsidR="387AF4CC" w:rsidRPr="2AD891FB">
        <w:rPr>
          <w:rFonts w:ascii="Times New Roman" w:hAnsi="Times New Roman" w:cs="Times New Roman"/>
          <w:b/>
          <w:bCs/>
          <w:sz w:val="24"/>
          <w:szCs w:val="24"/>
        </w:rPr>
        <w:t xml:space="preserve"> </w:t>
      </w:r>
      <w:r w:rsidR="00C23668" w:rsidRPr="2AD891FB">
        <w:rPr>
          <w:rFonts w:ascii="Times New Roman" w:hAnsi="Times New Roman" w:cs="Times New Roman"/>
          <w:b/>
          <w:bCs/>
          <w:sz w:val="24"/>
          <w:szCs w:val="24"/>
        </w:rPr>
        <w:t xml:space="preserve">noteikumi" </w:t>
      </w:r>
      <w:r w:rsidR="003B481B" w:rsidRPr="2AD891FB">
        <w:rPr>
          <w:rFonts w:ascii="Times New Roman" w:hAnsi="Times New Roman" w:cs="Times New Roman"/>
          <w:b/>
          <w:bCs/>
          <w:sz w:val="24"/>
          <w:szCs w:val="24"/>
        </w:rPr>
        <w:t>anotācija</w:t>
      </w:r>
    </w:p>
    <w:p w14:paraId="67AF76FA" w14:textId="77777777" w:rsidR="003B481B" w:rsidRPr="000B4E0A" w:rsidRDefault="003B481B" w:rsidP="0049248A">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6"/>
        <w:gridCol w:w="6940"/>
      </w:tblGrid>
      <w:tr w:rsidR="000B4E0A" w:rsidRPr="000B4E0A" w14:paraId="20AC344C" w14:textId="77777777" w:rsidTr="536E3942">
        <w:trPr>
          <w:trHeight w:val="567"/>
        </w:trPr>
        <w:tc>
          <w:tcPr>
            <w:tcW w:w="987" w:type="pct"/>
            <w:shd w:val="clear" w:color="auto" w:fill="auto"/>
            <w:hideMark/>
          </w:tcPr>
          <w:p w14:paraId="51744EF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7605C35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6233B71" w14:textId="109A0FD2" w:rsidR="00C23668" w:rsidRPr="00EF6F40" w:rsidRDefault="00BE0378" w:rsidP="00680EDA">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Kredītriska</w:t>
            </w:r>
            <w:r w:rsidR="00C23668" w:rsidRPr="00EF6F40">
              <w:rPr>
                <w:rFonts w:ascii="Times New Roman" w:eastAsia="Times New Roman" w:hAnsi="Times New Roman" w:cs="Times New Roman"/>
                <w:sz w:val="24"/>
                <w:szCs w:val="24"/>
                <w:lang w:eastAsia="lv-LV"/>
              </w:rPr>
              <w:t xml:space="preserve"> pārvaldīšanas noteikumi</w:t>
            </w:r>
          </w:p>
        </w:tc>
      </w:tr>
      <w:tr w:rsidR="000B4E0A" w:rsidRPr="000B4E0A" w14:paraId="27C24A21" w14:textId="77777777" w:rsidTr="536E3942">
        <w:trPr>
          <w:trHeight w:val="395"/>
        </w:trPr>
        <w:tc>
          <w:tcPr>
            <w:tcW w:w="987" w:type="pct"/>
            <w:shd w:val="clear" w:color="auto" w:fill="auto"/>
            <w:hideMark/>
          </w:tcPr>
          <w:p w14:paraId="095EFDB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1C37E82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7D16953" w14:textId="3504C8D5" w:rsidR="00E53DE9" w:rsidRPr="00EF6F40" w:rsidRDefault="00C23668" w:rsidP="00C23668">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Latvijas Bankas noteikumi</w:t>
            </w:r>
          </w:p>
        </w:tc>
      </w:tr>
      <w:tr w:rsidR="000B4E0A" w:rsidRPr="000B4E0A" w14:paraId="425B3485" w14:textId="77777777" w:rsidTr="536E3942">
        <w:trPr>
          <w:trHeight w:val="567"/>
        </w:trPr>
        <w:tc>
          <w:tcPr>
            <w:tcW w:w="987" w:type="pct"/>
            <w:shd w:val="clear" w:color="auto" w:fill="auto"/>
            <w:hideMark/>
          </w:tcPr>
          <w:p w14:paraId="63A2979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F9DB618"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5FB2CE" w14:textId="09AFC5E2" w:rsidR="00E53DE9" w:rsidRPr="00A4013B" w:rsidRDefault="00BE0378" w:rsidP="00BE0378">
            <w:pPr>
              <w:spacing w:line="240" w:lineRule="auto"/>
              <w:jc w:val="both"/>
              <w:rPr>
                <w:rFonts w:ascii="Times New Roman" w:eastAsia="Times New Roman" w:hAnsi="Times New Roman" w:cs="Times New Roman"/>
                <w:sz w:val="24"/>
                <w:szCs w:val="24"/>
                <w:lang w:eastAsia="lv-LV"/>
              </w:rPr>
            </w:pPr>
            <w:r w:rsidRPr="00BE0378">
              <w:rPr>
                <w:rFonts w:ascii="Times New Roman" w:eastAsia="Times New Roman" w:hAnsi="Times New Roman" w:cs="Times New Roman"/>
                <w:sz w:val="24"/>
                <w:szCs w:val="24"/>
                <w:lang w:eastAsia="lv-LV"/>
              </w:rPr>
              <w:t>Kredītiestāžu likuma 34.</w:t>
            </w:r>
            <w:r w:rsidRPr="00BE0378">
              <w:rPr>
                <w:rFonts w:ascii="Times New Roman" w:eastAsia="Times New Roman" w:hAnsi="Times New Roman" w:cs="Times New Roman"/>
                <w:sz w:val="24"/>
                <w:szCs w:val="24"/>
                <w:vertAlign w:val="superscript"/>
                <w:lang w:eastAsia="lv-LV"/>
              </w:rPr>
              <w:t>2</w:t>
            </w:r>
            <w:r w:rsidR="00753511">
              <w:rPr>
                <w:rFonts w:ascii="Times New Roman" w:eastAsia="Times New Roman" w:hAnsi="Times New Roman" w:cs="Times New Roman"/>
                <w:sz w:val="24"/>
                <w:szCs w:val="24"/>
                <w:vertAlign w:val="superscript"/>
                <w:lang w:eastAsia="lv-LV"/>
              </w:rPr>
              <w:t> </w:t>
            </w:r>
            <w:r w:rsidRPr="00BE0378">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BE037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520EDE">
              <w:rPr>
                <w:rFonts w:ascii="Times New Roman" w:eastAsia="Times New Roman" w:hAnsi="Times New Roman" w:cs="Times New Roman"/>
                <w:sz w:val="24"/>
                <w:szCs w:val="24"/>
                <w:lang w:eastAsia="lv-LV"/>
              </w:rPr>
              <w:t xml:space="preserve"> </w:t>
            </w:r>
            <w:r w:rsidRPr="00BE0378">
              <w:rPr>
                <w:rFonts w:ascii="Times New Roman" w:eastAsia="Times New Roman" w:hAnsi="Times New Roman" w:cs="Times New Roman"/>
                <w:sz w:val="24"/>
                <w:szCs w:val="24"/>
                <w:lang w:eastAsia="lv-LV"/>
              </w:rPr>
              <w:t>un 55.</w:t>
            </w:r>
            <w:r w:rsidR="00753511">
              <w:rPr>
                <w:rFonts w:ascii="Times New Roman" w:eastAsia="Times New Roman" w:hAnsi="Times New Roman" w:cs="Times New Roman"/>
                <w:sz w:val="24"/>
                <w:szCs w:val="24"/>
                <w:lang w:eastAsia="lv-LV"/>
              </w:rPr>
              <w:t> </w:t>
            </w:r>
            <w:r w:rsidRPr="00BE0378">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s</w:t>
            </w:r>
          </w:p>
        </w:tc>
      </w:tr>
      <w:tr w:rsidR="000B4E0A" w:rsidRPr="000B4E0A" w14:paraId="02BD3DA4" w14:textId="77777777" w:rsidTr="536E3942">
        <w:trPr>
          <w:trHeight w:val="567"/>
        </w:trPr>
        <w:tc>
          <w:tcPr>
            <w:tcW w:w="987" w:type="pct"/>
            <w:shd w:val="clear" w:color="auto" w:fill="auto"/>
            <w:hideMark/>
          </w:tcPr>
          <w:p w14:paraId="3FFAA82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8DF5158" w14:textId="1FC8011F" w:rsidR="00CA28AB" w:rsidRPr="00E253DA" w:rsidRDefault="00CA28AB" w:rsidP="536E3942">
            <w:pPr>
              <w:spacing w:after="0" w:line="240" w:lineRule="auto"/>
              <w:rPr>
                <w:rFonts w:ascii="Times New Roman" w:eastAsia="Times New Roman" w:hAnsi="Times New Roman" w:cs="Times New Roman"/>
                <w:b/>
                <w:bCs/>
                <w:sz w:val="24"/>
                <w:szCs w:val="24"/>
                <w:lang w:eastAsia="lv-LV"/>
              </w:rPr>
            </w:pPr>
          </w:p>
          <w:p w14:paraId="0E12F310" w14:textId="7855B3E5" w:rsidR="00CA28AB" w:rsidRPr="00E253DA" w:rsidRDefault="00CA28AB" w:rsidP="536E3942">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8B35E3E" w14:textId="3AAC2CF9" w:rsidR="00F67408" w:rsidRDefault="00F67408" w:rsidP="00CF5E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Kredītiestāžu likuma </w:t>
            </w:r>
            <w:r w:rsidRPr="00BE0378">
              <w:rPr>
                <w:rFonts w:ascii="Times New Roman" w:eastAsia="Times New Roman" w:hAnsi="Times New Roman" w:cs="Times New Roman"/>
                <w:sz w:val="24"/>
                <w:szCs w:val="24"/>
                <w:lang w:eastAsia="lv-LV"/>
              </w:rPr>
              <w:t>34.</w:t>
            </w:r>
            <w:r w:rsidRPr="00BE0378">
              <w:rPr>
                <w:rFonts w:ascii="Times New Roman" w:eastAsia="Times New Roman" w:hAnsi="Times New Roman" w:cs="Times New Roman"/>
                <w:sz w:val="24"/>
                <w:szCs w:val="24"/>
                <w:vertAlign w:val="superscript"/>
                <w:lang w:eastAsia="lv-LV"/>
              </w:rPr>
              <w:t>2</w:t>
            </w:r>
            <w:r w:rsidR="00753511">
              <w:rPr>
                <w:rFonts w:ascii="Times New Roman" w:eastAsia="Times New Roman" w:hAnsi="Times New Roman" w:cs="Times New Roman"/>
                <w:sz w:val="24"/>
                <w:szCs w:val="24"/>
                <w:vertAlign w:val="superscript"/>
                <w:lang w:eastAsia="lv-LV"/>
              </w:rPr>
              <w:t> </w:t>
            </w:r>
            <w:r w:rsidRPr="00BE0378">
              <w:rPr>
                <w:rFonts w:ascii="Times New Roman" w:eastAsia="Times New Roman" w:hAnsi="Times New Roman" w:cs="Times New Roman"/>
                <w:sz w:val="24"/>
                <w:szCs w:val="24"/>
                <w:lang w:eastAsia="lv-LV"/>
              </w:rPr>
              <w:t>panta ceturt</w:t>
            </w:r>
            <w:r>
              <w:rPr>
                <w:rFonts w:ascii="Times New Roman" w:eastAsia="Times New Roman" w:hAnsi="Times New Roman" w:cs="Times New Roman"/>
                <w:sz w:val="24"/>
                <w:szCs w:val="24"/>
                <w:lang w:eastAsia="lv-LV"/>
              </w:rPr>
              <w:t>ā</w:t>
            </w:r>
            <w:r w:rsidRPr="00BE037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 xml:space="preserve">a un </w:t>
            </w:r>
            <w:r w:rsidRPr="00BE0378">
              <w:rPr>
                <w:rFonts w:ascii="Times New Roman" w:eastAsia="Times New Roman" w:hAnsi="Times New Roman" w:cs="Times New Roman"/>
                <w:sz w:val="24"/>
                <w:szCs w:val="24"/>
                <w:lang w:eastAsia="lv-LV"/>
              </w:rPr>
              <w:t>55.</w:t>
            </w:r>
            <w:r w:rsidR="00753511">
              <w:rPr>
                <w:rFonts w:ascii="Times New Roman" w:eastAsia="Times New Roman" w:hAnsi="Times New Roman" w:cs="Times New Roman"/>
                <w:sz w:val="24"/>
                <w:szCs w:val="24"/>
                <w:lang w:eastAsia="lv-LV"/>
              </w:rPr>
              <w:t> </w:t>
            </w:r>
            <w:r w:rsidRPr="00BE0378">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 xml:space="preserve">s dod </w:t>
            </w:r>
            <w:r w:rsidR="00E77D51">
              <w:rPr>
                <w:rFonts w:ascii="Times New Roman" w:eastAsia="Times New Roman" w:hAnsi="Times New Roman" w:cs="Times New Roman"/>
                <w:sz w:val="24"/>
                <w:szCs w:val="24"/>
                <w:lang w:eastAsia="lv-LV"/>
              </w:rPr>
              <w:t>Latvijas Bankai</w:t>
            </w:r>
            <w:r w:rsidR="00E77D51" w:rsidRPr="00E77D51">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deleģējumu </w:t>
            </w:r>
            <w:r w:rsidR="00E77D51" w:rsidRPr="00E77D51">
              <w:rPr>
                <w:rFonts w:ascii="Times New Roman" w:eastAsia="Times New Roman" w:hAnsi="Times New Roman" w:cs="Times New Roman"/>
                <w:sz w:val="24"/>
                <w:szCs w:val="24"/>
                <w:lang w:eastAsia="lv-LV"/>
              </w:rPr>
              <w:t>noteikt prasības kredītriska pārvaldīšanas, aktīvu kvalitātes novērtēšanas un uzkrājumu veidošanas jomā</w:t>
            </w:r>
            <w:r>
              <w:rPr>
                <w:rFonts w:ascii="Times New Roman" w:eastAsia="Times New Roman" w:hAnsi="Times New Roman" w:cs="Times New Roman"/>
                <w:sz w:val="24"/>
                <w:szCs w:val="24"/>
                <w:lang w:eastAsia="lv-LV"/>
              </w:rPr>
              <w:t xml:space="preserve">. </w:t>
            </w:r>
          </w:p>
          <w:p w14:paraId="2981E436" w14:textId="77777777" w:rsidR="00F67408" w:rsidRDefault="00F67408" w:rsidP="00CF5E3B">
            <w:pPr>
              <w:spacing w:after="0" w:line="240" w:lineRule="auto"/>
              <w:jc w:val="both"/>
              <w:rPr>
                <w:rFonts w:ascii="Times New Roman" w:eastAsia="Times New Roman" w:hAnsi="Times New Roman" w:cs="Times New Roman"/>
                <w:sz w:val="24"/>
                <w:szCs w:val="24"/>
                <w:lang w:eastAsia="lv-LV"/>
              </w:rPr>
            </w:pPr>
          </w:p>
          <w:p w14:paraId="253E01E7" w14:textId="134F1DF7" w:rsidR="00E77D51" w:rsidRDefault="00F67408" w:rsidP="00CF5E3B">
            <w:pPr>
              <w:spacing w:after="0" w:line="240" w:lineRule="auto"/>
              <w:jc w:val="both"/>
              <w:rPr>
                <w:rFonts w:ascii="Times New Roman" w:eastAsia="Times New Roman" w:hAnsi="Times New Roman" w:cs="Times New Roman"/>
                <w:sz w:val="24"/>
                <w:szCs w:val="24"/>
                <w:highlight w:val="yellow"/>
                <w:lang w:eastAsia="lv-LV"/>
              </w:rPr>
            </w:pPr>
            <w:r>
              <w:rPr>
                <w:rFonts w:ascii="Times New Roman" w:eastAsia="Times New Roman" w:hAnsi="Times New Roman" w:cs="Times New Roman"/>
                <w:sz w:val="24"/>
                <w:szCs w:val="24"/>
                <w:lang w:eastAsia="lv-LV"/>
              </w:rPr>
              <w:t xml:space="preserve">Latvijas Bankas noteikumu projekts </w:t>
            </w:r>
            <w:r w:rsidRPr="00F67408">
              <w:rPr>
                <w:rFonts w:ascii="Times New Roman" w:eastAsia="Times New Roman" w:hAnsi="Times New Roman" w:cs="Times New Roman"/>
                <w:sz w:val="24"/>
                <w:szCs w:val="24"/>
                <w:lang w:eastAsia="lv-LV"/>
              </w:rPr>
              <w:t xml:space="preserve">"Kredītriska pārvaldīšanas noteikumi" </w:t>
            </w:r>
            <w:r>
              <w:rPr>
                <w:rFonts w:ascii="Times New Roman" w:eastAsia="Times New Roman" w:hAnsi="Times New Roman" w:cs="Times New Roman"/>
                <w:sz w:val="24"/>
                <w:szCs w:val="24"/>
                <w:lang w:eastAsia="lv-LV"/>
              </w:rPr>
              <w:t>(turpmāk</w:t>
            </w:r>
            <w:r w:rsidR="0075351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noteikumu projekts) izstrādāts, </w:t>
            </w:r>
            <w:r w:rsidR="00363B96">
              <w:rPr>
                <w:rFonts w:ascii="Times New Roman" w:eastAsia="Times New Roman" w:hAnsi="Times New Roman" w:cs="Times New Roman"/>
                <w:sz w:val="24"/>
                <w:szCs w:val="24"/>
                <w:lang w:eastAsia="lv-LV"/>
              </w:rPr>
              <w:t>l</w:t>
            </w:r>
            <w:r w:rsidR="00363B96" w:rsidRPr="00E77D51">
              <w:rPr>
                <w:rFonts w:ascii="Times New Roman" w:eastAsia="Times New Roman" w:hAnsi="Times New Roman" w:cs="Times New Roman"/>
                <w:sz w:val="24"/>
                <w:szCs w:val="24"/>
                <w:lang w:eastAsia="lv-LV"/>
              </w:rPr>
              <w:t xml:space="preserve">ai </w:t>
            </w:r>
            <w:r w:rsidR="0052504F">
              <w:rPr>
                <w:rFonts w:ascii="Times New Roman" w:eastAsia="Times New Roman" w:hAnsi="Times New Roman" w:cs="Times New Roman"/>
                <w:sz w:val="24"/>
                <w:szCs w:val="24"/>
                <w:lang w:eastAsia="lv-LV"/>
              </w:rPr>
              <w:t xml:space="preserve">noteiktu </w:t>
            </w:r>
            <w:r w:rsidR="00363B96" w:rsidRPr="00E77D51">
              <w:rPr>
                <w:rFonts w:ascii="Times New Roman" w:eastAsia="Times New Roman" w:hAnsi="Times New Roman" w:cs="Times New Roman"/>
                <w:sz w:val="24"/>
                <w:szCs w:val="24"/>
                <w:lang w:eastAsia="lv-LV"/>
              </w:rPr>
              <w:t>kredītiestāžu darbība</w:t>
            </w:r>
            <w:r w:rsidR="00ED01CF">
              <w:rPr>
                <w:rFonts w:ascii="Times New Roman" w:eastAsia="Times New Roman" w:hAnsi="Times New Roman" w:cs="Times New Roman"/>
                <w:sz w:val="24"/>
                <w:szCs w:val="24"/>
                <w:lang w:eastAsia="lv-LV"/>
              </w:rPr>
              <w:t xml:space="preserve">i </w:t>
            </w:r>
            <w:r w:rsidR="00DC2F93">
              <w:rPr>
                <w:rFonts w:ascii="Times New Roman" w:eastAsia="Times New Roman" w:hAnsi="Times New Roman" w:cs="Times New Roman"/>
                <w:sz w:val="24"/>
                <w:szCs w:val="24"/>
                <w:lang w:eastAsia="lv-LV"/>
              </w:rPr>
              <w:t>nozīm</w:t>
            </w:r>
            <w:r w:rsidR="00AA50AE">
              <w:rPr>
                <w:rFonts w:ascii="Times New Roman" w:eastAsia="Times New Roman" w:hAnsi="Times New Roman" w:cs="Times New Roman"/>
                <w:sz w:val="24"/>
                <w:szCs w:val="24"/>
                <w:lang w:eastAsia="lv-LV"/>
              </w:rPr>
              <w:t>īg</w:t>
            </w:r>
            <w:r w:rsidR="0052504F">
              <w:rPr>
                <w:rFonts w:ascii="Times New Roman" w:eastAsia="Times New Roman" w:hAnsi="Times New Roman" w:cs="Times New Roman"/>
                <w:sz w:val="24"/>
                <w:szCs w:val="24"/>
                <w:lang w:eastAsia="lv-LV"/>
              </w:rPr>
              <w:t xml:space="preserve">a </w:t>
            </w:r>
            <w:r w:rsidR="00DC2F93">
              <w:rPr>
                <w:rFonts w:ascii="Times New Roman" w:eastAsia="Times New Roman" w:hAnsi="Times New Roman" w:cs="Times New Roman"/>
                <w:sz w:val="24"/>
                <w:szCs w:val="24"/>
                <w:lang w:eastAsia="lv-LV"/>
              </w:rPr>
              <w:t>risk</w:t>
            </w:r>
            <w:r w:rsidR="0052504F">
              <w:rPr>
                <w:rFonts w:ascii="Times New Roman" w:eastAsia="Times New Roman" w:hAnsi="Times New Roman" w:cs="Times New Roman"/>
                <w:sz w:val="24"/>
                <w:szCs w:val="24"/>
                <w:lang w:eastAsia="lv-LV"/>
              </w:rPr>
              <w:t>a pārvaldīšana</w:t>
            </w:r>
            <w:r w:rsidR="00541A01">
              <w:rPr>
                <w:rFonts w:ascii="Times New Roman" w:eastAsia="Times New Roman" w:hAnsi="Times New Roman" w:cs="Times New Roman"/>
                <w:sz w:val="24"/>
                <w:szCs w:val="24"/>
                <w:lang w:eastAsia="lv-LV"/>
              </w:rPr>
              <w:t>s</w:t>
            </w:r>
            <w:r w:rsidR="00363B96" w:rsidRPr="00E77D51">
              <w:rPr>
                <w:rFonts w:ascii="Times New Roman" w:eastAsia="Times New Roman" w:hAnsi="Times New Roman" w:cs="Times New Roman"/>
                <w:sz w:val="24"/>
                <w:szCs w:val="24"/>
                <w:lang w:eastAsia="lv-LV"/>
              </w:rPr>
              <w:t xml:space="preserve"> </w:t>
            </w:r>
            <w:r w:rsidR="00541A01">
              <w:rPr>
                <w:rFonts w:ascii="Times New Roman" w:eastAsia="Times New Roman" w:hAnsi="Times New Roman" w:cs="Times New Roman"/>
                <w:sz w:val="24"/>
                <w:szCs w:val="24"/>
                <w:lang w:eastAsia="lv-LV"/>
              </w:rPr>
              <w:t>prasības</w:t>
            </w:r>
            <w:r w:rsidR="00541A01" w:rsidRPr="00E77D51">
              <w:rPr>
                <w:rFonts w:ascii="Times New Roman" w:eastAsia="Times New Roman" w:hAnsi="Times New Roman" w:cs="Times New Roman"/>
                <w:sz w:val="24"/>
                <w:szCs w:val="24"/>
                <w:lang w:eastAsia="lv-LV"/>
              </w:rPr>
              <w:t xml:space="preserve"> </w:t>
            </w:r>
            <w:r w:rsidR="00363B96" w:rsidRPr="00E77D51">
              <w:rPr>
                <w:rFonts w:ascii="Times New Roman" w:eastAsia="Times New Roman" w:hAnsi="Times New Roman" w:cs="Times New Roman"/>
                <w:sz w:val="24"/>
                <w:szCs w:val="24"/>
                <w:lang w:eastAsia="lv-LV"/>
              </w:rPr>
              <w:t>un</w:t>
            </w:r>
            <w:r w:rsidR="00DC2F93">
              <w:rPr>
                <w:rFonts w:ascii="Times New Roman" w:eastAsia="Times New Roman" w:hAnsi="Times New Roman" w:cs="Times New Roman"/>
                <w:sz w:val="24"/>
                <w:szCs w:val="24"/>
                <w:lang w:eastAsia="lv-LV"/>
              </w:rPr>
              <w:t xml:space="preserve"> tādējādi</w:t>
            </w:r>
            <w:r w:rsidR="00363B96" w:rsidRPr="00E77D51">
              <w:rPr>
                <w:rFonts w:ascii="Times New Roman" w:eastAsia="Times New Roman" w:hAnsi="Times New Roman" w:cs="Times New Roman"/>
                <w:sz w:val="24"/>
                <w:szCs w:val="24"/>
                <w:lang w:eastAsia="lv-LV"/>
              </w:rPr>
              <w:t xml:space="preserve"> aizsargātu kreditoru intereses</w:t>
            </w:r>
            <w:r w:rsidR="00EC5C5A">
              <w:rPr>
                <w:rFonts w:ascii="Times New Roman" w:eastAsia="Times New Roman" w:hAnsi="Times New Roman" w:cs="Times New Roman"/>
                <w:sz w:val="24"/>
                <w:szCs w:val="24"/>
                <w:lang w:eastAsia="lv-LV"/>
              </w:rPr>
              <w:t>.</w:t>
            </w:r>
          </w:p>
          <w:p w14:paraId="59D198EB" w14:textId="77777777" w:rsidR="003D5976" w:rsidRDefault="003D5976" w:rsidP="00CF5E3B">
            <w:pPr>
              <w:spacing w:after="0" w:line="240" w:lineRule="auto"/>
              <w:jc w:val="both"/>
              <w:rPr>
                <w:rFonts w:ascii="Times New Roman" w:eastAsia="Times New Roman" w:hAnsi="Times New Roman" w:cs="Times New Roman"/>
                <w:sz w:val="24"/>
                <w:szCs w:val="24"/>
                <w:highlight w:val="yellow"/>
                <w:lang w:eastAsia="lv-LV"/>
              </w:rPr>
            </w:pPr>
          </w:p>
          <w:p w14:paraId="21AC6493" w14:textId="46586298" w:rsidR="2AD891FB" w:rsidRDefault="2F293302" w:rsidP="00986533">
            <w:pPr>
              <w:spacing w:line="240" w:lineRule="auto"/>
              <w:jc w:val="both"/>
              <w:rPr>
                <w:rFonts w:ascii="Times New Roman" w:eastAsia="Times New Roman" w:hAnsi="Times New Roman" w:cs="Times New Roman"/>
                <w:sz w:val="24"/>
                <w:szCs w:val="24"/>
                <w:lang w:eastAsia="lv-LV"/>
              </w:rPr>
            </w:pPr>
            <w:r w:rsidRPr="2AD891FB">
              <w:rPr>
                <w:rFonts w:ascii="Times New Roman" w:eastAsia="Times New Roman" w:hAnsi="Times New Roman" w:cs="Times New Roman"/>
                <w:sz w:val="24"/>
                <w:szCs w:val="24"/>
                <w:lang w:eastAsia="lv-LV"/>
              </w:rPr>
              <w:t xml:space="preserve">Noteikumu projekta prasības būs saistošas </w:t>
            </w:r>
            <w:r w:rsidR="57BAFBC5" w:rsidRPr="2AD891FB">
              <w:rPr>
                <w:rFonts w:ascii="Times New Roman" w:eastAsia="Times New Roman" w:hAnsi="Times New Roman" w:cs="Times New Roman"/>
                <w:sz w:val="24"/>
                <w:szCs w:val="24"/>
                <w:lang w:eastAsia="lv-LV"/>
              </w:rPr>
              <w:t xml:space="preserve">Latvijā </w:t>
            </w:r>
            <w:r w:rsidRPr="2AD891FB">
              <w:rPr>
                <w:rFonts w:ascii="Times New Roman" w:eastAsia="Times New Roman" w:hAnsi="Times New Roman" w:cs="Times New Roman"/>
                <w:sz w:val="24"/>
                <w:szCs w:val="24"/>
                <w:lang w:eastAsia="lv-LV"/>
              </w:rPr>
              <w:t>reģistrētām kredītiestādēm, Kredītiestāžu likuma 11.</w:t>
            </w:r>
            <w:r w:rsidRPr="00927805">
              <w:rPr>
                <w:rFonts w:ascii="Times New Roman" w:eastAsia="Times New Roman" w:hAnsi="Times New Roman" w:cs="Times New Roman"/>
                <w:sz w:val="24"/>
                <w:szCs w:val="24"/>
                <w:vertAlign w:val="superscript"/>
                <w:lang w:eastAsia="lv-LV"/>
              </w:rPr>
              <w:t>2</w:t>
            </w:r>
            <w:r w:rsidR="00753511">
              <w:rPr>
                <w:rFonts w:ascii="Times New Roman" w:eastAsia="Times New Roman" w:hAnsi="Times New Roman" w:cs="Times New Roman"/>
                <w:sz w:val="24"/>
                <w:szCs w:val="24"/>
                <w:vertAlign w:val="superscript"/>
                <w:lang w:eastAsia="lv-LV"/>
              </w:rPr>
              <w:t> </w:t>
            </w:r>
            <w:r w:rsidRPr="2AD891FB">
              <w:rPr>
                <w:rFonts w:ascii="Times New Roman" w:eastAsia="Times New Roman" w:hAnsi="Times New Roman" w:cs="Times New Roman"/>
                <w:sz w:val="24"/>
                <w:szCs w:val="24"/>
                <w:lang w:eastAsia="lv-LV"/>
              </w:rPr>
              <w:t xml:space="preserve">pantā minētajām ieguldījumu brokeru sabiedrībām, </w:t>
            </w:r>
            <w:r w:rsidRPr="00681DE7">
              <w:rPr>
                <w:rFonts w:ascii="Times New Roman" w:eastAsia="Times New Roman" w:hAnsi="Times New Roman" w:cs="Times New Roman"/>
                <w:sz w:val="24"/>
                <w:szCs w:val="24"/>
                <w:lang w:eastAsia="lv-LV"/>
              </w:rPr>
              <w:t>respektīvi, 1.</w:t>
            </w:r>
            <w:r w:rsidR="00753511">
              <w:rPr>
                <w:rFonts w:ascii="Times New Roman" w:eastAsia="Times New Roman" w:hAnsi="Times New Roman" w:cs="Times New Roman"/>
                <w:sz w:val="24"/>
                <w:szCs w:val="24"/>
                <w:lang w:eastAsia="lv-LV"/>
              </w:rPr>
              <w:t> </w:t>
            </w:r>
            <w:r w:rsidRPr="00681DE7">
              <w:rPr>
                <w:rFonts w:ascii="Times New Roman" w:eastAsia="Times New Roman" w:hAnsi="Times New Roman" w:cs="Times New Roman"/>
                <w:sz w:val="24"/>
                <w:szCs w:val="24"/>
                <w:lang w:eastAsia="lv-LV"/>
              </w:rPr>
              <w:t xml:space="preserve">klases ieguldījumu brokeru sabiedrībām, un tām ieguldījumu brokeru sabiedrībām, kas minētas </w:t>
            </w:r>
            <w:r w:rsidR="2C5A8FDC" w:rsidRPr="00681DE7">
              <w:rPr>
                <w:rFonts w:ascii="Times New Roman" w:eastAsia="Times New Roman" w:hAnsi="Times New Roman" w:cs="Times New Roman"/>
                <w:sz w:val="24"/>
                <w:szCs w:val="24"/>
                <w:lang w:eastAsia="lv-LV"/>
              </w:rPr>
              <w:t>Eiropas Parlament</w:t>
            </w:r>
            <w:r w:rsidR="00BE0378" w:rsidRPr="00681DE7">
              <w:rPr>
                <w:rFonts w:ascii="Times New Roman" w:eastAsia="Times New Roman" w:hAnsi="Times New Roman" w:cs="Times New Roman"/>
                <w:sz w:val="24"/>
                <w:szCs w:val="24"/>
                <w:lang w:eastAsia="lv-LV"/>
              </w:rPr>
              <w:t>a</w:t>
            </w:r>
            <w:r w:rsidR="2C5A8FDC" w:rsidRPr="00681DE7">
              <w:rPr>
                <w:rFonts w:ascii="Times New Roman" w:eastAsia="Times New Roman" w:hAnsi="Times New Roman" w:cs="Times New Roman"/>
                <w:sz w:val="24"/>
                <w:szCs w:val="24"/>
                <w:lang w:eastAsia="lv-LV"/>
              </w:rPr>
              <w:t xml:space="preserve"> un Padomes 2019.</w:t>
            </w:r>
            <w:r w:rsidR="00753511">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gada 27.</w:t>
            </w:r>
            <w:r w:rsidR="00753511">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 xml:space="preserve">novembra </w:t>
            </w:r>
            <w:r w:rsidR="00753511">
              <w:rPr>
                <w:rFonts w:ascii="Times New Roman" w:eastAsia="Times New Roman" w:hAnsi="Times New Roman" w:cs="Times New Roman"/>
                <w:sz w:val="24"/>
                <w:szCs w:val="24"/>
                <w:lang w:eastAsia="lv-LV"/>
              </w:rPr>
              <w:t>r</w:t>
            </w:r>
            <w:r w:rsidR="2C5A8FDC" w:rsidRPr="00681DE7">
              <w:rPr>
                <w:rFonts w:ascii="Times New Roman" w:eastAsia="Times New Roman" w:hAnsi="Times New Roman" w:cs="Times New Roman"/>
                <w:sz w:val="24"/>
                <w:szCs w:val="24"/>
                <w:lang w:eastAsia="lv-LV"/>
              </w:rPr>
              <w:t>egulas (ES)</w:t>
            </w:r>
            <w:r w:rsidR="6F45F088" w:rsidRPr="00681DE7">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 xml:space="preserve">2019/2033 par prudenciālajām prasībām ieguldījumu brokeru sabiedrībām un ar ko groza </w:t>
            </w:r>
            <w:r w:rsidR="00FC7638">
              <w:rPr>
                <w:rFonts w:ascii="Times New Roman" w:eastAsia="Times New Roman" w:hAnsi="Times New Roman" w:cs="Times New Roman"/>
                <w:sz w:val="24"/>
                <w:szCs w:val="24"/>
                <w:lang w:eastAsia="lv-LV"/>
              </w:rPr>
              <w:t>r</w:t>
            </w:r>
            <w:r w:rsidR="2C5A8FDC" w:rsidRPr="00681DE7">
              <w:rPr>
                <w:rFonts w:ascii="Times New Roman" w:eastAsia="Times New Roman" w:hAnsi="Times New Roman" w:cs="Times New Roman"/>
                <w:sz w:val="24"/>
                <w:szCs w:val="24"/>
                <w:lang w:eastAsia="lv-LV"/>
              </w:rPr>
              <w:t>egulas (ES) Nr.</w:t>
            </w:r>
            <w:r w:rsidR="00753511">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1093/2010, (ES) Nr.</w:t>
            </w:r>
            <w:r w:rsidR="6F45F088" w:rsidRPr="00681DE7">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575/2013, (ES) Nr.</w:t>
            </w:r>
            <w:r w:rsidR="00753511">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600/2014 un (ES) Nr.</w:t>
            </w:r>
            <w:r w:rsidR="00753511">
              <w:rPr>
                <w:rFonts w:ascii="Times New Roman" w:eastAsia="Times New Roman" w:hAnsi="Times New Roman" w:cs="Times New Roman"/>
                <w:sz w:val="24"/>
                <w:szCs w:val="24"/>
                <w:lang w:eastAsia="lv-LV"/>
              </w:rPr>
              <w:t> </w:t>
            </w:r>
            <w:r w:rsidR="2C5A8FDC" w:rsidRPr="00681DE7">
              <w:rPr>
                <w:rFonts w:ascii="Times New Roman" w:eastAsia="Times New Roman" w:hAnsi="Times New Roman" w:cs="Times New Roman"/>
                <w:sz w:val="24"/>
                <w:szCs w:val="24"/>
                <w:lang w:eastAsia="lv-LV"/>
              </w:rPr>
              <w:t xml:space="preserve">806/2014 </w:t>
            </w:r>
            <w:r w:rsidRPr="00681DE7">
              <w:rPr>
                <w:rFonts w:ascii="Times New Roman" w:eastAsia="Times New Roman" w:hAnsi="Times New Roman" w:cs="Times New Roman"/>
                <w:sz w:val="24"/>
                <w:szCs w:val="24"/>
                <w:lang w:eastAsia="lv-LV"/>
              </w:rPr>
              <w:t>1. panta 2. un 5.</w:t>
            </w:r>
            <w:r w:rsidR="6F45F088" w:rsidRPr="00681DE7">
              <w:rPr>
                <w:rFonts w:ascii="Times New Roman" w:eastAsia="Times New Roman" w:hAnsi="Times New Roman" w:cs="Times New Roman"/>
                <w:sz w:val="24"/>
                <w:szCs w:val="24"/>
                <w:lang w:eastAsia="lv-LV"/>
              </w:rPr>
              <w:t> </w:t>
            </w:r>
            <w:r w:rsidRPr="00681DE7">
              <w:rPr>
                <w:rFonts w:ascii="Times New Roman" w:eastAsia="Times New Roman" w:hAnsi="Times New Roman" w:cs="Times New Roman"/>
                <w:sz w:val="24"/>
                <w:szCs w:val="24"/>
                <w:lang w:eastAsia="lv-LV"/>
              </w:rPr>
              <w:t>punktā, respektīvi, 1</w:t>
            </w:r>
            <w:r w:rsidR="367AADD3" w:rsidRPr="00681DE7">
              <w:rPr>
                <w:rFonts w:ascii="Times New Roman" w:eastAsia="Times New Roman" w:hAnsi="Times New Roman" w:cs="Times New Roman"/>
                <w:sz w:val="24"/>
                <w:szCs w:val="24"/>
                <w:lang w:eastAsia="lv-LV"/>
              </w:rPr>
              <w:t>.</w:t>
            </w:r>
            <w:r w:rsidRPr="00681DE7">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Pr="00681DE7">
              <w:rPr>
                <w:rFonts w:ascii="Times New Roman" w:eastAsia="Times New Roman" w:hAnsi="Times New Roman" w:cs="Times New Roman"/>
                <w:sz w:val="24"/>
                <w:szCs w:val="24"/>
                <w:lang w:eastAsia="lv-LV"/>
              </w:rPr>
              <w:t>klases ieguldījumu brokeru sabiedrībām  (turpmāk kopā</w:t>
            </w:r>
            <w:r w:rsidR="00753511">
              <w:rPr>
                <w:rFonts w:ascii="Times New Roman" w:eastAsia="Times New Roman" w:hAnsi="Times New Roman" w:cs="Times New Roman"/>
                <w:sz w:val="24"/>
                <w:szCs w:val="24"/>
                <w:lang w:eastAsia="lv-LV"/>
              </w:rPr>
              <w:t> </w:t>
            </w:r>
            <w:r w:rsidRPr="00681DE7">
              <w:rPr>
                <w:rFonts w:ascii="Times New Roman" w:eastAsia="Times New Roman" w:hAnsi="Times New Roman" w:cs="Times New Roman"/>
                <w:sz w:val="24"/>
                <w:szCs w:val="24"/>
                <w:lang w:eastAsia="lv-LV"/>
              </w:rPr>
              <w:t xml:space="preserve">– </w:t>
            </w:r>
            <w:r w:rsidR="57BAFBC5" w:rsidRPr="00681DE7">
              <w:rPr>
                <w:rFonts w:ascii="Times New Roman" w:eastAsia="Times New Roman" w:hAnsi="Times New Roman" w:cs="Times New Roman"/>
                <w:sz w:val="24"/>
                <w:szCs w:val="24"/>
                <w:lang w:eastAsia="lv-LV"/>
              </w:rPr>
              <w:t>i</w:t>
            </w:r>
            <w:r w:rsidRPr="00681DE7">
              <w:rPr>
                <w:rFonts w:ascii="Times New Roman" w:eastAsia="Times New Roman" w:hAnsi="Times New Roman" w:cs="Times New Roman"/>
                <w:sz w:val="24"/>
                <w:szCs w:val="24"/>
                <w:lang w:eastAsia="lv-LV"/>
              </w:rPr>
              <w:t xml:space="preserve">estāde). </w:t>
            </w:r>
            <w:r w:rsidR="5A3E4A16" w:rsidRPr="00681DE7">
              <w:rPr>
                <w:rFonts w:ascii="Times New Roman" w:eastAsia="Times New Roman" w:hAnsi="Times New Roman" w:cs="Times New Roman"/>
                <w:sz w:val="24"/>
                <w:szCs w:val="24"/>
                <w:lang w:eastAsia="lv-LV"/>
              </w:rPr>
              <w:t xml:space="preserve">Šobrīd nav tādu Latvijas Republikā reģistrētu ieguldījumu brokeru sabiedrību, kuras </w:t>
            </w:r>
            <w:r w:rsidR="004A20C8">
              <w:rPr>
                <w:rFonts w:ascii="Times New Roman" w:eastAsia="Times New Roman" w:hAnsi="Times New Roman" w:cs="Times New Roman"/>
                <w:sz w:val="24"/>
                <w:szCs w:val="24"/>
                <w:lang w:eastAsia="lv-LV"/>
              </w:rPr>
              <w:t>norādītas</w:t>
            </w:r>
            <w:r w:rsidR="004A20C8" w:rsidRPr="00681DE7">
              <w:rPr>
                <w:rFonts w:ascii="Times New Roman" w:eastAsia="Times New Roman" w:hAnsi="Times New Roman" w:cs="Times New Roman"/>
                <w:sz w:val="24"/>
                <w:szCs w:val="24"/>
                <w:lang w:eastAsia="lv-LV"/>
              </w:rPr>
              <w:t xml:space="preserve"> </w:t>
            </w:r>
            <w:r w:rsidR="5A3E4A16" w:rsidRPr="00681DE7">
              <w:rPr>
                <w:rFonts w:ascii="Times New Roman" w:eastAsia="Times New Roman" w:hAnsi="Times New Roman" w:cs="Times New Roman"/>
                <w:sz w:val="24"/>
                <w:szCs w:val="24"/>
                <w:lang w:eastAsia="lv-LV"/>
              </w:rPr>
              <w:t>Kredītiestāžu</w:t>
            </w:r>
            <w:r w:rsidR="5A3E4A16" w:rsidRPr="2AD891FB">
              <w:rPr>
                <w:rFonts w:ascii="Times New Roman" w:eastAsia="Times New Roman" w:hAnsi="Times New Roman" w:cs="Times New Roman"/>
                <w:sz w:val="24"/>
                <w:szCs w:val="24"/>
                <w:lang w:eastAsia="lv-LV"/>
              </w:rPr>
              <w:t xml:space="preserve"> likuma 11.</w:t>
            </w:r>
            <w:r w:rsidR="5A3E4A16" w:rsidRPr="00753511">
              <w:rPr>
                <w:rFonts w:ascii="Times New Roman" w:eastAsia="Times New Roman" w:hAnsi="Times New Roman" w:cs="Times New Roman"/>
                <w:sz w:val="24"/>
                <w:szCs w:val="24"/>
                <w:vertAlign w:val="superscript"/>
                <w:lang w:eastAsia="lv-LV"/>
              </w:rPr>
              <w:t>2</w:t>
            </w:r>
            <w:r w:rsidR="5A3E4A16" w:rsidRPr="2AD891FB">
              <w:rPr>
                <w:rFonts w:ascii="Times New Roman" w:eastAsia="Times New Roman" w:hAnsi="Times New Roman" w:cs="Times New Roman"/>
                <w:sz w:val="24"/>
                <w:szCs w:val="24"/>
                <w:lang w:eastAsia="lv-LV"/>
              </w:rPr>
              <w:t> pantā un</w:t>
            </w:r>
            <w:r w:rsidR="002F0496">
              <w:rPr>
                <w:rFonts w:ascii="Times New Roman" w:eastAsia="Times New Roman" w:hAnsi="Times New Roman" w:cs="Times New Roman"/>
                <w:sz w:val="24"/>
                <w:szCs w:val="24"/>
                <w:lang w:eastAsia="lv-LV"/>
              </w:rPr>
              <w:t xml:space="preserve"> </w:t>
            </w:r>
            <w:r w:rsidR="002F0496" w:rsidRPr="002F0496">
              <w:rPr>
                <w:rFonts w:ascii="Times New Roman" w:eastAsia="Times New Roman" w:hAnsi="Times New Roman" w:cs="Times New Roman"/>
                <w:sz w:val="24"/>
                <w:szCs w:val="24"/>
                <w:lang w:eastAsia="lv-LV"/>
              </w:rPr>
              <w:t>minētās</w:t>
            </w:r>
            <w:r w:rsidR="5A3E4A16" w:rsidRPr="002F0496">
              <w:rPr>
                <w:rFonts w:ascii="Times New Roman" w:eastAsia="Times New Roman" w:hAnsi="Times New Roman" w:cs="Times New Roman"/>
                <w:sz w:val="24"/>
                <w:szCs w:val="24"/>
                <w:lang w:eastAsia="lv-LV"/>
              </w:rPr>
              <w:t xml:space="preserve"> </w:t>
            </w:r>
            <w:r w:rsidR="5A3E4A16" w:rsidRPr="00986533">
              <w:rPr>
                <w:rFonts w:ascii="Times New Roman" w:eastAsia="Times New Roman" w:hAnsi="Times New Roman" w:cs="Times New Roman"/>
                <w:sz w:val="24"/>
                <w:szCs w:val="24"/>
                <w:lang w:eastAsia="lv-LV"/>
              </w:rPr>
              <w:t xml:space="preserve">regulas </w:t>
            </w:r>
            <w:r w:rsidR="002F0496">
              <w:rPr>
                <w:rFonts w:ascii="Times New Roman" w:eastAsia="Times New Roman" w:hAnsi="Times New Roman" w:cs="Times New Roman"/>
                <w:sz w:val="24"/>
                <w:szCs w:val="24"/>
                <w:lang w:eastAsia="lv-LV"/>
              </w:rPr>
              <w:t xml:space="preserve">(ES) </w:t>
            </w:r>
            <w:r w:rsidR="5A3E4A16" w:rsidRPr="00986533">
              <w:rPr>
                <w:rFonts w:ascii="Times New Roman" w:eastAsia="Times New Roman" w:hAnsi="Times New Roman" w:cs="Times New Roman"/>
                <w:sz w:val="24"/>
                <w:szCs w:val="24"/>
                <w:lang w:eastAsia="lv-LV"/>
              </w:rPr>
              <w:t>2019/2033</w:t>
            </w:r>
            <w:r w:rsidR="5A3E4A16" w:rsidRPr="002F0496">
              <w:rPr>
                <w:rFonts w:ascii="Times New Roman" w:eastAsia="Times New Roman" w:hAnsi="Times New Roman" w:cs="Times New Roman"/>
                <w:sz w:val="24"/>
                <w:szCs w:val="24"/>
                <w:lang w:eastAsia="lv-LV"/>
              </w:rPr>
              <w:t xml:space="preserve"> 1. panta</w:t>
            </w:r>
            <w:r w:rsidR="5A3E4A16" w:rsidRPr="2AD891FB">
              <w:rPr>
                <w:rFonts w:ascii="Times New Roman" w:eastAsia="Times New Roman" w:hAnsi="Times New Roman" w:cs="Times New Roman"/>
                <w:sz w:val="24"/>
                <w:szCs w:val="24"/>
                <w:lang w:eastAsia="lv-LV"/>
              </w:rPr>
              <w:t xml:space="preserve"> 2. un 5. punktā.</w:t>
            </w:r>
          </w:p>
          <w:p w14:paraId="673F9AEA" w14:textId="7E86FC98" w:rsidR="005773DF" w:rsidRDefault="1EC5D4F4" w:rsidP="00986533">
            <w:pPr>
              <w:spacing w:line="240" w:lineRule="auto"/>
              <w:jc w:val="both"/>
              <w:rPr>
                <w:rFonts w:ascii="Times New Roman" w:eastAsia="Times New Roman" w:hAnsi="Times New Roman" w:cs="Times New Roman"/>
                <w:sz w:val="24"/>
                <w:szCs w:val="24"/>
                <w:lang w:eastAsia="lv-LV"/>
              </w:rPr>
            </w:pPr>
            <w:r w:rsidRPr="00681DE7">
              <w:rPr>
                <w:rFonts w:ascii="Times New Roman" w:eastAsia="Times New Roman" w:hAnsi="Times New Roman" w:cs="Times New Roman"/>
                <w:sz w:val="24"/>
                <w:szCs w:val="24"/>
                <w:lang w:eastAsia="lv-LV"/>
              </w:rPr>
              <w:t>Noteikumu projekta prasības</w:t>
            </w:r>
            <w:r w:rsidR="0047007B">
              <w:rPr>
                <w:rFonts w:ascii="Times New Roman" w:eastAsia="Times New Roman" w:hAnsi="Times New Roman" w:cs="Times New Roman"/>
                <w:sz w:val="24"/>
                <w:szCs w:val="24"/>
                <w:lang w:eastAsia="lv-LV"/>
              </w:rPr>
              <w:t xml:space="preserve">, </w:t>
            </w:r>
            <w:r w:rsidR="0047007B" w:rsidRPr="007E4DE2">
              <w:rPr>
                <w:rFonts w:ascii="Times New Roman" w:eastAsia="Times New Roman" w:hAnsi="Times New Roman" w:cs="Times New Roman"/>
                <w:sz w:val="24"/>
                <w:szCs w:val="24"/>
                <w:lang w:eastAsia="lv-LV"/>
              </w:rPr>
              <w:t xml:space="preserve">kuras </w:t>
            </w:r>
            <w:r w:rsidR="007E4DE2" w:rsidRPr="007E4DE2">
              <w:rPr>
                <w:rFonts w:ascii="Times New Roman" w:eastAsia="Times New Roman" w:hAnsi="Times New Roman" w:cs="Times New Roman"/>
                <w:sz w:val="24"/>
                <w:szCs w:val="24"/>
                <w:lang w:eastAsia="lv-LV"/>
              </w:rPr>
              <w:t>nosaka</w:t>
            </w:r>
            <w:r w:rsidRPr="007E4DE2">
              <w:rPr>
                <w:rFonts w:ascii="Times New Roman" w:eastAsia="Times New Roman" w:hAnsi="Times New Roman" w:cs="Times New Roman"/>
                <w:sz w:val="24"/>
                <w:szCs w:val="24"/>
                <w:lang w:eastAsia="lv-LV"/>
              </w:rPr>
              <w:t xml:space="preserve"> uz aizņēmējiem vērsto instrumentu ietvara piemērošanu</w:t>
            </w:r>
            <w:r w:rsidR="6DCE1833" w:rsidRPr="007E4DE2">
              <w:rPr>
                <w:rFonts w:ascii="Times New Roman" w:eastAsia="Times New Roman" w:hAnsi="Times New Roman" w:cs="Times New Roman"/>
                <w:sz w:val="24"/>
                <w:szCs w:val="24"/>
                <w:lang w:eastAsia="lv-LV"/>
              </w:rPr>
              <w:t xml:space="preserve"> fizisko personu kredītspējas</w:t>
            </w:r>
            <w:r w:rsidR="6DCE1833" w:rsidRPr="00681DE7">
              <w:rPr>
                <w:rFonts w:ascii="Times New Roman" w:eastAsia="Times New Roman" w:hAnsi="Times New Roman" w:cs="Times New Roman"/>
                <w:sz w:val="24"/>
                <w:szCs w:val="24"/>
                <w:lang w:eastAsia="lv-LV"/>
              </w:rPr>
              <w:t xml:space="preserve"> vērtēšanā</w:t>
            </w:r>
            <w:r w:rsidR="0047007B">
              <w:rPr>
                <w:rFonts w:ascii="Times New Roman" w:eastAsia="Times New Roman" w:hAnsi="Times New Roman" w:cs="Times New Roman"/>
                <w:sz w:val="24"/>
                <w:szCs w:val="24"/>
                <w:lang w:eastAsia="lv-LV"/>
              </w:rPr>
              <w:t>,</w:t>
            </w:r>
            <w:r w:rsidR="6DCE1833" w:rsidRPr="00681DE7">
              <w:rPr>
                <w:rFonts w:ascii="Times New Roman" w:eastAsia="Times New Roman" w:hAnsi="Times New Roman" w:cs="Times New Roman"/>
                <w:sz w:val="24"/>
                <w:szCs w:val="24"/>
                <w:lang w:eastAsia="lv-LV"/>
              </w:rPr>
              <w:t xml:space="preserve"> </w:t>
            </w:r>
            <w:r w:rsidR="708B7E2E" w:rsidRPr="00681DE7">
              <w:rPr>
                <w:rFonts w:ascii="Times New Roman" w:eastAsia="Times New Roman" w:hAnsi="Times New Roman" w:cs="Times New Roman"/>
                <w:sz w:val="24"/>
                <w:szCs w:val="24"/>
                <w:lang w:eastAsia="lv-LV"/>
              </w:rPr>
              <w:t xml:space="preserve">atbilstoši Kredītiestāžu likuma 6. panta trešajai daļai </w:t>
            </w:r>
            <w:r w:rsidR="21DCCA8D" w:rsidRPr="454862D0">
              <w:rPr>
                <w:rFonts w:ascii="Times New Roman" w:eastAsia="Times New Roman" w:hAnsi="Times New Roman" w:cs="Times New Roman"/>
                <w:sz w:val="24"/>
                <w:szCs w:val="24"/>
                <w:lang w:eastAsia="lv-LV"/>
              </w:rPr>
              <w:t xml:space="preserve">ir </w:t>
            </w:r>
            <w:r w:rsidRPr="00681DE7">
              <w:rPr>
                <w:rFonts w:ascii="Times New Roman" w:eastAsia="Times New Roman" w:hAnsi="Times New Roman" w:cs="Times New Roman"/>
                <w:sz w:val="24"/>
                <w:szCs w:val="24"/>
                <w:lang w:eastAsia="lv-LV"/>
              </w:rPr>
              <w:t>piemērojamas</w:t>
            </w:r>
            <w:r w:rsidR="3A023118" w:rsidRPr="00681DE7">
              <w:rPr>
                <w:rFonts w:ascii="Times New Roman" w:eastAsia="Times New Roman" w:hAnsi="Times New Roman" w:cs="Times New Roman"/>
                <w:sz w:val="24"/>
                <w:szCs w:val="24"/>
                <w:lang w:eastAsia="lv-LV"/>
              </w:rPr>
              <w:t xml:space="preserve"> </w:t>
            </w:r>
            <w:r w:rsidR="1C80D256" w:rsidRPr="00681DE7">
              <w:rPr>
                <w:rFonts w:ascii="Times New Roman" w:eastAsia="Times New Roman" w:hAnsi="Times New Roman" w:cs="Times New Roman"/>
                <w:sz w:val="24"/>
                <w:szCs w:val="24"/>
                <w:lang w:eastAsia="lv-LV"/>
              </w:rPr>
              <w:t xml:space="preserve">arī </w:t>
            </w:r>
            <w:r w:rsidR="3A023118" w:rsidRPr="00681DE7">
              <w:rPr>
                <w:rFonts w:ascii="Times New Roman" w:eastAsia="Times New Roman" w:hAnsi="Times New Roman" w:cs="Times New Roman"/>
                <w:sz w:val="24"/>
                <w:szCs w:val="24"/>
                <w:lang w:eastAsia="lv-LV"/>
              </w:rPr>
              <w:t>citā dalībvalstī reģistrēt</w:t>
            </w:r>
            <w:r w:rsidR="04F010F0" w:rsidRPr="00681DE7">
              <w:rPr>
                <w:rFonts w:ascii="Times New Roman" w:eastAsia="Times New Roman" w:hAnsi="Times New Roman" w:cs="Times New Roman"/>
                <w:sz w:val="24"/>
                <w:szCs w:val="24"/>
                <w:lang w:eastAsia="lv-LV"/>
              </w:rPr>
              <w:t>ām</w:t>
            </w:r>
            <w:r w:rsidR="3A023118" w:rsidRPr="00681DE7">
              <w:rPr>
                <w:rFonts w:ascii="Times New Roman" w:eastAsia="Times New Roman" w:hAnsi="Times New Roman" w:cs="Times New Roman"/>
                <w:sz w:val="24"/>
                <w:szCs w:val="24"/>
                <w:lang w:eastAsia="lv-LV"/>
              </w:rPr>
              <w:t xml:space="preserve"> kredītiestād</w:t>
            </w:r>
            <w:r w:rsidR="44DB14D7" w:rsidRPr="00681DE7">
              <w:rPr>
                <w:rFonts w:ascii="Times New Roman" w:eastAsia="Times New Roman" w:hAnsi="Times New Roman" w:cs="Times New Roman"/>
                <w:sz w:val="24"/>
                <w:szCs w:val="24"/>
                <w:lang w:eastAsia="lv-LV"/>
              </w:rPr>
              <w:t>ēm</w:t>
            </w:r>
            <w:r w:rsidR="3A023118" w:rsidRPr="00681DE7">
              <w:rPr>
                <w:rFonts w:ascii="Times New Roman" w:eastAsia="Times New Roman" w:hAnsi="Times New Roman" w:cs="Times New Roman"/>
                <w:sz w:val="24"/>
                <w:szCs w:val="24"/>
                <w:lang w:eastAsia="lv-LV"/>
              </w:rPr>
              <w:t>, kuras ir tiesīgas sniegt finanšu pakalpojumus Latvijas Republikā</w:t>
            </w:r>
            <w:r w:rsidR="40699F5A" w:rsidRPr="00681DE7">
              <w:rPr>
                <w:rFonts w:ascii="Times New Roman" w:eastAsia="Times New Roman" w:hAnsi="Times New Roman" w:cs="Times New Roman"/>
                <w:sz w:val="24"/>
                <w:szCs w:val="24"/>
                <w:lang w:eastAsia="lv-LV"/>
              </w:rPr>
              <w:t>.</w:t>
            </w:r>
          </w:p>
          <w:p w14:paraId="244C0D8F" w14:textId="6EE407F6" w:rsidR="00C321CE" w:rsidRPr="00C321CE" w:rsidRDefault="00C321CE" w:rsidP="00986533">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Nozīmīgajām uzraudzītajām i</w:t>
            </w:r>
            <w:r w:rsidR="00E92604" w:rsidRPr="00C321CE">
              <w:rPr>
                <w:rFonts w:ascii="Times New Roman" w:eastAsia="Times New Roman" w:hAnsi="Times New Roman" w:cs="Times New Roman"/>
                <w:sz w:val="24"/>
                <w:szCs w:val="24"/>
                <w:lang w:eastAsia="lv-LV"/>
              </w:rPr>
              <w:t>estādēm</w:t>
            </w:r>
            <w:r>
              <w:rPr>
                <w:rFonts w:ascii="Times New Roman" w:eastAsia="Times New Roman" w:hAnsi="Times New Roman" w:cs="Times New Roman"/>
                <w:sz w:val="24"/>
                <w:szCs w:val="24"/>
                <w:lang w:eastAsia="lv-LV"/>
              </w:rPr>
              <w:t>,</w:t>
            </w:r>
            <w:r w:rsidR="00E92604" w:rsidRPr="00C321CE">
              <w:rPr>
                <w:rFonts w:ascii="Times New Roman" w:eastAsia="Times New Roman" w:hAnsi="Times New Roman" w:cs="Times New Roman"/>
                <w:sz w:val="24"/>
                <w:szCs w:val="24"/>
                <w:lang w:eastAsia="lv-LV"/>
              </w:rPr>
              <w:t xml:space="preserve"> kurām ir saistošas Eiropas Centrālās bankas noteiktās </w:t>
            </w:r>
            <w:r w:rsidR="00F942F5" w:rsidRPr="00C321CE">
              <w:rPr>
                <w:rFonts w:ascii="Times New Roman" w:eastAsia="Times New Roman" w:hAnsi="Times New Roman" w:cs="Times New Roman"/>
                <w:sz w:val="24"/>
                <w:szCs w:val="24"/>
                <w:lang w:eastAsia="lv-LV"/>
              </w:rPr>
              <w:t>kredītriska pārvaldība</w:t>
            </w:r>
            <w:r w:rsidR="00541A01">
              <w:rPr>
                <w:rFonts w:ascii="Times New Roman" w:eastAsia="Times New Roman" w:hAnsi="Times New Roman" w:cs="Times New Roman"/>
                <w:sz w:val="24"/>
                <w:szCs w:val="24"/>
                <w:lang w:eastAsia="lv-LV"/>
              </w:rPr>
              <w:t>s</w:t>
            </w:r>
            <w:r w:rsidR="002F0496" w:rsidRPr="00C321CE">
              <w:rPr>
                <w:rFonts w:ascii="Times New Roman" w:eastAsia="Times New Roman" w:hAnsi="Times New Roman" w:cs="Times New Roman"/>
                <w:sz w:val="24"/>
                <w:szCs w:val="24"/>
                <w:lang w:eastAsia="lv-LV"/>
              </w:rPr>
              <w:t xml:space="preserve"> prasības</w:t>
            </w:r>
            <w:r w:rsidR="00E92604" w:rsidRPr="00C321CE">
              <w:rPr>
                <w:rFonts w:ascii="Times New Roman" w:eastAsia="Times New Roman" w:hAnsi="Times New Roman" w:cs="Times New Roman"/>
                <w:sz w:val="24"/>
                <w:szCs w:val="24"/>
                <w:lang w:eastAsia="lv-LV"/>
              </w:rPr>
              <w:t>, noteikum</w:t>
            </w:r>
            <w:r w:rsidR="00F10AED" w:rsidRPr="00C321CE">
              <w:rPr>
                <w:rFonts w:ascii="Times New Roman" w:eastAsia="Times New Roman" w:hAnsi="Times New Roman" w:cs="Times New Roman"/>
                <w:sz w:val="24"/>
                <w:szCs w:val="24"/>
                <w:lang w:eastAsia="lv-LV"/>
              </w:rPr>
              <w:t xml:space="preserve">u projekts </w:t>
            </w:r>
            <w:r w:rsidR="00466E22" w:rsidRPr="00C321CE">
              <w:rPr>
                <w:rFonts w:ascii="Times New Roman" w:eastAsia="Times New Roman" w:hAnsi="Times New Roman" w:cs="Times New Roman"/>
                <w:sz w:val="24"/>
                <w:szCs w:val="24"/>
                <w:lang w:eastAsia="lv-LV"/>
              </w:rPr>
              <w:t>jā</w:t>
            </w:r>
            <w:r w:rsidR="00E92604" w:rsidRPr="00C321CE">
              <w:rPr>
                <w:rFonts w:ascii="Times New Roman" w:eastAsia="Times New Roman" w:hAnsi="Times New Roman" w:cs="Times New Roman"/>
                <w:sz w:val="24"/>
                <w:szCs w:val="24"/>
                <w:lang w:eastAsia="lv-LV"/>
              </w:rPr>
              <w:t xml:space="preserve">piemēro, ja Eiropas Centrālā banka nav noteikusi savas prasības </w:t>
            </w:r>
            <w:r w:rsidR="00F942F5" w:rsidRPr="00C321CE">
              <w:rPr>
                <w:rFonts w:ascii="Times New Roman" w:eastAsia="Times New Roman" w:hAnsi="Times New Roman" w:cs="Times New Roman"/>
                <w:sz w:val="24"/>
                <w:szCs w:val="24"/>
                <w:lang w:eastAsia="lv-LV"/>
              </w:rPr>
              <w:t>kredītriska pārvaldībai</w:t>
            </w:r>
            <w:r w:rsidR="0087598C">
              <w:rPr>
                <w:rFonts w:ascii="Times New Roman" w:eastAsia="Times New Roman" w:hAnsi="Times New Roman" w:cs="Times New Roman"/>
                <w:sz w:val="24"/>
                <w:szCs w:val="24"/>
                <w:lang w:eastAsia="lv-LV"/>
              </w:rPr>
              <w:t>,</w:t>
            </w:r>
            <w:r w:rsidR="00BB7BF1">
              <w:rPr>
                <w:rFonts w:ascii="Times New Roman" w:eastAsia="Times New Roman" w:hAnsi="Times New Roman" w:cs="Times New Roman"/>
                <w:sz w:val="24"/>
                <w:szCs w:val="24"/>
                <w:lang w:eastAsia="lv-LV"/>
              </w:rPr>
              <w:t xml:space="preserve"> </w:t>
            </w:r>
            <w:r w:rsidR="0087598C">
              <w:rPr>
                <w:rFonts w:ascii="Times New Roman" w:eastAsia="Times New Roman" w:hAnsi="Times New Roman" w:cs="Times New Roman"/>
                <w:sz w:val="24"/>
                <w:szCs w:val="24"/>
                <w:lang w:eastAsia="lv-LV"/>
              </w:rPr>
              <w:t>līdz ar to</w:t>
            </w:r>
            <w:r w:rsidR="0087598C" w:rsidRPr="00D5340E">
              <w:rPr>
                <w:rFonts w:ascii="Times New Roman" w:eastAsia="Times New Roman" w:hAnsi="Times New Roman" w:cs="Times New Roman"/>
                <w:sz w:val="24"/>
                <w:szCs w:val="24"/>
                <w:lang w:eastAsia="lv-LV"/>
              </w:rPr>
              <w:t xml:space="preserve"> </w:t>
            </w:r>
            <w:r w:rsidR="00BB7BF1" w:rsidRPr="00D5340E">
              <w:rPr>
                <w:rFonts w:ascii="Times New Roman" w:eastAsia="Times New Roman" w:hAnsi="Times New Roman" w:cs="Times New Roman"/>
                <w:sz w:val="24"/>
                <w:szCs w:val="24"/>
                <w:lang w:eastAsia="lv-LV"/>
              </w:rPr>
              <w:t xml:space="preserve">noteikumu </w:t>
            </w:r>
            <w:r w:rsidR="00963472">
              <w:rPr>
                <w:rFonts w:ascii="Times New Roman" w:eastAsia="Times New Roman" w:hAnsi="Times New Roman" w:cs="Times New Roman"/>
                <w:sz w:val="24"/>
                <w:szCs w:val="24"/>
                <w:lang w:eastAsia="lv-LV"/>
              </w:rPr>
              <w:t xml:space="preserve">projekta </w:t>
            </w:r>
            <w:r w:rsidR="00BB7BF1" w:rsidRPr="00D5340E">
              <w:rPr>
                <w:rFonts w:ascii="Times New Roman" w:eastAsia="Times New Roman" w:hAnsi="Times New Roman" w:cs="Times New Roman"/>
                <w:sz w:val="24"/>
                <w:szCs w:val="24"/>
                <w:lang w:eastAsia="lv-LV"/>
              </w:rPr>
              <w:t>7., 8. un 9. nodaļa</w:t>
            </w:r>
            <w:r w:rsidR="00BB7BF1">
              <w:rPr>
                <w:rFonts w:ascii="Times New Roman" w:eastAsia="Times New Roman" w:hAnsi="Times New Roman" w:cs="Times New Roman"/>
                <w:sz w:val="24"/>
                <w:szCs w:val="24"/>
                <w:lang w:eastAsia="lv-LV"/>
              </w:rPr>
              <w:t xml:space="preserve">, kas nosaka prasības kredīta līguma nosacījumu pārskatīšanai, aktīvu kvalitātes novērtēšanai un uzkrājumu veidošanai, kā arī papildu prasības iestādēm ar </w:t>
            </w:r>
            <w:r w:rsidR="00BB7BF1" w:rsidRPr="005D1992">
              <w:rPr>
                <w:rFonts w:ascii="Times New Roman" w:eastAsia="Times New Roman" w:hAnsi="Times New Roman" w:cs="Times New Roman"/>
                <w:sz w:val="24"/>
                <w:szCs w:val="24"/>
                <w:lang w:eastAsia="lv-LV"/>
              </w:rPr>
              <w:t>paaugstinātu ienākumus nenesošu</w:t>
            </w:r>
            <w:r w:rsidR="00BB7BF1">
              <w:rPr>
                <w:rFonts w:ascii="Times New Roman" w:eastAsia="Times New Roman" w:hAnsi="Times New Roman" w:cs="Times New Roman"/>
                <w:sz w:val="24"/>
                <w:szCs w:val="24"/>
                <w:lang w:eastAsia="lv-LV"/>
              </w:rPr>
              <w:t xml:space="preserve"> aktīvu īpatsvaru</w:t>
            </w:r>
            <w:r w:rsidR="0087598C">
              <w:rPr>
                <w:rFonts w:ascii="Times New Roman" w:eastAsia="Times New Roman" w:hAnsi="Times New Roman" w:cs="Times New Roman"/>
                <w:sz w:val="24"/>
                <w:szCs w:val="24"/>
                <w:lang w:eastAsia="lv-LV"/>
              </w:rPr>
              <w:t>,</w:t>
            </w:r>
            <w:r w:rsidR="00BB7BF1" w:rsidRPr="00D5340E">
              <w:rPr>
                <w:rFonts w:ascii="Times New Roman" w:eastAsia="Times New Roman" w:hAnsi="Times New Roman" w:cs="Times New Roman"/>
                <w:sz w:val="24"/>
                <w:szCs w:val="24"/>
                <w:lang w:eastAsia="lv-LV"/>
              </w:rPr>
              <w:t xml:space="preserve"> nav saistoša</w:t>
            </w:r>
            <w:r w:rsidR="00BB7BF1">
              <w:rPr>
                <w:rFonts w:ascii="Times New Roman" w:eastAsia="Times New Roman" w:hAnsi="Times New Roman" w:cs="Times New Roman"/>
                <w:sz w:val="24"/>
                <w:szCs w:val="24"/>
                <w:lang w:eastAsia="lv-LV"/>
              </w:rPr>
              <w:t>s</w:t>
            </w:r>
            <w:r w:rsidR="00BB7BF1" w:rsidRPr="00D5340E">
              <w:rPr>
                <w:rFonts w:ascii="Times New Roman" w:eastAsia="Times New Roman" w:hAnsi="Times New Roman" w:cs="Times New Roman"/>
                <w:sz w:val="24"/>
                <w:szCs w:val="24"/>
                <w:lang w:eastAsia="lv-LV"/>
              </w:rPr>
              <w:t xml:space="preserve"> nozīmīgaj</w:t>
            </w:r>
            <w:r w:rsidR="00BB7BF1">
              <w:rPr>
                <w:rFonts w:ascii="Times New Roman" w:eastAsia="Times New Roman" w:hAnsi="Times New Roman" w:cs="Times New Roman"/>
                <w:sz w:val="24"/>
                <w:szCs w:val="24"/>
                <w:lang w:eastAsia="lv-LV"/>
              </w:rPr>
              <w:t>ām</w:t>
            </w:r>
            <w:r w:rsidR="00BB7BF1" w:rsidRPr="00D5340E">
              <w:rPr>
                <w:rFonts w:ascii="Times New Roman" w:eastAsia="Times New Roman" w:hAnsi="Times New Roman" w:cs="Times New Roman"/>
                <w:sz w:val="24"/>
                <w:szCs w:val="24"/>
                <w:lang w:eastAsia="lv-LV"/>
              </w:rPr>
              <w:t xml:space="preserve"> uzraudzītaj</w:t>
            </w:r>
            <w:r w:rsidR="00BB7BF1">
              <w:rPr>
                <w:rFonts w:ascii="Times New Roman" w:eastAsia="Times New Roman" w:hAnsi="Times New Roman" w:cs="Times New Roman"/>
                <w:sz w:val="24"/>
                <w:szCs w:val="24"/>
                <w:lang w:eastAsia="lv-LV"/>
              </w:rPr>
              <w:t>ām</w:t>
            </w:r>
            <w:r w:rsidR="00BB7BF1" w:rsidRPr="00D5340E">
              <w:rPr>
                <w:rFonts w:ascii="Times New Roman" w:eastAsia="Times New Roman" w:hAnsi="Times New Roman" w:cs="Times New Roman"/>
                <w:sz w:val="24"/>
                <w:szCs w:val="24"/>
                <w:lang w:eastAsia="lv-LV"/>
              </w:rPr>
              <w:t xml:space="preserve"> iestād</w:t>
            </w:r>
            <w:r w:rsidR="00BB7BF1">
              <w:rPr>
                <w:rFonts w:ascii="Times New Roman" w:eastAsia="Times New Roman" w:hAnsi="Times New Roman" w:cs="Times New Roman"/>
                <w:sz w:val="24"/>
                <w:szCs w:val="24"/>
                <w:lang w:eastAsia="lv-LV"/>
              </w:rPr>
              <w:t>ēm</w:t>
            </w:r>
            <w:r w:rsidR="00BB7BF1" w:rsidRPr="00D5340E">
              <w:rPr>
                <w:rFonts w:ascii="Times New Roman" w:eastAsia="Times New Roman" w:hAnsi="Times New Roman" w:cs="Times New Roman"/>
                <w:sz w:val="24"/>
                <w:szCs w:val="24"/>
                <w:lang w:eastAsia="lv-LV"/>
              </w:rPr>
              <w:t>.</w:t>
            </w:r>
          </w:p>
          <w:p w14:paraId="24604872" w14:textId="03D87685" w:rsidR="00557023" w:rsidRPr="00557023" w:rsidRDefault="00332353" w:rsidP="00986533">
            <w:pPr>
              <w:spacing w:line="240" w:lineRule="auto"/>
              <w:jc w:val="both"/>
              <w:rPr>
                <w:rFonts w:ascii="Times New Roman" w:eastAsia="Times New Roman" w:hAnsi="Times New Roman" w:cs="Times New Roman"/>
                <w:sz w:val="24"/>
                <w:szCs w:val="24"/>
                <w:lang w:eastAsia="lv-LV"/>
              </w:rPr>
            </w:pPr>
            <w:r w:rsidRPr="00557023">
              <w:rPr>
                <w:rFonts w:ascii="Times New Roman" w:eastAsia="Times New Roman" w:hAnsi="Times New Roman" w:cs="Times New Roman"/>
                <w:sz w:val="24"/>
                <w:szCs w:val="24"/>
                <w:lang w:eastAsia="lv-LV"/>
              </w:rPr>
              <w:t>Noteikumu projekts paredz prasību ievērošanu iestādes individuālā un prudenciālās konsolidācijas grupas līmenī vai subkonsolidēti</w:t>
            </w:r>
            <w:r w:rsidR="00E033C0">
              <w:rPr>
                <w:rFonts w:ascii="Times New Roman" w:eastAsia="Times New Roman" w:hAnsi="Times New Roman" w:cs="Times New Roman"/>
                <w:sz w:val="24"/>
                <w:szCs w:val="24"/>
                <w:lang w:eastAsia="lv-LV"/>
              </w:rPr>
              <w:t xml:space="preserve"> </w:t>
            </w:r>
            <w:r w:rsidR="00E033C0" w:rsidRPr="00E033C0">
              <w:rPr>
                <w:rFonts w:ascii="Times New Roman" w:eastAsia="Times New Roman" w:hAnsi="Times New Roman" w:cs="Times New Roman"/>
                <w:sz w:val="24"/>
                <w:szCs w:val="24"/>
                <w:lang w:eastAsia="lv-LV"/>
              </w:rPr>
              <w:t xml:space="preserve">Eiropas Parlamenta un Padomes </w:t>
            </w:r>
            <w:r w:rsidR="002F0496" w:rsidRPr="00E033C0">
              <w:rPr>
                <w:rFonts w:ascii="Times New Roman" w:eastAsia="Times New Roman" w:hAnsi="Times New Roman" w:cs="Times New Roman"/>
                <w:sz w:val="24"/>
                <w:szCs w:val="24"/>
                <w:lang w:eastAsia="lv-LV"/>
              </w:rPr>
              <w:t>2013. gada 26. jūnij</w:t>
            </w:r>
            <w:r w:rsidR="002F0496">
              <w:rPr>
                <w:rFonts w:ascii="Times New Roman" w:eastAsia="Times New Roman" w:hAnsi="Times New Roman" w:cs="Times New Roman"/>
                <w:sz w:val="24"/>
                <w:szCs w:val="24"/>
                <w:lang w:eastAsia="lv-LV"/>
              </w:rPr>
              <w:t>a</w:t>
            </w:r>
            <w:r w:rsidR="002F0496" w:rsidRPr="00E033C0" w:rsidDel="002F0496">
              <w:rPr>
                <w:rFonts w:ascii="Times New Roman" w:eastAsia="Times New Roman" w:hAnsi="Times New Roman" w:cs="Times New Roman"/>
                <w:sz w:val="24"/>
                <w:szCs w:val="24"/>
                <w:lang w:eastAsia="lv-LV"/>
              </w:rPr>
              <w:t xml:space="preserve"> </w:t>
            </w:r>
            <w:r w:rsidR="002F0496">
              <w:rPr>
                <w:rFonts w:ascii="Times New Roman" w:eastAsia="Times New Roman" w:hAnsi="Times New Roman" w:cs="Times New Roman"/>
                <w:sz w:val="24"/>
                <w:szCs w:val="24"/>
                <w:lang w:eastAsia="lv-LV"/>
              </w:rPr>
              <w:t>r</w:t>
            </w:r>
            <w:r w:rsidR="00E033C0" w:rsidRPr="00E033C0">
              <w:rPr>
                <w:rFonts w:ascii="Times New Roman" w:eastAsia="Times New Roman" w:hAnsi="Times New Roman" w:cs="Times New Roman"/>
                <w:sz w:val="24"/>
                <w:szCs w:val="24"/>
                <w:lang w:eastAsia="lv-LV"/>
              </w:rPr>
              <w:t>egula</w:t>
            </w:r>
            <w:r w:rsidR="002F0496">
              <w:rPr>
                <w:rFonts w:ascii="Times New Roman" w:eastAsia="Times New Roman" w:hAnsi="Times New Roman" w:cs="Times New Roman"/>
                <w:sz w:val="24"/>
                <w:szCs w:val="24"/>
                <w:lang w:eastAsia="lv-LV"/>
              </w:rPr>
              <w:t>s</w:t>
            </w:r>
            <w:r w:rsidR="00E033C0" w:rsidRPr="00E033C0">
              <w:rPr>
                <w:rFonts w:ascii="Times New Roman" w:eastAsia="Times New Roman" w:hAnsi="Times New Roman" w:cs="Times New Roman"/>
                <w:sz w:val="24"/>
                <w:szCs w:val="24"/>
                <w:lang w:eastAsia="lv-LV"/>
              </w:rPr>
              <w:t xml:space="preserve"> (ES) Nr.</w:t>
            </w:r>
            <w:r w:rsidR="00753511">
              <w:rPr>
                <w:rFonts w:ascii="Times New Roman" w:eastAsia="Times New Roman" w:hAnsi="Times New Roman" w:cs="Times New Roman"/>
                <w:sz w:val="24"/>
                <w:szCs w:val="24"/>
                <w:lang w:eastAsia="lv-LV"/>
              </w:rPr>
              <w:t> </w:t>
            </w:r>
            <w:r w:rsidR="00E033C0" w:rsidRPr="00E033C0">
              <w:rPr>
                <w:rFonts w:ascii="Times New Roman" w:eastAsia="Times New Roman" w:hAnsi="Times New Roman" w:cs="Times New Roman"/>
                <w:sz w:val="24"/>
                <w:szCs w:val="24"/>
                <w:lang w:eastAsia="lv-LV"/>
              </w:rPr>
              <w:t xml:space="preserve">575/2013 par prudenciālajām prasībām attiecībā uz kredītiestādēm, un ar ko groza </w:t>
            </w:r>
            <w:r w:rsidR="00FC7638">
              <w:rPr>
                <w:rFonts w:ascii="Times New Roman" w:eastAsia="Times New Roman" w:hAnsi="Times New Roman" w:cs="Times New Roman"/>
                <w:sz w:val="24"/>
                <w:szCs w:val="24"/>
                <w:lang w:eastAsia="lv-LV"/>
              </w:rPr>
              <w:t>r</w:t>
            </w:r>
            <w:r w:rsidR="00E033C0" w:rsidRPr="00E033C0">
              <w:rPr>
                <w:rFonts w:ascii="Times New Roman" w:eastAsia="Times New Roman" w:hAnsi="Times New Roman" w:cs="Times New Roman"/>
                <w:sz w:val="24"/>
                <w:szCs w:val="24"/>
                <w:lang w:eastAsia="lv-LV"/>
              </w:rPr>
              <w:t>egulu (ES) Nr.</w:t>
            </w:r>
            <w:r w:rsidR="00753511">
              <w:rPr>
                <w:rFonts w:ascii="Times New Roman" w:eastAsia="Times New Roman" w:hAnsi="Times New Roman" w:cs="Times New Roman"/>
                <w:sz w:val="24"/>
                <w:szCs w:val="24"/>
                <w:lang w:eastAsia="lv-LV"/>
              </w:rPr>
              <w:t> </w:t>
            </w:r>
            <w:r w:rsidR="00E033C0" w:rsidRPr="00E033C0">
              <w:rPr>
                <w:rFonts w:ascii="Times New Roman" w:eastAsia="Times New Roman" w:hAnsi="Times New Roman" w:cs="Times New Roman"/>
                <w:sz w:val="24"/>
                <w:szCs w:val="24"/>
                <w:lang w:eastAsia="lv-LV"/>
              </w:rPr>
              <w:t>648/2012</w:t>
            </w:r>
            <w:r w:rsidR="00B45BF8">
              <w:rPr>
                <w:rFonts w:ascii="Times New Roman" w:eastAsia="Times New Roman" w:hAnsi="Times New Roman" w:cs="Times New Roman"/>
                <w:sz w:val="24"/>
                <w:szCs w:val="24"/>
                <w:lang w:eastAsia="lv-LV"/>
              </w:rPr>
              <w:t xml:space="preserve"> (turpmāk </w:t>
            </w:r>
            <w:r w:rsidR="002F0496">
              <w:rPr>
                <w:rFonts w:ascii="Times New Roman" w:eastAsia="Times New Roman" w:hAnsi="Times New Roman" w:cs="Times New Roman"/>
                <w:sz w:val="24"/>
                <w:szCs w:val="24"/>
                <w:lang w:eastAsia="lv-LV"/>
              </w:rPr>
              <w:t>–</w:t>
            </w:r>
            <w:r w:rsidRPr="00557023">
              <w:rPr>
                <w:rFonts w:ascii="Times New Roman" w:eastAsia="Times New Roman" w:hAnsi="Times New Roman" w:cs="Times New Roman"/>
                <w:sz w:val="24"/>
                <w:szCs w:val="24"/>
                <w:lang w:eastAsia="lv-LV"/>
              </w:rPr>
              <w:t xml:space="preserve"> Regula Nr.</w:t>
            </w:r>
            <w:r w:rsidR="003E1B46" w:rsidRPr="00557023">
              <w:rPr>
                <w:rFonts w:ascii="Times New Roman" w:eastAsia="Times New Roman" w:hAnsi="Times New Roman" w:cs="Times New Roman"/>
                <w:sz w:val="24"/>
                <w:szCs w:val="24"/>
                <w:lang w:eastAsia="lv-LV"/>
              </w:rPr>
              <w:t> </w:t>
            </w:r>
            <w:r w:rsidRPr="00557023">
              <w:rPr>
                <w:rFonts w:ascii="Times New Roman" w:eastAsia="Times New Roman" w:hAnsi="Times New Roman" w:cs="Times New Roman"/>
                <w:sz w:val="24"/>
                <w:szCs w:val="24"/>
                <w:lang w:eastAsia="lv-LV"/>
              </w:rPr>
              <w:t>575/2013</w:t>
            </w:r>
            <w:r w:rsidR="00B45BF8">
              <w:rPr>
                <w:rFonts w:ascii="Times New Roman" w:eastAsia="Times New Roman" w:hAnsi="Times New Roman" w:cs="Times New Roman"/>
                <w:sz w:val="24"/>
                <w:szCs w:val="24"/>
                <w:lang w:eastAsia="lv-LV"/>
              </w:rPr>
              <w:t>)</w:t>
            </w:r>
            <w:r w:rsidRPr="00557023">
              <w:rPr>
                <w:rFonts w:ascii="Times New Roman" w:eastAsia="Times New Roman" w:hAnsi="Times New Roman" w:cs="Times New Roman"/>
                <w:sz w:val="24"/>
                <w:szCs w:val="24"/>
                <w:lang w:eastAsia="lv-LV"/>
              </w:rPr>
              <w:t xml:space="preserve"> izpratnē</w:t>
            </w:r>
            <w:r w:rsidR="00557023">
              <w:rPr>
                <w:rFonts w:ascii="Times New Roman" w:eastAsia="Times New Roman" w:hAnsi="Times New Roman" w:cs="Times New Roman"/>
                <w:sz w:val="24"/>
                <w:szCs w:val="24"/>
                <w:lang w:eastAsia="lv-LV"/>
              </w:rPr>
              <w:t xml:space="preserve">, nodrošinot prudenciālās konsolidācijas </w:t>
            </w:r>
            <w:r w:rsidR="00557023">
              <w:rPr>
                <w:rFonts w:ascii="Times New Roman" w:eastAsia="Times New Roman" w:hAnsi="Times New Roman" w:cs="Times New Roman"/>
                <w:sz w:val="24"/>
                <w:szCs w:val="24"/>
                <w:lang w:eastAsia="lv-LV"/>
              </w:rPr>
              <w:lastRenderedPageBreak/>
              <w:t>grupā vai apakšgrupā, kā arī ikvienā meitas sabiedrībā noteikumu projekta prasībām atbilstošu kredītriska pārvaldīšanu</w:t>
            </w:r>
            <w:r w:rsidR="4F08F4C0" w:rsidRPr="454862D0">
              <w:rPr>
                <w:rFonts w:ascii="Times New Roman" w:eastAsia="Times New Roman" w:hAnsi="Times New Roman" w:cs="Times New Roman"/>
                <w:sz w:val="24"/>
                <w:szCs w:val="24"/>
                <w:lang w:eastAsia="lv-LV"/>
              </w:rPr>
              <w:t xml:space="preserve">, izņemot </w:t>
            </w:r>
            <w:r w:rsidR="0DADD9F2" w:rsidRPr="454862D0">
              <w:rPr>
                <w:rFonts w:ascii="Times New Roman" w:eastAsia="Times New Roman" w:hAnsi="Times New Roman" w:cs="Times New Roman"/>
                <w:sz w:val="24"/>
                <w:szCs w:val="24"/>
                <w:lang w:eastAsia="lv-LV"/>
              </w:rPr>
              <w:t xml:space="preserve">noteikumu projektā minētās uz aizņēmējiem vērsto instrumentu prasības </w:t>
            </w:r>
            <w:r w:rsidR="4F08F4C0" w:rsidRPr="454862D0">
              <w:rPr>
                <w:rFonts w:ascii="Times New Roman" w:eastAsia="Times New Roman" w:hAnsi="Times New Roman" w:cs="Times New Roman"/>
                <w:sz w:val="24"/>
                <w:szCs w:val="24"/>
                <w:lang w:eastAsia="lv-LV"/>
              </w:rPr>
              <w:t>gadījum</w:t>
            </w:r>
            <w:r w:rsidR="2303FD00" w:rsidRPr="454862D0">
              <w:rPr>
                <w:rFonts w:ascii="Times New Roman" w:eastAsia="Times New Roman" w:hAnsi="Times New Roman" w:cs="Times New Roman"/>
                <w:sz w:val="24"/>
                <w:szCs w:val="24"/>
                <w:lang w:eastAsia="lv-LV"/>
              </w:rPr>
              <w:t>o</w:t>
            </w:r>
            <w:r w:rsidR="4F08F4C0" w:rsidRPr="454862D0">
              <w:rPr>
                <w:rFonts w:ascii="Times New Roman" w:eastAsia="Times New Roman" w:hAnsi="Times New Roman" w:cs="Times New Roman"/>
                <w:sz w:val="24"/>
                <w:szCs w:val="24"/>
                <w:lang w:eastAsia="lv-LV"/>
              </w:rPr>
              <w:t xml:space="preserve">s, kad iestāde izsniedz kredītus citā dalībvalstī, kurā </w:t>
            </w:r>
            <w:r w:rsidR="632856E7" w:rsidRPr="454862D0">
              <w:rPr>
                <w:rFonts w:ascii="Times New Roman" w:eastAsia="Times New Roman" w:hAnsi="Times New Roman" w:cs="Times New Roman"/>
                <w:sz w:val="24"/>
                <w:szCs w:val="24"/>
                <w:lang w:eastAsia="lv-LV"/>
              </w:rPr>
              <w:t xml:space="preserve">jau </w:t>
            </w:r>
            <w:r w:rsidR="4F08F4C0" w:rsidRPr="454862D0">
              <w:rPr>
                <w:rFonts w:ascii="Times New Roman" w:eastAsia="Times New Roman" w:hAnsi="Times New Roman" w:cs="Times New Roman"/>
                <w:sz w:val="24"/>
                <w:szCs w:val="24"/>
                <w:lang w:eastAsia="lv-LV"/>
              </w:rPr>
              <w:t>ir noteikti tai saistoši uz aizņ</w:t>
            </w:r>
            <w:r w:rsidR="15C9720D" w:rsidRPr="454862D0">
              <w:rPr>
                <w:rFonts w:ascii="Times New Roman" w:eastAsia="Times New Roman" w:hAnsi="Times New Roman" w:cs="Times New Roman"/>
                <w:sz w:val="24"/>
                <w:szCs w:val="24"/>
                <w:lang w:eastAsia="lv-LV"/>
              </w:rPr>
              <w:t>ēmējiem vērsti instrumenti</w:t>
            </w:r>
            <w:r w:rsidR="00557023">
              <w:rPr>
                <w:rFonts w:ascii="Times New Roman" w:eastAsia="Times New Roman" w:hAnsi="Times New Roman" w:cs="Times New Roman"/>
                <w:sz w:val="24"/>
                <w:szCs w:val="24"/>
                <w:lang w:eastAsia="lv-LV"/>
              </w:rPr>
              <w:t xml:space="preserve">. </w:t>
            </w:r>
          </w:p>
          <w:p w14:paraId="24B102BA" w14:textId="41A7EC98" w:rsidR="00AC11C7" w:rsidRPr="00DF05DD" w:rsidRDefault="00D800A3" w:rsidP="00CF5E3B">
            <w:pPr>
              <w:spacing w:after="0" w:line="240" w:lineRule="auto"/>
              <w:jc w:val="both"/>
              <w:rPr>
                <w:rFonts w:ascii="Times New Roman" w:eastAsia="Times New Roman" w:hAnsi="Times New Roman" w:cs="Times New Roman"/>
                <w:sz w:val="24"/>
                <w:szCs w:val="24"/>
                <w:highlight w:val="yellow"/>
                <w:lang w:eastAsia="lv-LV"/>
              </w:rPr>
            </w:pPr>
            <w:r>
              <w:rPr>
                <w:rFonts w:ascii="Times New Roman" w:eastAsia="Times New Roman" w:hAnsi="Times New Roman" w:cs="Times New Roman"/>
                <w:sz w:val="24"/>
                <w:szCs w:val="24"/>
                <w:lang w:eastAsia="lv-LV"/>
              </w:rPr>
              <w:t>Noteikumu projekts, ņemot vērā Eiropas Banku iestādes</w:t>
            </w:r>
            <w:r w:rsidR="00413A72">
              <w:rPr>
                <w:rFonts w:ascii="Times New Roman" w:eastAsia="Times New Roman" w:hAnsi="Times New Roman" w:cs="Times New Roman"/>
                <w:sz w:val="24"/>
                <w:szCs w:val="24"/>
                <w:lang w:eastAsia="lv-LV"/>
              </w:rPr>
              <w:t xml:space="preserve"> 20</w:t>
            </w:r>
            <w:r w:rsidR="00B1780B">
              <w:rPr>
                <w:rFonts w:ascii="Times New Roman" w:eastAsia="Times New Roman" w:hAnsi="Times New Roman" w:cs="Times New Roman"/>
                <w:sz w:val="24"/>
                <w:szCs w:val="24"/>
                <w:lang w:eastAsia="lv-LV"/>
              </w:rPr>
              <w:t>17.</w:t>
            </w:r>
            <w:r w:rsidR="00753511">
              <w:rPr>
                <w:rFonts w:ascii="Times New Roman" w:eastAsia="Times New Roman" w:hAnsi="Times New Roman" w:cs="Times New Roman"/>
                <w:sz w:val="24"/>
                <w:szCs w:val="24"/>
                <w:lang w:eastAsia="lv-LV"/>
              </w:rPr>
              <w:t> </w:t>
            </w:r>
            <w:r w:rsidR="00B1780B">
              <w:rPr>
                <w:rFonts w:ascii="Times New Roman" w:eastAsia="Times New Roman" w:hAnsi="Times New Roman" w:cs="Times New Roman"/>
                <w:sz w:val="24"/>
                <w:szCs w:val="24"/>
                <w:lang w:eastAsia="lv-LV"/>
              </w:rPr>
              <w:t>gada 20.</w:t>
            </w:r>
            <w:r w:rsidR="00753511">
              <w:rPr>
                <w:rFonts w:ascii="Times New Roman" w:eastAsia="Times New Roman" w:hAnsi="Times New Roman" w:cs="Times New Roman"/>
                <w:sz w:val="24"/>
                <w:szCs w:val="24"/>
                <w:lang w:eastAsia="lv-LV"/>
              </w:rPr>
              <w:t> </w:t>
            </w:r>
            <w:r w:rsidR="00B1780B">
              <w:rPr>
                <w:rFonts w:ascii="Times New Roman" w:eastAsia="Times New Roman" w:hAnsi="Times New Roman" w:cs="Times New Roman"/>
                <w:sz w:val="24"/>
                <w:szCs w:val="24"/>
                <w:lang w:eastAsia="lv-LV"/>
              </w:rPr>
              <w:t>septembr</w:t>
            </w:r>
            <w:r w:rsidR="002F0496">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pamatnostādnes Nr.</w:t>
            </w:r>
            <w:r w:rsidR="0075351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EBA/GL/2017/06</w:t>
            </w:r>
            <w:r w:rsidR="00C90EEA">
              <w:rPr>
                <w:rFonts w:ascii="Times New Roman" w:eastAsia="Times New Roman" w:hAnsi="Times New Roman" w:cs="Times New Roman"/>
                <w:sz w:val="24"/>
                <w:szCs w:val="24"/>
                <w:lang w:eastAsia="lv-LV"/>
              </w:rPr>
              <w:t xml:space="preserve"> </w:t>
            </w:r>
            <w:r w:rsidR="00C90EEA" w:rsidRPr="00C321CE">
              <w:rPr>
                <w:rFonts w:ascii="Times New Roman" w:eastAsia="Times New Roman" w:hAnsi="Times New Roman" w:cs="Times New Roman"/>
                <w:sz w:val="24"/>
                <w:szCs w:val="24"/>
                <w:lang w:eastAsia="lv-LV"/>
              </w:rPr>
              <w:t>"</w:t>
            </w:r>
            <w:r w:rsidR="00C90EEA">
              <w:rPr>
                <w:rFonts w:ascii="Times New Roman" w:eastAsia="Times New Roman" w:hAnsi="Times New Roman" w:cs="Times New Roman"/>
                <w:sz w:val="24"/>
                <w:szCs w:val="24"/>
                <w:lang w:eastAsia="lv-LV"/>
              </w:rPr>
              <w:t>Pamatnostādnes par kredītiestāžu kredītriska pārvaldības praksi un paredzamo kredītzaudējumu uzskaiti</w:t>
            </w:r>
            <w:r w:rsidR="00C90EEA" w:rsidRPr="00C321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B1780B">
              <w:rPr>
                <w:rFonts w:ascii="Times New Roman" w:eastAsia="Times New Roman" w:hAnsi="Times New Roman" w:cs="Times New Roman"/>
                <w:sz w:val="24"/>
                <w:szCs w:val="24"/>
                <w:lang w:eastAsia="lv-LV"/>
              </w:rPr>
              <w:t>2018.</w:t>
            </w:r>
            <w:r w:rsidR="00753511">
              <w:rPr>
                <w:rFonts w:ascii="Times New Roman" w:eastAsia="Times New Roman" w:hAnsi="Times New Roman" w:cs="Times New Roman"/>
                <w:sz w:val="24"/>
                <w:szCs w:val="24"/>
                <w:lang w:eastAsia="lv-LV"/>
              </w:rPr>
              <w:t> </w:t>
            </w:r>
            <w:r w:rsidR="00B1780B">
              <w:rPr>
                <w:rFonts w:ascii="Times New Roman" w:eastAsia="Times New Roman" w:hAnsi="Times New Roman" w:cs="Times New Roman"/>
                <w:sz w:val="24"/>
                <w:szCs w:val="24"/>
                <w:lang w:eastAsia="lv-LV"/>
              </w:rPr>
              <w:t>gada 23.</w:t>
            </w:r>
            <w:r w:rsidR="00753511">
              <w:rPr>
                <w:rFonts w:ascii="Times New Roman" w:eastAsia="Times New Roman" w:hAnsi="Times New Roman" w:cs="Times New Roman"/>
                <w:sz w:val="24"/>
                <w:szCs w:val="24"/>
                <w:lang w:eastAsia="lv-LV"/>
              </w:rPr>
              <w:t> </w:t>
            </w:r>
            <w:r w:rsidR="00BB1019">
              <w:rPr>
                <w:rFonts w:ascii="Times New Roman" w:eastAsia="Times New Roman" w:hAnsi="Times New Roman" w:cs="Times New Roman"/>
                <w:sz w:val="24"/>
                <w:szCs w:val="24"/>
                <w:lang w:eastAsia="lv-LV"/>
              </w:rPr>
              <w:t>februār</w:t>
            </w:r>
            <w:r w:rsidR="002F0496">
              <w:rPr>
                <w:rFonts w:ascii="Times New Roman" w:eastAsia="Times New Roman" w:hAnsi="Times New Roman" w:cs="Times New Roman"/>
                <w:sz w:val="24"/>
                <w:szCs w:val="24"/>
                <w:lang w:eastAsia="lv-LV"/>
              </w:rPr>
              <w:t>a</w:t>
            </w:r>
            <w:r w:rsidR="00B1780B">
              <w:rPr>
                <w:rFonts w:ascii="Times New Roman" w:eastAsia="Times New Roman" w:hAnsi="Times New Roman" w:cs="Times New Roman"/>
                <w:sz w:val="24"/>
                <w:szCs w:val="24"/>
                <w:lang w:eastAsia="lv-LV"/>
              </w:rPr>
              <w:t xml:space="preserve"> </w:t>
            </w:r>
            <w:r w:rsidR="6831A740" w:rsidRPr="5929E423">
              <w:rPr>
                <w:rFonts w:ascii="Times New Roman" w:eastAsia="Times New Roman" w:hAnsi="Times New Roman" w:cs="Times New Roman"/>
                <w:sz w:val="24"/>
                <w:szCs w:val="24"/>
                <w:lang w:eastAsia="lv-LV"/>
              </w:rPr>
              <w:t xml:space="preserve">pamatnostādnes </w:t>
            </w:r>
            <w:r w:rsidRPr="5929E423">
              <w:rPr>
                <w:rFonts w:ascii="Times New Roman" w:eastAsia="Times New Roman" w:hAnsi="Times New Roman" w:cs="Times New Roman"/>
                <w:sz w:val="24"/>
                <w:szCs w:val="24"/>
                <w:lang w:eastAsia="lv-LV"/>
              </w:rPr>
              <w:t>Nr.</w:t>
            </w:r>
            <w:r w:rsidR="0075351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EBA/GL/2017/15</w:t>
            </w:r>
            <w:r w:rsidR="00C90EEA">
              <w:rPr>
                <w:rFonts w:ascii="Times New Roman" w:eastAsia="Times New Roman" w:hAnsi="Times New Roman" w:cs="Times New Roman"/>
                <w:sz w:val="24"/>
                <w:szCs w:val="24"/>
                <w:lang w:eastAsia="lv-LV"/>
              </w:rPr>
              <w:t xml:space="preserve"> </w:t>
            </w:r>
            <w:r w:rsidR="00C90EEA" w:rsidRPr="00C321CE">
              <w:rPr>
                <w:rFonts w:ascii="Times New Roman" w:eastAsia="Times New Roman" w:hAnsi="Times New Roman" w:cs="Times New Roman"/>
                <w:sz w:val="24"/>
                <w:szCs w:val="24"/>
                <w:lang w:eastAsia="lv-LV"/>
              </w:rPr>
              <w:t>"</w:t>
            </w:r>
            <w:r w:rsidR="00C90EEA">
              <w:rPr>
                <w:rFonts w:ascii="Times New Roman" w:eastAsia="Times New Roman" w:hAnsi="Times New Roman" w:cs="Times New Roman"/>
                <w:sz w:val="24"/>
                <w:szCs w:val="24"/>
                <w:lang w:eastAsia="lv-LV"/>
              </w:rPr>
              <w:t>Pamatnostād</w:t>
            </w:r>
            <w:r w:rsidR="00EB22E1">
              <w:rPr>
                <w:rFonts w:ascii="Times New Roman" w:eastAsia="Times New Roman" w:hAnsi="Times New Roman" w:cs="Times New Roman"/>
                <w:sz w:val="24"/>
                <w:szCs w:val="24"/>
                <w:lang w:eastAsia="lv-LV"/>
              </w:rPr>
              <w:t>n</w:t>
            </w:r>
            <w:r w:rsidR="00C90EEA">
              <w:rPr>
                <w:rFonts w:ascii="Times New Roman" w:eastAsia="Times New Roman" w:hAnsi="Times New Roman" w:cs="Times New Roman"/>
                <w:sz w:val="24"/>
                <w:szCs w:val="24"/>
                <w:lang w:eastAsia="lv-LV"/>
              </w:rPr>
              <w:t>es par savstarpēji saistītiem klientiem saskaņā ar Regulas (ES) Nr.</w:t>
            </w:r>
            <w:r w:rsidR="00753511">
              <w:rPr>
                <w:rFonts w:ascii="Times New Roman" w:eastAsia="Times New Roman" w:hAnsi="Times New Roman" w:cs="Times New Roman"/>
                <w:sz w:val="24"/>
                <w:szCs w:val="24"/>
                <w:lang w:eastAsia="lv-LV"/>
              </w:rPr>
              <w:t> </w:t>
            </w:r>
            <w:r w:rsidR="00C90EEA">
              <w:rPr>
                <w:rFonts w:ascii="Times New Roman" w:eastAsia="Times New Roman" w:hAnsi="Times New Roman" w:cs="Times New Roman"/>
                <w:sz w:val="24"/>
                <w:szCs w:val="24"/>
                <w:lang w:eastAsia="lv-LV"/>
              </w:rPr>
              <w:t>575/2013 4.</w:t>
            </w:r>
            <w:r w:rsidR="00753511">
              <w:rPr>
                <w:rFonts w:ascii="Times New Roman" w:eastAsia="Times New Roman" w:hAnsi="Times New Roman" w:cs="Times New Roman"/>
                <w:sz w:val="24"/>
                <w:szCs w:val="24"/>
                <w:lang w:eastAsia="lv-LV"/>
              </w:rPr>
              <w:t> </w:t>
            </w:r>
            <w:r w:rsidR="00C90EEA">
              <w:rPr>
                <w:rFonts w:ascii="Times New Roman" w:eastAsia="Times New Roman" w:hAnsi="Times New Roman" w:cs="Times New Roman"/>
                <w:sz w:val="24"/>
                <w:szCs w:val="24"/>
                <w:lang w:eastAsia="lv-LV"/>
              </w:rPr>
              <w:t>panta 1.</w:t>
            </w:r>
            <w:r w:rsidR="00753511">
              <w:rPr>
                <w:rFonts w:ascii="Times New Roman" w:eastAsia="Times New Roman" w:hAnsi="Times New Roman" w:cs="Times New Roman"/>
                <w:sz w:val="24"/>
                <w:szCs w:val="24"/>
                <w:lang w:eastAsia="lv-LV"/>
              </w:rPr>
              <w:t> </w:t>
            </w:r>
            <w:r w:rsidR="00C90EEA">
              <w:rPr>
                <w:rFonts w:ascii="Times New Roman" w:eastAsia="Times New Roman" w:hAnsi="Times New Roman" w:cs="Times New Roman"/>
                <w:sz w:val="24"/>
                <w:szCs w:val="24"/>
                <w:lang w:eastAsia="lv-LV"/>
              </w:rPr>
              <w:t>punkta 39.</w:t>
            </w:r>
            <w:r w:rsidR="00753511">
              <w:rPr>
                <w:rFonts w:ascii="Times New Roman" w:eastAsia="Times New Roman" w:hAnsi="Times New Roman" w:cs="Times New Roman"/>
                <w:sz w:val="24"/>
                <w:szCs w:val="24"/>
                <w:lang w:eastAsia="lv-LV"/>
              </w:rPr>
              <w:t> </w:t>
            </w:r>
            <w:r w:rsidR="00C90EEA">
              <w:rPr>
                <w:rFonts w:ascii="Times New Roman" w:eastAsia="Times New Roman" w:hAnsi="Times New Roman" w:cs="Times New Roman"/>
                <w:sz w:val="24"/>
                <w:szCs w:val="24"/>
                <w:lang w:eastAsia="lv-LV"/>
              </w:rPr>
              <w:t>apakšpunktu</w:t>
            </w:r>
            <w:r w:rsidR="00C90EEA" w:rsidRPr="00C321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BB1019">
              <w:rPr>
                <w:rFonts w:ascii="Times New Roman" w:eastAsia="Times New Roman" w:hAnsi="Times New Roman" w:cs="Times New Roman"/>
                <w:sz w:val="24"/>
                <w:szCs w:val="24"/>
                <w:lang w:eastAsia="lv-LV"/>
              </w:rPr>
              <w:t>201</w:t>
            </w:r>
            <w:r w:rsidR="00F20CD1">
              <w:rPr>
                <w:rFonts w:ascii="Times New Roman" w:eastAsia="Times New Roman" w:hAnsi="Times New Roman" w:cs="Times New Roman"/>
                <w:sz w:val="24"/>
                <w:szCs w:val="24"/>
                <w:lang w:eastAsia="lv-LV"/>
              </w:rPr>
              <w:t>8</w:t>
            </w:r>
            <w:r w:rsidR="00BB1019">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00BB1019">
              <w:rPr>
                <w:rFonts w:ascii="Times New Roman" w:eastAsia="Times New Roman" w:hAnsi="Times New Roman" w:cs="Times New Roman"/>
                <w:sz w:val="24"/>
                <w:szCs w:val="24"/>
                <w:lang w:eastAsia="lv-LV"/>
              </w:rPr>
              <w:t xml:space="preserve">gada </w:t>
            </w:r>
            <w:r w:rsidR="00F20CD1">
              <w:rPr>
                <w:rFonts w:ascii="Times New Roman" w:eastAsia="Times New Roman" w:hAnsi="Times New Roman" w:cs="Times New Roman"/>
                <w:sz w:val="24"/>
                <w:szCs w:val="24"/>
                <w:lang w:eastAsia="lv-LV"/>
              </w:rPr>
              <w:t>19</w:t>
            </w:r>
            <w:r w:rsidR="00BB1019">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00F20CD1">
              <w:rPr>
                <w:rFonts w:ascii="Times New Roman" w:eastAsia="Times New Roman" w:hAnsi="Times New Roman" w:cs="Times New Roman"/>
                <w:sz w:val="24"/>
                <w:szCs w:val="24"/>
                <w:lang w:eastAsia="lv-LV"/>
              </w:rPr>
              <w:t>jūlij</w:t>
            </w:r>
            <w:r w:rsidR="002F0496">
              <w:rPr>
                <w:rFonts w:ascii="Times New Roman" w:eastAsia="Times New Roman" w:hAnsi="Times New Roman" w:cs="Times New Roman"/>
                <w:sz w:val="24"/>
                <w:szCs w:val="24"/>
                <w:lang w:eastAsia="lv-LV"/>
              </w:rPr>
              <w:t>a</w:t>
            </w:r>
            <w:r w:rsidR="00BB1019">
              <w:rPr>
                <w:rFonts w:ascii="Times New Roman" w:eastAsia="Times New Roman" w:hAnsi="Times New Roman" w:cs="Times New Roman"/>
                <w:sz w:val="24"/>
                <w:szCs w:val="24"/>
                <w:lang w:eastAsia="lv-LV"/>
              </w:rPr>
              <w:t xml:space="preserve"> </w:t>
            </w:r>
            <w:r w:rsidR="5E8B964C" w:rsidRPr="5929E423">
              <w:rPr>
                <w:rFonts w:ascii="Times New Roman" w:eastAsia="Times New Roman" w:hAnsi="Times New Roman" w:cs="Times New Roman"/>
                <w:sz w:val="24"/>
                <w:szCs w:val="24"/>
                <w:lang w:eastAsia="lv-LV"/>
              </w:rPr>
              <w:t xml:space="preserve">pamatnostādnes </w:t>
            </w:r>
            <w:r w:rsidRPr="5929E423">
              <w:rPr>
                <w:rFonts w:ascii="Times New Roman" w:eastAsia="Times New Roman" w:hAnsi="Times New Roman" w:cs="Times New Roman"/>
                <w:sz w:val="24"/>
                <w:szCs w:val="24"/>
                <w:lang w:eastAsia="lv-LV"/>
              </w:rPr>
              <w:t>Nr.</w:t>
            </w:r>
            <w:r w:rsidR="0075351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EBA/GL/2018/04</w:t>
            </w:r>
            <w:r w:rsidR="00C90EEA">
              <w:rPr>
                <w:rFonts w:ascii="Times New Roman" w:eastAsia="Times New Roman" w:hAnsi="Times New Roman" w:cs="Times New Roman"/>
                <w:sz w:val="24"/>
                <w:szCs w:val="24"/>
                <w:lang w:eastAsia="lv-LV"/>
              </w:rPr>
              <w:t xml:space="preserve"> </w:t>
            </w:r>
            <w:r w:rsidR="00C90EEA" w:rsidRPr="00C321CE">
              <w:rPr>
                <w:rFonts w:ascii="Times New Roman" w:eastAsia="Times New Roman" w:hAnsi="Times New Roman" w:cs="Times New Roman"/>
                <w:sz w:val="24"/>
                <w:szCs w:val="24"/>
                <w:lang w:eastAsia="lv-LV"/>
              </w:rPr>
              <w:t>"</w:t>
            </w:r>
            <w:r w:rsidR="00C90EEA">
              <w:rPr>
                <w:rFonts w:ascii="Times New Roman" w:eastAsia="Times New Roman" w:hAnsi="Times New Roman" w:cs="Times New Roman"/>
                <w:sz w:val="24"/>
                <w:szCs w:val="24"/>
                <w:lang w:eastAsia="lv-LV"/>
              </w:rPr>
              <w:t>Pamatnostād</w:t>
            </w:r>
            <w:r w:rsidR="00EB22E1">
              <w:rPr>
                <w:rFonts w:ascii="Times New Roman" w:eastAsia="Times New Roman" w:hAnsi="Times New Roman" w:cs="Times New Roman"/>
                <w:sz w:val="24"/>
                <w:szCs w:val="24"/>
                <w:lang w:eastAsia="lv-LV"/>
              </w:rPr>
              <w:t>n</w:t>
            </w:r>
            <w:r w:rsidR="00C90EEA">
              <w:rPr>
                <w:rFonts w:ascii="Times New Roman" w:eastAsia="Times New Roman" w:hAnsi="Times New Roman" w:cs="Times New Roman"/>
                <w:sz w:val="24"/>
                <w:szCs w:val="24"/>
                <w:lang w:eastAsia="lv-LV"/>
              </w:rPr>
              <w:t>es par iestāžu spriedzes testiem</w:t>
            </w:r>
            <w:r w:rsidR="00C90EEA" w:rsidRPr="00C321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r w:rsidR="00BB1019">
              <w:rPr>
                <w:rFonts w:ascii="Times New Roman" w:eastAsia="Times New Roman" w:hAnsi="Times New Roman" w:cs="Times New Roman"/>
                <w:sz w:val="24"/>
                <w:szCs w:val="24"/>
                <w:lang w:eastAsia="lv-LV"/>
              </w:rPr>
              <w:t xml:space="preserve"> 2018.</w:t>
            </w:r>
            <w:r w:rsidR="00753511">
              <w:rPr>
                <w:rFonts w:ascii="Times New Roman" w:eastAsia="Times New Roman" w:hAnsi="Times New Roman" w:cs="Times New Roman"/>
                <w:sz w:val="24"/>
                <w:szCs w:val="24"/>
                <w:lang w:eastAsia="lv-LV"/>
              </w:rPr>
              <w:t> </w:t>
            </w:r>
            <w:r w:rsidR="00BB1019">
              <w:rPr>
                <w:rFonts w:ascii="Times New Roman" w:eastAsia="Times New Roman" w:hAnsi="Times New Roman" w:cs="Times New Roman"/>
                <w:sz w:val="24"/>
                <w:szCs w:val="24"/>
                <w:lang w:eastAsia="lv-LV"/>
              </w:rPr>
              <w:t>gada 31.</w:t>
            </w:r>
            <w:r w:rsidR="00753511">
              <w:rPr>
                <w:rFonts w:ascii="Times New Roman" w:eastAsia="Times New Roman" w:hAnsi="Times New Roman" w:cs="Times New Roman"/>
                <w:sz w:val="24"/>
                <w:szCs w:val="24"/>
                <w:lang w:eastAsia="lv-LV"/>
              </w:rPr>
              <w:t> </w:t>
            </w:r>
            <w:r w:rsidR="00BB1019">
              <w:rPr>
                <w:rFonts w:ascii="Times New Roman" w:eastAsia="Times New Roman" w:hAnsi="Times New Roman" w:cs="Times New Roman"/>
                <w:sz w:val="24"/>
                <w:szCs w:val="24"/>
                <w:lang w:eastAsia="lv-LV"/>
              </w:rPr>
              <w:t>oktobr</w:t>
            </w:r>
            <w:r w:rsidR="002F0496">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w:t>
            </w:r>
            <w:r w:rsidR="70DCB177" w:rsidRPr="5929E423">
              <w:rPr>
                <w:rFonts w:ascii="Times New Roman" w:eastAsia="Times New Roman" w:hAnsi="Times New Roman" w:cs="Times New Roman"/>
                <w:sz w:val="24"/>
                <w:szCs w:val="24"/>
                <w:lang w:eastAsia="lv-LV"/>
              </w:rPr>
              <w:t xml:space="preserve">pamatnostādnes </w:t>
            </w:r>
            <w:r w:rsidRPr="5929E423">
              <w:rPr>
                <w:rFonts w:ascii="Times New Roman" w:eastAsia="Times New Roman" w:hAnsi="Times New Roman" w:cs="Times New Roman"/>
                <w:sz w:val="24"/>
                <w:szCs w:val="24"/>
                <w:lang w:eastAsia="lv-LV"/>
              </w:rPr>
              <w:t>Nr.</w:t>
            </w:r>
            <w:r w:rsidR="0075351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EBA/GL/2018/06</w:t>
            </w:r>
            <w:r w:rsidR="00C90EEA">
              <w:rPr>
                <w:rFonts w:ascii="Times New Roman" w:eastAsia="Times New Roman" w:hAnsi="Times New Roman" w:cs="Times New Roman"/>
                <w:sz w:val="24"/>
                <w:szCs w:val="24"/>
                <w:lang w:eastAsia="lv-LV"/>
              </w:rPr>
              <w:t xml:space="preserve"> </w:t>
            </w:r>
            <w:r w:rsidR="00C90EEA" w:rsidRPr="00C321CE">
              <w:rPr>
                <w:rFonts w:ascii="Times New Roman" w:eastAsia="Times New Roman" w:hAnsi="Times New Roman" w:cs="Times New Roman"/>
                <w:sz w:val="24"/>
                <w:szCs w:val="24"/>
                <w:lang w:eastAsia="lv-LV"/>
              </w:rPr>
              <w:t>"</w:t>
            </w:r>
            <w:r w:rsidR="00C90EEA">
              <w:rPr>
                <w:rFonts w:ascii="Times New Roman" w:eastAsia="Times New Roman" w:hAnsi="Times New Roman" w:cs="Times New Roman"/>
                <w:sz w:val="24"/>
                <w:szCs w:val="24"/>
                <w:lang w:eastAsia="lv-LV"/>
              </w:rPr>
              <w:t>Pamatnostād</w:t>
            </w:r>
            <w:r w:rsidR="00EB22E1">
              <w:rPr>
                <w:rFonts w:ascii="Times New Roman" w:eastAsia="Times New Roman" w:hAnsi="Times New Roman" w:cs="Times New Roman"/>
                <w:sz w:val="24"/>
                <w:szCs w:val="24"/>
                <w:lang w:eastAsia="lv-LV"/>
              </w:rPr>
              <w:t>n</w:t>
            </w:r>
            <w:r w:rsidR="00C90EEA">
              <w:rPr>
                <w:rFonts w:ascii="Times New Roman" w:eastAsia="Times New Roman" w:hAnsi="Times New Roman" w:cs="Times New Roman"/>
                <w:sz w:val="24"/>
                <w:szCs w:val="24"/>
                <w:lang w:eastAsia="lv-LV"/>
              </w:rPr>
              <w:t>es par ienākumus nenesošu un pārskatītu riska darījumu pārvaldību</w:t>
            </w:r>
            <w:r w:rsidR="00C90EEA" w:rsidRPr="00C321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BB1019">
              <w:rPr>
                <w:rFonts w:ascii="Times New Roman" w:eastAsia="Times New Roman" w:hAnsi="Times New Roman" w:cs="Times New Roman"/>
                <w:sz w:val="24"/>
                <w:szCs w:val="24"/>
                <w:lang w:eastAsia="lv-LV"/>
              </w:rPr>
              <w:t>2020.</w:t>
            </w:r>
            <w:r w:rsidR="00753511">
              <w:rPr>
                <w:rFonts w:ascii="Times New Roman" w:eastAsia="Times New Roman" w:hAnsi="Times New Roman" w:cs="Times New Roman"/>
                <w:sz w:val="24"/>
                <w:szCs w:val="24"/>
                <w:lang w:eastAsia="lv-LV"/>
              </w:rPr>
              <w:t> </w:t>
            </w:r>
            <w:r w:rsidR="00BB1019">
              <w:rPr>
                <w:rFonts w:ascii="Times New Roman" w:eastAsia="Times New Roman" w:hAnsi="Times New Roman" w:cs="Times New Roman"/>
                <w:sz w:val="24"/>
                <w:szCs w:val="24"/>
                <w:lang w:eastAsia="lv-LV"/>
              </w:rPr>
              <w:t>gada 2</w:t>
            </w:r>
            <w:r w:rsidR="00F20CD1">
              <w:rPr>
                <w:rFonts w:ascii="Times New Roman" w:eastAsia="Times New Roman" w:hAnsi="Times New Roman" w:cs="Times New Roman"/>
                <w:sz w:val="24"/>
                <w:szCs w:val="24"/>
                <w:lang w:eastAsia="lv-LV"/>
              </w:rPr>
              <w:t>9</w:t>
            </w:r>
            <w:r w:rsidR="00BB1019">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00F20CD1">
              <w:rPr>
                <w:rFonts w:ascii="Times New Roman" w:eastAsia="Times New Roman" w:hAnsi="Times New Roman" w:cs="Times New Roman"/>
                <w:sz w:val="24"/>
                <w:szCs w:val="24"/>
                <w:lang w:eastAsia="lv-LV"/>
              </w:rPr>
              <w:t>maij</w:t>
            </w:r>
            <w:r w:rsidR="002F0496">
              <w:rPr>
                <w:rFonts w:ascii="Times New Roman" w:eastAsia="Times New Roman" w:hAnsi="Times New Roman" w:cs="Times New Roman"/>
                <w:sz w:val="24"/>
                <w:szCs w:val="24"/>
                <w:lang w:eastAsia="lv-LV"/>
              </w:rPr>
              <w:t>a</w:t>
            </w:r>
            <w:r w:rsidR="00BB1019">
              <w:rPr>
                <w:rFonts w:ascii="Times New Roman" w:eastAsia="Times New Roman" w:hAnsi="Times New Roman" w:cs="Times New Roman"/>
                <w:sz w:val="24"/>
                <w:szCs w:val="24"/>
                <w:lang w:eastAsia="lv-LV"/>
              </w:rPr>
              <w:t xml:space="preserve"> </w:t>
            </w:r>
            <w:r w:rsidR="1E71E772" w:rsidRPr="5929E423">
              <w:rPr>
                <w:rFonts w:ascii="Times New Roman" w:eastAsia="Times New Roman" w:hAnsi="Times New Roman" w:cs="Times New Roman"/>
                <w:sz w:val="24"/>
                <w:szCs w:val="24"/>
                <w:lang w:eastAsia="lv-LV"/>
              </w:rPr>
              <w:t xml:space="preserve">pamatnostādnes </w:t>
            </w:r>
            <w:r w:rsidRPr="5929E423">
              <w:rPr>
                <w:rFonts w:ascii="Times New Roman" w:eastAsia="Times New Roman" w:hAnsi="Times New Roman" w:cs="Times New Roman"/>
                <w:sz w:val="24"/>
                <w:szCs w:val="24"/>
                <w:lang w:eastAsia="lv-LV"/>
              </w:rPr>
              <w:t>Nr.</w:t>
            </w:r>
            <w:r w:rsidR="00753511">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EBA/GL/2020/06</w:t>
            </w:r>
            <w:r w:rsidR="00C90EEA">
              <w:rPr>
                <w:rFonts w:ascii="Times New Roman" w:eastAsia="Times New Roman" w:hAnsi="Times New Roman" w:cs="Times New Roman"/>
                <w:sz w:val="24"/>
                <w:szCs w:val="24"/>
                <w:lang w:eastAsia="lv-LV"/>
              </w:rPr>
              <w:t xml:space="preserve"> </w:t>
            </w:r>
            <w:r w:rsidR="00C90EEA" w:rsidRPr="00C321CE">
              <w:rPr>
                <w:rFonts w:ascii="Times New Roman" w:eastAsia="Times New Roman" w:hAnsi="Times New Roman" w:cs="Times New Roman"/>
                <w:sz w:val="24"/>
                <w:szCs w:val="24"/>
                <w:lang w:eastAsia="lv-LV"/>
              </w:rPr>
              <w:t>"</w:t>
            </w:r>
            <w:r w:rsidR="00C90EEA">
              <w:rPr>
                <w:rFonts w:ascii="Times New Roman" w:eastAsia="Times New Roman" w:hAnsi="Times New Roman" w:cs="Times New Roman"/>
                <w:sz w:val="24"/>
                <w:szCs w:val="24"/>
                <w:lang w:eastAsia="lv-LV"/>
              </w:rPr>
              <w:t>Pamatnostād</w:t>
            </w:r>
            <w:r w:rsidR="00EB22E1">
              <w:rPr>
                <w:rFonts w:ascii="Times New Roman" w:eastAsia="Times New Roman" w:hAnsi="Times New Roman" w:cs="Times New Roman"/>
                <w:sz w:val="24"/>
                <w:szCs w:val="24"/>
                <w:lang w:eastAsia="lv-LV"/>
              </w:rPr>
              <w:t>n</w:t>
            </w:r>
            <w:r w:rsidR="00C90EEA">
              <w:rPr>
                <w:rFonts w:ascii="Times New Roman" w:eastAsia="Times New Roman" w:hAnsi="Times New Roman" w:cs="Times New Roman"/>
                <w:sz w:val="24"/>
                <w:szCs w:val="24"/>
                <w:lang w:eastAsia="lv-LV"/>
              </w:rPr>
              <w:t>es par aizdevumu iniciēšanu un uzraudzību</w:t>
            </w:r>
            <w:r w:rsidR="00C90EEA" w:rsidRPr="00C321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un Eiropas Centrālās bankas </w:t>
            </w:r>
            <w:r w:rsidR="4B926D9D" w:rsidRPr="00CF5E3B">
              <w:rPr>
                <w:rFonts w:ascii="Times New Roman" w:eastAsia="Times New Roman" w:hAnsi="Times New Roman" w:cs="Times New Roman"/>
                <w:sz w:val="24"/>
                <w:szCs w:val="24"/>
                <w:lang w:eastAsia="lv-LV"/>
              </w:rPr>
              <w:t>2017.</w:t>
            </w:r>
            <w:r w:rsidR="00753511" w:rsidRPr="00CF5E3B">
              <w:rPr>
                <w:rFonts w:ascii="Times New Roman" w:eastAsia="Times New Roman" w:hAnsi="Times New Roman" w:cs="Times New Roman"/>
                <w:sz w:val="24"/>
                <w:szCs w:val="24"/>
                <w:lang w:eastAsia="lv-LV"/>
              </w:rPr>
              <w:t> </w:t>
            </w:r>
            <w:r w:rsidR="4B926D9D" w:rsidRPr="00CF5E3B">
              <w:rPr>
                <w:rFonts w:ascii="Times New Roman" w:eastAsia="Times New Roman" w:hAnsi="Times New Roman" w:cs="Times New Roman"/>
                <w:sz w:val="24"/>
                <w:szCs w:val="24"/>
                <w:lang w:eastAsia="lv-LV"/>
              </w:rPr>
              <w:t>gada mart</w:t>
            </w:r>
            <w:r w:rsidR="00CF5E3B" w:rsidRPr="00ED637C">
              <w:rPr>
                <w:rFonts w:ascii="Times New Roman" w:eastAsia="Times New Roman" w:hAnsi="Times New Roman" w:cs="Times New Roman"/>
                <w:sz w:val="24"/>
                <w:szCs w:val="24"/>
                <w:lang w:eastAsia="lv-LV"/>
              </w:rPr>
              <w:t>a</w:t>
            </w:r>
            <w:r w:rsidRPr="00CF5E3B">
              <w:rPr>
                <w:rFonts w:ascii="Times New Roman" w:eastAsia="Times New Roman" w:hAnsi="Times New Roman" w:cs="Times New Roman"/>
                <w:sz w:val="24"/>
                <w:szCs w:val="24"/>
                <w:lang w:eastAsia="lv-LV"/>
              </w:rPr>
              <w:t xml:space="preserve"> norādījumus</w:t>
            </w:r>
            <w:r>
              <w:rPr>
                <w:rFonts w:ascii="Times New Roman" w:eastAsia="Times New Roman" w:hAnsi="Times New Roman" w:cs="Times New Roman"/>
                <w:sz w:val="24"/>
                <w:szCs w:val="24"/>
                <w:lang w:eastAsia="lv-LV"/>
              </w:rPr>
              <w:t xml:space="preserve"> </w:t>
            </w:r>
            <w:r w:rsidRPr="00C321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Norādījumi bankām par ienākumus nenesošiem kredītiem</w:t>
            </w:r>
            <w:r w:rsidRPr="00C321CE">
              <w:rPr>
                <w:rFonts w:ascii="Times New Roman" w:eastAsia="Times New Roman" w:hAnsi="Times New Roman" w:cs="Times New Roman"/>
                <w:sz w:val="24"/>
                <w:szCs w:val="24"/>
                <w:lang w:eastAsia="lv-LV"/>
              </w:rPr>
              <w:t>"</w:t>
            </w:r>
            <w:r w:rsidR="002536D7">
              <w:rPr>
                <w:rFonts w:ascii="Times New Roman" w:eastAsia="Times New Roman" w:hAnsi="Times New Roman" w:cs="Times New Roman"/>
                <w:sz w:val="24"/>
                <w:szCs w:val="24"/>
                <w:lang w:eastAsia="lv-LV"/>
              </w:rPr>
              <w:t>, nosaka</w:t>
            </w:r>
            <w:r w:rsidR="00557023" w:rsidRPr="00557023">
              <w:rPr>
                <w:rFonts w:ascii="Times New Roman" w:eastAsia="Times New Roman" w:hAnsi="Times New Roman" w:cs="Times New Roman"/>
                <w:sz w:val="24"/>
                <w:szCs w:val="24"/>
                <w:lang w:eastAsia="lv-LV"/>
              </w:rPr>
              <w:t>:</w:t>
            </w:r>
          </w:p>
          <w:p w14:paraId="62E65451" w14:textId="2EC3031C" w:rsidR="003C6C09" w:rsidRPr="00EB22E1" w:rsidRDefault="00331D17" w:rsidP="00CF5E3B">
            <w:pPr>
              <w:spacing w:after="0" w:line="240" w:lineRule="auto"/>
              <w:jc w:val="both"/>
              <w:rPr>
                <w:rFonts w:ascii="Times New Roman" w:eastAsia="Times New Roman" w:hAnsi="Times New Roman" w:cs="Times New Roman"/>
                <w:sz w:val="24"/>
                <w:szCs w:val="24"/>
                <w:lang w:eastAsia="lv-LV"/>
              </w:rPr>
            </w:pPr>
            <w:r w:rsidRPr="00EB22E1">
              <w:rPr>
                <w:rFonts w:ascii="Times New Roman" w:eastAsia="Times New Roman" w:hAnsi="Times New Roman" w:cs="Times New Roman"/>
                <w:sz w:val="24"/>
                <w:szCs w:val="24"/>
                <w:lang w:eastAsia="lv-LV"/>
              </w:rPr>
              <w:t>1</w:t>
            </w:r>
            <w:r w:rsidR="003B6092" w:rsidRPr="00EB22E1">
              <w:rPr>
                <w:rFonts w:ascii="Times New Roman" w:eastAsia="Times New Roman" w:hAnsi="Times New Roman" w:cs="Times New Roman"/>
                <w:sz w:val="24"/>
                <w:szCs w:val="24"/>
                <w:lang w:eastAsia="lv-LV"/>
              </w:rPr>
              <w:t>)</w:t>
            </w:r>
            <w:r w:rsidR="00EB22E1" w:rsidRPr="00EB22E1">
              <w:rPr>
                <w:rFonts w:ascii="Times New Roman" w:eastAsia="Times New Roman" w:hAnsi="Times New Roman" w:cs="Times New Roman"/>
                <w:sz w:val="24"/>
                <w:szCs w:val="24"/>
                <w:lang w:eastAsia="lv-LV"/>
              </w:rPr>
              <w:t xml:space="preserve"> prasību izstrādāt </w:t>
            </w:r>
            <w:r w:rsidR="000A63CA" w:rsidRPr="00EB22E1">
              <w:rPr>
                <w:rFonts w:ascii="Times New Roman" w:eastAsia="Times New Roman" w:hAnsi="Times New Roman" w:cs="Times New Roman"/>
                <w:sz w:val="24"/>
                <w:szCs w:val="24"/>
                <w:lang w:eastAsia="lv-LV"/>
              </w:rPr>
              <w:t>kredītriska stra</w:t>
            </w:r>
            <w:r w:rsidR="00EB22E1" w:rsidRPr="00EB22E1">
              <w:rPr>
                <w:rFonts w:ascii="Times New Roman" w:eastAsia="Times New Roman" w:hAnsi="Times New Roman" w:cs="Times New Roman"/>
                <w:sz w:val="24"/>
                <w:szCs w:val="24"/>
                <w:lang w:eastAsia="lv-LV"/>
              </w:rPr>
              <w:t xml:space="preserve">tēģiju un citus to </w:t>
            </w:r>
            <w:r w:rsidR="00F60F0B">
              <w:rPr>
                <w:rFonts w:ascii="Times New Roman" w:eastAsia="Times New Roman" w:hAnsi="Times New Roman" w:cs="Times New Roman"/>
                <w:sz w:val="24"/>
                <w:szCs w:val="24"/>
                <w:lang w:eastAsia="lv-LV"/>
              </w:rPr>
              <w:t>papildinošos</w:t>
            </w:r>
            <w:r w:rsidR="00EB22E1" w:rsidRPr="00EB22E1">
              <w:rPr>
                <w:rFonts w:ascii="Times New Roman" w:eastAsia="Times New Roman" w:hAnsi="Times New Roman" w:cs="Times New Roman"/>
                <w:sz w:val="24"/>
                <w:szCs w:val="24"/>
                <w:lang w:eastAsia="lv-LV"/>
              </w:rPr>
              <w:t xml:space="preserve"> iekšējos normatīvos dokumentus kredītriska jomā</w:t>
            </w:r>
            <w:r w:rsidR="00A8110D">
              <w:rPr>
                <w:rFonts w:ascii="Times New Roman" w:eastAsia="Times New Roman" w:hAnsi="Times New Roman" w:cs="Times New Roman"/>
                <w:sz w:val="24"/>
                <w:szCs w:val="24"/>
                <w:lang w:eastAsia="lv-LV"/>
              </w:rPr>
              <w:t>, kā arī noteikt vēlamo kredītportfeļa struktūru un kredītu koncentrācijas limitus</w:t>
            </w:r>
            <w:r w:rsidRPr="00EB22E1">
              <w:rPr>
                <w:rFonts w:ascii="Times New Roman" w:eastAsia="Times New Roman" w:hAnsi="Times New Roman" w:cs="Times New Roman"/>
                <w:sz w:val="24"/>
                <w:szCs w:val="24"/>
                <w:lang w:eastAsia="lv-LV"/>
              </w:rPr>
              <w:t>;</w:t>
            </w:r>
          </w:p>
          <w:p w14:paraId="6B9955EA" w14:textId="779CD95D" w:rsidR="00BC55FE" w:rsidRDefault="00331D17" w:rsidP="00CF5E3B">
            <w:pPr>
              <w:spacing w:after="0" w:line="240" w:lineRule="auto"/>
              <w:jc w:val="both"/>
              <w:rPr>
                <w:rFonts w:ascii="Times New Roman" w:eastAsia="Times New Roman" w:hAnsi="Times New Roman" w:cs="Times New Roman"/>
                <w:sz w:val="24"/>
                <w:szCs w:val="24"/>
                <w:lang w:eastAsia="lv-LV"/>
              </w:rPr>
            </w:pPr>
            <w:r w:rsidRPr="00A8110D">
              <w:rPr>
                <w:rFonts w:ascii="Times New Roman" w:eastAsia="Times New Roman" w:hAnsi="Times New Roman" w:cs="Times New Roman"/>
                <w:sz w:val="24"/>
                <w:szCs w:val="24"/>
                <w:lang w:eastAsia="lv-LV"/>
              </w:rPr>
              <w:t>2</w:t>
            </w:r>
            <w:r w:rsidR="003B6092" w:rsidRPr="00A8110D">
              <w:rPr>
                <w:rFonts w:ascii="Times New Roman" w:eastAsia="Times New Roman" w:hAnsi="Times New Roman" w:cs="Times New Roman"/>
                <w:sz w:val="24"/>
                <w:szCs w:val="24"/>
                <w:lang w:eastAsia="lv-LV"/>
              </w:rPr>
              <w:t>)</w:t>
            </w:r>
            <w:r w:rsidR="00A8110D">
              <w:rPr>
                <w:rFonts w:ascii="Times New Roman" w:eastAsia="Times New Roman" w:hAnsi="Times New Roman" w:cs="Times New Roman"/>
                <w:sz w:val="24"/>
                <w:szCs w:val="24"/>
                <w:lang w:eastAsia="lv-LV"/>
              </w:rPr>
              <w:t xml:space="preserve"> iestādes padomes un valdes atbildību kredītriska pārvaldīšanas jomā;</w:t>
            </w:r>
          </w:p>
          <w:p w14:paraId="7423F280" w14:textId="104A0D0C" w:rsidR="00A8110D" w:rsidRPr="00A8110D" w:rsidRDefault="00A8110D" w:rsidP="00CF5E3B">
            <w:pPr>
              <w:spacing w:after="0" w:line="240" w:lineRule="auto"/>
              <w:jc w:val="both"/>
              <w:rPr>
                <w:rFonts w:ascii="Times New Roman" w:eastAsia="Times New Roman" w:hAnsi="Times New Roman" w:cs="Times New Roman"/>
                <w:sz w:val="24"/>
                <w:szCs w:val="24"/>
                <w:lang w:eastAsia="lv-LV"/>
              </w:rPr>
            </w:pPr>
            <w:r w:rsidRPr="00A8110D">
              <w:rPr>
                <w:rFonts w:ascii="Times New Roman" w:eastAsia="Times New Roman" w:hAnsi="Times New Roman" w:cs="Times New Roman"/>
                <w:sz w:val="24"/>
                <w:szCs w:val="24"/>
                <w:lang w:eastAsia="lv-LV"/>
              </w:rPr>
              <w:t>3)</w:t>
            </w:r>
            <w:r w:rsidR="00213E6D">
              <w:rPr>
                <w:rFonts w:ascii="Times New Roman" w:eastAsia="Times New Roman" w:hAnsi="Times New Roman" w:cs="Times New Roman"/>
                <w:sz w:val="24"/>
                <w:szCs w:val="24"/>
                <w:lang w:eastAsia="lv-LV"/>
              </w:rPr>
              <w:t xml:space="preserve"> </w:t>
            </w:r>
            <w:r w:rsidRPr="00A8110D">
              <w:rPr>
                <w:rFonts w:ascii="Times New Roman" w:eastAsia="Times New Roman" w:hAnsi="Times New Roman" w:cs="Times New Roman"/>
                <w:sz w:val="24"/>
                <w:szCs w:val="24"/>
                <w:lang w:eastAsia="lv-LV"/>
              </w:rPr>
              <w:t>prasības vadības informācijas sistēmai, lai nodrošinātu efektīvu kredītriska pārvaldīšanu iestādē;</w:t>
            </w:r>
          </w:p>
          <w:p w14:paraId="40EEA703" w14:textId="22542EB2" w:rsidR="00F60F0B" w:rsidRDefault="00A8110D" w:rsidP="00CF5E3B">
            <w:pPr>
              <w:spacing w:after="0" w:line="240" w:lineRule="auto"/>
              <w:jc w:val="both"/>
              <w:rPr>
                <w:rFonts w:ascii="Times New Roman" w:eastAsia="Times New Roman" w:hAnsi="Times New Roman" w:cs="Times New Roman"/>
                <w:sz w:val="24"/>
                <w:szCs w:val="24"/>
                <w:lang w:eastAsia="lv-LV"/>
              </w:rPr>
            </w:pPr>
            <w:r w:rsidRPr="00A8110D">
              <w:rPr>
                <w:rFonts w:ascii="Times New Roman" w:eastAsia="Times New Roman" w:hAnsi="Times New Roman" w:cs="Times New Roman"/>
                <w:sz w:val="24"/>
                <w:szCs w:val="24"/>
                <w:lang w:eastAsia="lv-LV"/>
              </w:rPr>
              <w:t>4) kredītu piešķiršana</w:t>
            </w:r>
            <w:r w:rsidR="00F60F0B">
              <w:rPr>
                <w:rFonts w:ascii="Times New Roman" w:eastAsia="Times New Roman" w:hAnsi="Times New Roman" w:cs="Times New Roman"/>
                <w:sz w:val="24"/>
                <w:szCs w:val="24"/>
                <w:lang w:eastAsia="lv-LV"/>
              </w:rPr>
              <w:t xml:space="preserve">s, </w:t>
            </w:r>
            <w:r w:rsidR="00963472">
              <w:rPr>
                <w:rFonts w:ascii="Times New Roman" w:eastAsia="Times New Roman" w:hAnsi="Times New Roman" w:cs="Times New Roman"/>
                <w:sz w:val="24"/>
                <w:szCs w:val="24"/>
                <w:lang w:eastAsia="lv-LV"/>
              </w:rPr>
              <w:t xml:space="preserve">t. sk. </w:t>
            </w:r>
            <w:r w:rsidR="00F60F0B">
              <w:rPr>
                <w:rFonts w:ascii="Times New Roman" w:eastAsia="Times New Roman" w:hAnsi="Times New Roman" w:cs="Times New Roman"/>
                <w:sz w:val="24"/>
                <w:szCs w:val="24"/>
                <w:lang w:eastAsia="lv-LV"/>
              </w:rPr>
              <w:t>lēmumu pieņemšanas, procesa pārvaldības</w:t>
            </w:r>
            <w:r w:rsidR="00F60F0B" w:rsidRPr="00A8110D">
              <w:rPr>
                <w:rFonts w:ascii="Times New Roman" w:eastAsia="Times New Roman" w:hAnsi="Times New Roman" w:cs="Times New Roman"/>
                <w:sz w:val="24"/>
                <w:szCs w:val="24"/>
                <w:lang w:eastAsia="lv-LV"/>
              </w:rPr>
              <w:t xml:space="preserve"> </w:t>
            </w:r>
            <w:r w:rsidR="00F60F0B">
              <w:rPr>
                <w:rFonts w:ascii="Times New Roman" w:eastAsia="Times New Roman" w:hAnsi="Times New Roman" w:cs="Times New Roman"/>
                <w:sz w:val="24"/>
                <w:szCs w:val="24"/>
                <w:lang w:eastAsia="lv-LV"/>
              </w:rPr>
              <w:t>prasības, kā arī kredītspējas izvērtēšanas principus juridisk</w:t>
            </w:r>
            <w:r w:rsidR="00963472">
              <w:rPr>
                <w:rFonts w:ascii="Times New Roman" w:eastAsia="Times New Roman" w:hAnsi="Times New Roman" w:cs="Times New Roman"/>
                <w:sz w:val="24"/>
                <w:szCs w:val="24"/>
                <w:lang w:eastAsia="lv-LV"/>
              </w:rPr>
              <w:t>aj</w:t>
            </w:r>
            <w:r w:rsidR="00F60F0B">
              <w:rPr>
                <w:rFonts w:ascii="Times New Roman" w:eastAsia="Times New Roman" w:hAnsi="Times New Roman" w:cs="Times New Roman"/>
                <w:sz w:val="24"/>
                <w:szCs w:val="24"/>
                <w:lang w:eastAsia="lv-LV"/>
              </w:rPr>
              <w:t xml:space="preserve">ām personām, </w:t>
            </w:r>
            <w:r>
              <w:rPr>
                <w:rFonts w:ascii="Times New Roman" w:eastAsia="Times New Roman" w:hAnsi="Times New Roman" w:cs="Times New Roman"/>
                <w:sz w:val="24"/>
                <w:szCs w:val="24"/>
                <w:lang w:eastAsia="lv-LV"/>
              </w:rPr>
              <w:t>patērētājiem</w:t>
            </w:r>
            <w:r w:rsidR="00F60F0B">
              <w:rPr>
                <w:rFonts w:ascii="Times New Roman" w:eastAsia="Times New Roman" w:hAnsi="Times New Roman" w:cs="Times New Roman"/>
                <w:sz w:val="24"/>
                <w:szCs w:val="24"/>
                <w:lang w:eastAsia="lv-LV"/>
              </w:rPr>
              <w:t xml:space="preserve"> un</w:t>
            </w:r>
            <w:r w:rsidRPr="00A8110D">
              <w:rPr>
                <w:rFonts w:ascii="Times New Roman" w:eastAsia="Times New Roman" w:hAnsi="Times New Roman" w:cs="Times New Roman"/>
                <w:sz w:val="24"/>
                <w:szCs w:val="24"/>
                <w:lang w:eastAsia="lv-LV"/>
              </w:rPr>
              <w:t xml:space="preserve"> </w:t>
            </w:r>
            <w:r w:rsidR="00F60F0B" w:rsidRPr="00F60F0B">
              <w:rPr>
                <w:rFonts w:ascii="Times New Roman" w:eastAsia="Times New Roman" w:hAnsi="Times New Roman" w:cs="Times New Roman"/>
                <w:sz w:val="24"/>
                <w:szCs w:val="24"/>
                <w:lang w:eastAsia="lv-LV"/>
              </w:rPr>
              <w:t>fizisk</w:t>
            </w:r>
            <w:r w:rsidR="00963472">
              <w:rPr>
                <w:rFonts w:ascii="Times New Roman" w:eastAsia="Times New Roman" w:hAnsi="Times New Roman" w:cs="Times New Roman"/>
                <w:sz w:val="24"/>
                <w:szCs w:val="24"/>
                <w:lang w:eastAsia="lv-LV"/>
              </w:rPr>
              <w:t>aj</w:t>
            </w:r>
            <w:r w:rsidR="00F60F0B" w:rsidRPr="00F60F0B">
              <w:rPr>
                <w:rFonts w:ascii="Times New Roman" w:eastAsia="Times New Roman" w:hAnsi="Times New Roman" w:cs="Times New Roman"/>
                <w:sz w:val="24"/>
                <w:szCs w:val="24"/>
                <w:lang w:eastAsia="lv-LV"/>
              </w:rPr>
              <w:t>ām personām, kas aizņemas saimnieciskās darbības veikšanai saistībā ar darbībām ar nekustamo īpašumu</w:t>
            </w:r>
            <w:r w:rsidR="00A44206">
              <w:rPr>
                <w:rFonts w:ascii="Times New Roman" w:eastAsia="Times New Roman" w:hAnsi="Times New Roman" w:cs="Times New Roman"/>
                <w:sz w:val="24"/>
                <w:szCs w:val="24"/>
                <w:lang w:eastAsia="lv-LV"/>
              </w:rPr>
              <w:t>, t</w:t>
            </w:r>
            <w:r w:rsidR="002F0496">
              <w:rPr>
                <w:rFonts w:ascii="Times New Roman" w:eastAsia="Times New Roman" w:hAnsi="Times New Roman" w:cs="Times New Roman"/>
                <w:sz w:val="24"/>
                <w:szCs w:val="24"/>
                <w:lang w:eastAsia="lv-LV"/>
              </w:rPr>
              <w:t>. </w:t>
            </w:r>
            <w:r w:rsidR="00A44206">
              <w:rPr>
                <w:rFonts w:ascii="Times New Roman" w:eastAsia="Times New Roman" w:hAnsi="Times New Roman" w:cs="Times New Roman"/>
                <w:sz w:val="24"/>
                <w:szCs w:val="24"/>
                <w:lang w:eastAsia="lv-LV"/>
              </w:rPr>
              <w:t>sk</w:t>
            </w:r>
            <w:r w:rsidR="002F0496">
              <w:rPr>
                <w:rFonts w:ascii="Times New Roman" w:eastAsia="Times New Roman" w:hAnsi="Times New Roman" w:cs="Times New Roman"/>
                <w:sz w:val="24"/>
                <w:szCs w:val="24"/>
                <w:lang w:eastAsia="lv-LV"/>
              </w:rPr>
              <w:t>.</w:t>
            </w:r>
            <w:r w:rsidR="00A44206">
              <w:rPr>
                <w:rFonts w:ascii="Times New Roman" w:eastAsia="Times New Roman" w:hAnsi="Times New Roman" w:cs="Times New Roman"/>
                <w:sz w:val="24"/>
                <w:szCs w:val="24"/>
                <w:lang w:eastAsia="lv-LV"/>
              </w:rPr>
              <w:t xml:space="preserve"> nosak</w:t>
            </w:r>
            <w:r w:rsidR="002F0496">
              <w:rPr>
                <w:rFonts w:ascii="Times New Roman" w:eastAsia="Times New Roman" w:hAnsi="Times New Roman" w:cs="Times New Roman"/>
                <w:sz w:val="24"/>
                <w:szCs w:val="24"/>
                <w:lang w:eastAsia="lv-LV"/>
              </w:rPr>
              <w:t>a</w:t>
            </w:r>
            <w:r w:rsidR="00A44206">
              <w:rPr>
                <w:rFonts w:ascii="Times New Roman" w:eastAsia="Times New Roman" w:hAnsi="Times New Roman" w:cs="Times New Roman"/>
                <w:sz w:val="24"/>
                <w:szCs w:val="24"/>
                <w:lang w:eastAsia="lv-LV"/>
              </w:rPr>
              <w:t xml:space="preserve"> </w:t>
            </w:r>
            <w:r w:rsidR="00FF0243" w:rsidRPr="00FF0243">
              <w:rPr>
                <w:rFonts w:ascii="Times New Roman" w:eastAsia="Times New Roman" w:hAnsi="Times New Roman" w:cs="Times New Roman"/>
                <w:sz w:val="24"/>
                <w:szCs w:val="24"/>
                <w:lang w:eastAsia="lv-LV"/>
              </w:rPr>
              <w:t xml:space="preserve">uz aizņēmējiem vērstu </w:t>
            </w:r>
            <w:r w:rsidR="00FF0243" w:rsidRPr="00094FA9">
              <w:rPr>
                <w:rFonts w:ascii="Times New Roman" w:eastAsia="Times New Roman" w:hAnsi="Times New Roman" w:cs="Times New Roman"/>
                <w:sz w:val="24"/>
                <w:szCs w:val="24"/>
                <w:lang w:eastAsia="lv-LV"/>
              </w:rPr>
              <w:t>instrumentu</w:t>
            </w:r>
            <w:r w:rsidR="00FF0243" w:rsidRPr="00FF0243">
              <w:rPr>
                <w:rFonts w:ascii="Times New Roman" w:eastAsia="Times New Roman" w:hAnsi="Times New Roman" w:cs="Times New Roman"/>
                <w:sz w:val="24"/>
                <w:szCs w:val="24"/>
                <w:lang w:eastAsia="lv-LV"/>
              </w:rPr>
              <w:t xml:space="preserve"> piemērošanas prasības attiecībā uz </w:t>
            </w:r>
            <w:r w:rsidR="00936B8C">
              <w:rPr>
                <w:rFonts w:ascii="Times New Roman" w:eastAsia="Times New Roman" w:hAnsi="Times New Roman" w:cs="Times New Roman"/>
                <w:sz w:val="24"/>
                <w:szCs w:val="24"/>
                <w:lang w:eastAsia="lv-LV"/>
              </w:rPr>
              <w:t>aiz</w:t>
            </w:r>
            <w:r w:rsidR="003522D7">
              <w:rPr>
                <w:rFonts w:ascii="Times New Roman" w:eastAsia="Times New Roman" w:hAnsi="Times New Roman" w:cs="Times New Roman"/>
                <w:sz w:val="24"/>
                <w:szCs w:val="24"/>
                <w:lang w:eastAsia="lv-LV"/>
              </w:rPr>
              <w:t>ņ</w:t>
            </w:r>
            <w:r w:rsidR="00936B8C" w:rsidRPr="00FF0243">
              <w:rPr>
                <w:rFonts w:ascii="Times New Roman" w:eastAsia="Times New Roman" w:hAnsi="Times New Roman" w:cs="Times New Roman"/>
                <w:sz w:val="24"/>
                <w:szCs w:val="24"/>
                <w:lang w:eastAsia="lv-LV"/>
              </w:rPr>
              <w:t>ēmēj</w:t>
            </w:r>
            <w:r w:rsidR="00936B8C">
              <w:rPr>
                <w:rFonts w:ascii="Times New Roman" w:eastAsia="Times New Roman" w:hAnsi="Times New Roman" w:cs="Times New Roman"/>
                <w:sz w:val="24"/>
                <w:szCs w:val="24"/>
                <w:lang w:eastAsia="lv-LV"/>
              </w:rPr>
              <w:t>iem</w:t>
            </w:r>
            <w:r w:rsidR="00FF0243" w:rsidRPr="00FF0243">
              <w:rPr>
                <w:rFonts w:ascii="Times New Roman" w:eastAsia="Times New Roman" w:hAnsi="Times New Roman" w:cs="Times New Roman"/>
                <w:sz w:val="24"/>
                <w:szCs w:val="24"/>
                <w:lang w:eastAsia="lv-LV"/>
              </w:rPr>
              <w:t>, kas ir fizisk</w:t>
            </w:r>
            <w:r w:rsidR="00963472">
              <w:rPr>
                <w:rFonts w:ascii="Times New Roman" w:eastAsia="Times New Roman" w:hAnsi="Times New Roman" w:cs="Times New Roman"/>
                <w:sz w:val="24"/>
                <w:szCs w:val="24"/>
                <w:lang w:eastAsia="lv-LV"/>
              </w:rPr>
              <w:t>ā</w:t>
            </w:r>
            <w:r w:rsidR="00FF0243" w:rsidRPr="00FF0243">
              <w:rPr>
                <w:rFonts w:ascii="Times New Roman" w:eastAsia="Times New Roman" w:hAnsi="Times New Roman" w:cs="Times New Roman"/>
                <w:sz w:val="24"/>
                <w:szCs w:val="24"/>
                <w:lang w:eastAsia="lv-LV"/>
              </w:rPr>
              <w:t>s personas</w:t>
            </w:r>
            <w:r w:rsidR="00312C6D">
              <w:rPr>
                <w:rFonts w:ascii="Times New Roman" w:eastAsia="Times New Roman" w:hAnsi="Times New Roman" w:cs="Times New Roman"/>
                <w:sz w:val="24"/>
                <w:szCs w:val="24"/>
                <w:lang w:eastAsia="lv-LV"/>
              </w:rPr>
              <w:t>, kā arī nosaka principus kredīta cenas noteikšanai</w:t>
            </w:r>
            <w:r w:rsidR="002F0496">
              <w:rPr>
                <w:rFonts w:ascii="Times New Roman" w:eastAsia="Times New Roman" w:hAnsi="Times New Roman" w:cs="Times New Roman"/>
                <w:sz w:val="24"/>
                <w:szCs w:val="24"/>
                <w:lang w:eastAsia="lv-LV"/>
              </w:rPr>
              <w:t xml:space="preserve"> un</w:t>
            </w:r>
            <w:r w:rsidR="00312C6D">
              <w:rPr>
                <w:rFonts w:ascii="Times New Roman" w:eastAsia="Times New Roman" w:hAnsi="Times New Roman" w:cs="Times New Roman"/>
                <w:sz w:val="24"/>
                <w:szCs w:val="24"/>
                <w:lang w:eastAsia="lv-LV"/>
              </w:rPr>
              <w:t xml:space="preserve"> nodrošinājuma novērtēšanai kredīta piešķiršanas brīdī un prasības nodrošinājuma vērtētājiem;</w:t>
            </w:r>
          </w:p>
          <w:p w14:paraId="6AAD805B" w14:textId="5A8908A7" w:rsidR="00D76A98" w:rsidRDefault="00312C6D" w:rsidP="00CF5E3B">
            <w:pPr>
              <w:spacing w:after="0" w:line="240" w:lineRule="auto"/>
              <w:jc w:val="both"/>
              <w:rPr>
                <w:rFonts w:ascii="Times New Roman" w:eastAsia="Times New Roman" w:hAnsi="Times New Roman" w:cs="Times New Roman"/>
                <w:sz w:val="24"/>
                <w:szCs w:val="24"/>
                <w:lang w:eastAsia="lv-LV"/>
              </w:rPr>
            </w:pPr>
            <w:r w:rsidRPr="00312C6D">
              <w:rPr>
                <w:rFonts w:ascii="Times New Roman" w:eastAsia="Times New Roman" w:hAnsi="Times New Roman" w:cs="Times New Roman"/>
                <w:sz w:val="24"/>
                <w:szCs w:val="24"/>
                <w:lang w:eastAsia="lv-LV"/>
              </w:rPr>
              <w:t xml:space="preserve">5) </w:t>
            </w:r>
            <w:r>
              <w:rPr>
                <w:rFonts w:ascii="Times New Roman" w:eastAsia="Times New Roman" w:hAnsi="Times New Roman" w:cs="Times New Roman"/>
                <w:sz w:val="24"/>
                <w:szCs w:val="24"/>
                <w:lang w:eastAsia="lv-LV"/>
              </w:rPr>
              <w:t xml:space="preserve">kredītu pārraudzības un administrēšanas principus, </w:t>
            </w:r>
            <w:r w:rsidR="00D76A98">
              <w:rPr>
                <w:rFonts w:ascii="Times New Roman" w:eastAsia="Times New Roman" w:hAnsi="Times New Roman" w:cs="Times New Roman"/>
                <w:sz w:val="24"/>
                <w:szCs w:val="24"/>
                <w:lang w:eastAsia="lv-LV"/>
              </w:rPr>
              <w:t>tostarp prasības kredītlietas uzturēšanai, kredītu kvalitātes un nodrošinājuma pārraudzībai, agrīn</w:t>
            </w:r>
            <w:r w:rsidR="002F0496">
              <w:rPr>
                <w:rFonts w:ascii="Times New Roman" w:eastAsia="Times New Roman" w:hAnsi="Times New Roman" w:cs="Times New Roman"/>
                <w:sz w:val="24"/>
                <w:szCs w:val="24"/>
                <w:lang w:eastAsia="lv-LV"/>
              </w:rPr>
              <w:t>ā</w:t>
            </w:r>
            <w:r w:rsidR="00D76A98">
              <w:rPr>
                <w:rFonts w:ascii="Times New Roman" w:eastAsia="Times New Roman" w:hAnsi="Times New Roman" w:cs="Times New Roman"/>
                <w:sz w:val="24"/>
                <w:szCs w:val="24"/>
                <w:lang w:eastAsia="lv-LV"/>
              </w:rPr>
              <w:t>s brīdināšanas sistēmai, iekšējo reitingu sistēmai, kredītriska mērīšanai, novērtēšanai un pārraudzībai, būtiska kredītriska pieauguma</w:t>
            </w:r>
            <w:r w:rsidR="00541A01">
              <w:rPr>
                <w:rFonts w:ascii="Times New Roman" w:eastAsia="Times New Roman" w:hAnsi="Times New Roman" w:cs="Times New Roman"/>
                <w:sz w:val="24"/>
                <w:szCs w:val="24"/>
                <w:lang w:eastAsia="lv-LV"/>
              </w:rPr>
              <w:t xml:space="preserve"> pazīmes</w:t>
            </w:r>
            <w:r w:rsidR="00D76A98">
              <w:rPr>
                <w:rFonts w:ascii="Times New Roman" w:eastAsia="Times New Roman" w:hAnsi="Times New Roman" w:cs="Times New Roman"/>
                <w:sz w:val="24"/>
                <w:szCs w:val="24"/>
                <w:lang w:eastAsia="lv-LV"/>
              </w:rPr>
              <w:t>, prasības iekšējo modeļu validācijai un kredītu kvalitātes pārvaldības efektivitātes novērtēšanai;</w:t>
            </w:r>
          </w:p>
          <w:p w14:paraId="6A88D1A7" w14:textId="6B8AA7FA" w:rsidR="00D76A98" w:rsidRDefault="00D76A98" w:rsidP="00CF5E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 </w:t>
            </w:r>
            <w:r w:rsidRPr="007B1E53">
              <w:rPr>
                <w:rFonts w:ascii="Times New Roman" w:eastAsia="Times New Roman" w:hAnsi="Times New Roman" w:cs="Times New Roman"/>
                <w:sz w:val="24"/>
                <w:szCs w:val="24"/>
                <w:lang w:eastAsia="lv-LV"/>
              </w:rPr>
              <w:t>prasības kredīta līguma nosacījumu pārskatīšanai un pārskatīšanas pasākumu sasaistei ar ienākumus nenesoša kredīta statusu;</w:t>
            </w:r>
          </w:p>
          <w:p w14:paraId="3EBA801A" w14:textId="12903384" w:rsidR="007B1E53" w:rsidRDefault="007B1E53" w:rsidP="00CF5E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7) </w:t>
            </w:r>
            <w:r w:rsidR="00E16827">
              <w:rPr>
                <w:rFonts w:ascii="Times New Roman" w:eastAsia="Times New Roman" w:hAnsi="Times New Roman" w:cs="Times New Roman"/>
                <w:sz w:val="24"/>
                <w:szCs w:val="24"/>
                <w:lang w:eastAsia="lv-LV"/>
              </w:rPr>
              <w:t xml:space="preserve">prasības aktīvu kvalitātes novērtēšanai un uzkrājumu veidošanai, </w:t>
            </w:r>
            <w:r w:rsidR="00963472">
              <w:rPr>
                <w:rFonts w:ascii="Times New Roman" w:eastAsia="Times New Roman" w:hAnsi="Times New Roman" w:cs="Times New Roman"/>
                <w:sz w:val="24"/>
                <w:szCs w:val="24"/>
                <w:lang w:eastAsia="lv-LV"/>
              </w:rPr>
              <w:t>t. </w:t>
            </w:r>
            <w:r w:rsidR="00963472" w:rsidRPr="00963472">
              <w:rPr>
                <w:rFonts w:ascii="Times New Roman" w:eastAsia="Times New Roman" w:hAnsi="Times New Roman" w:cs="Times New Roman"/>
                <w:sz w:val="24"/>
                <w:szCs w:val="24"/>
                <w:lang w:eastAsia="lv-LV"/>
              </w:rPr>
              <w:t>sk.</w:t>
            </w:r>
            <w:r w:rsidR="00963472">
              <w:rPr>
                <w:rFonts w:ascii="Times New Roman" w:eastAsia="Times New Roman" w:hAnsi="Times New Roman" w:cs="Times New Roman"/>
                <w:sz w:val="24"/>
                <w:szCs w:val="24"/>
                <w:lang w:eastAsia="lv-LV"/>
              </w:rPr>
              <w:t xml:space="preserve"> </w:t>
            </w:r>
            <w:r w:rsidR="00E16827">
              <w:rPr>
                <w:rFonts w:ascii="Times New Roman" w:eastAsia="Times New Roman" w:hAnsi="Times New Roman" w:cs="Times New Roman"/>
                <w:sz w:val="24"/>
                <w:szCs w:val="24"/>
                <w:lang w:eastAsia="lv-LV"/>
              </w:rPr>
              <w:t xml:space="preserve">kritērijus </w:t>
            </w:r>
            <w:r w:rsidR="00FF0243">
              <w:rPr>
                <w:rFonts w:ascii="Times New Roman" w:eastAsia="Times New Roman" w:hAnsi="Times New Roman" w:cs="Times New Roman"/>
                <w:sz w:val="24"/>
                <w:szCs w:val="24"/>
                <w:lang w:eastAsia="lv-LV"/>
              </w:rPr>
              <w:t>un detalizētas prasības aktīvu vērtēšanai individuāli un grupās, ienākumu atzīšanai, uzkrājumu samazināšanai, neatgūstamo aktīvu norakstīšanai</w:t>
            </w:r>
            <w:r w:rsidR="00BB7BF1">
              <w:rPr>
                <w:rFonts w:ascii="Times New Roman" w:eastAsia="Times New Roman" w:hAnsi="Times New Roman" w:cs="Times New Roman"/>
                <w:sz w:val="24"/>
                <w:szCs w:val="24"/>
                <w:lang w:eastAsia="lv-LV"/>
              </w:rPr>
              <w:t>,</w:t>
            </w:r>
            <w:r w:rsidR="00FF0243">
              <w:rPr>
                <w:rFonts w:ascii="Times New Roman" w:eastAsia="Times New Roman" w:hAnsi="Times New Roman" w:cs="Times New Roman"/>
                <w:sz w:val="24"/>
                <w:szCs w:val="24"/>
                <w:lang w:eastAsia="lv-LV"/>
              </w:rPr>
              <w:t xml:space="preserve"> pārņemto aktīvu un ārpusbilances saistību novērtēšanai, kā arī uzraudzības iestādes pieeju aktīvu kvalitātes un uzkrājumu veidošanas procesa novērtēšanai</w:t>
            </w:r>
            <w:r w:rsidR="002F0496">
              <w:rPr>
                <w:rFonts w:ascii="Times New Roman" w:eastAsia="Times New Roman" w:hAnsi="Times New Roman" w:cs="Times New Roman"/>
                <w:sz w:val="24"/>
                <w:szCs w:val="24"/>
                <w:lang w:eastAsia="lv-LV"/>
              </w:rPr>
              <w:t>;</w:t>
            </w:r>
          </w:p>
          <w:p w14:paraId="42CE9882" w14:textId="522D3B8B" w:rsidR="00FF0243" w:rsidRDefault="00FF0243" w:rsidP="00CF5E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8) papildu prasības iestādēm ar paaugstinātu ienākumus nenesošu kredītu īpatsvaru, kas ietver šādu kredītu pārvaldība</w:t>
            </w:r>
            <w:r w:rsidR="002F0496">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w:t>
            </w:r>
            <w:r w:rsidR="002F0496">
              <w:rPr>
                <w:rFonts w:ascii="Times New Roman" w:eastAsia="Times New Roman" w:hAnsi="Times New Roman" w:cs="Times New Roman"/>
                <w:sz w:val="24"/>
                <w:szCs w:val="24"/>
                <w:lang w:eastAsia="lv-LV"/>
              </w:rPr>
              <w:t xml:space="preserve">prasības </w:t>
            </w:r>
            <w:r>
              <w:rPr>
                <w:rFonts w:ascii="Times New Roman" w:eastAsia="Times New Roman" w:hAnsi="Times New Roman" w:cs="Times New Roman"/>
                <w:sz w:val="24"/>
                <w:szCs w:val="24"/>
                <w:lang w:eastAsia="lv-LV"/>
              </w:rPr>
              <w:t>un pienākumu regulāri ziņot uzraudzības iestādei par darbības vides novērtējumu un ienākumus nenesošu kredītu pārvaldības stratēģiju un tās ieviešanas plānu, kā arī sniegt informāciju par pārņemtajiem nekustamajiem īpašumiem</w:t>
            </w:r>
            <w:r w:rsidR="002F0496">
              <w:rPr>
                <w:rFonts w:ascii="Times New Roman" w:eastAsia="Times New Roman" w:hAnsi="Times New Roman" w:cs="Times New Roman"/>
                <w:sz w:val="24"/>
                <w:szCs w:val="24"/>
                <w:lang w:eastAsia="lv-LV"/>
              </w:rPr>
              <w:t>;</w:t>
            </w:r>
          </w:p>
          <w:p w14:paraId="557254C9" w14:textId="6926E849" w:rsidR="00FF0243" w:rsidRDefault="00FF0243" w:rsidP="00CF5E3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9) </w:t>
            </w:r>
            <w:r w:rsidR="002536D7">
              <w:rPr>
                <w:rFonts w:ascii="Times New Roman" w:eastAsia="Times New Roman" w:hAnsi="Times New Roman" w:cs="Times New Roman"/>
                <w:sz w:val="24"/>
                <w:szCs w:val="24"/>
                <w:lang w:eastAsia="lv-LV"/>
              </w:rPr>
              <w:t>prasības kredītriska stresa testiem, kritisko situāciju novērtējumam un pasākumiem to nepieļaušanai vai novēršanai.</w:t>
            </w:r>
          </w:p>
          <w:p w14:paraId="68AF697F" w14:textId="77777777" w:rsidR="00890BBD" w:rsidRDefault="00890BBD" w:rsidP="00CF5E3B">
            <w:pPr>
              <w:spacing w:after="0" w:line="240" w:lineRule="auto"/>
              <w:jc w:val="both"/>
              <w:rPr>
                <w:rFonts w:ascii="Times New Roman" w:eastAsia="Times New Roman" w:hAnsi="Times New Roman" w:cs="Times New Roman"/>
                <w:sz w:val="24"/>
                <w:szCs w:val="24"/>
                <w:lang w:eastAsia="lv-LV"/>
              </w:rPr>
            </w:pPr>
          </w:p>
          <w:p w14:paraId="6A46F9A2" w14:textId="22478304" w:rsidR="00890BBD" w:rsidRDefault="573BDA25" w:rsidP="00CF5E3B">
            <w:pPr>
              <w:spacing w:after="0" w:line="240" w:lineRule="auto"/>
              <w:jc w:val="both"/>
              <w:rPr>
                <w:rFonts w:ascii="Times New Roman" w:eastAsia="Times New Roman" w:hAnsi="Times New Roman" w:cs="Times New Roman"/>
                <w:sz w:val="24"/>
                <w:szCs w:val="24"/>
                <w:lang w:eastAsia="lv-LV"/>
              </w:rPr>
            </w:pPr>
            <w:r w:rsidRPr="02680577">
              <w:rPr>
                <w:rFonts w:ascii="Times New Roman" w:eastAsia="Times New Roman" w:hAnsi="Times New Roman" w:cs="Times New Roman"/>
                <w:sz w:val="24"/>
                <w:szCs w:val="24"/>
                <w:lang w:eastAsia="lv-LV"/>
              </w:rPr>
              <w:t>Noteikumu projekts satur identiskas tiesību normas kā Finanšu un kapitāla tirgus komisijas 2020.</w:t>
            </w:r>
            <w:r w:rsidR="00753511">
              <w:rPr>
                <w:rFonts w:ascii="Times New Roman" w:eastAsia="Times New Roman" w:hAnsi="Times New Roman" w:cs="Times New Roman"/>
                <w:sz w:val="24"/>
                <w:szCs w:val="24"/>
                <w:lang w:eastAsia="lv-LV"/>
              </w:rPr>
              <w:t> </w:t>
            </w:r>
            <w:r w:rsidRPr="02680577">
              <w:rPr>
                <w:rFonts w:ascii="Times New Roman" w:eastAsia="Times New Roman" w:hAnsi="Times New Roman" w:cs="Times New Roman"/>
                <w:sz w:val="24"/>
                <w:szCs w:val="24"/>
                <w:lang w:eastAsia="lv-LV"/>
              </w:rPr>
              <w:t>gada 22.</w:t>
            </w:r>
            <w:r w:rsidR="00753511">
              <w:rPr>
                <w:rFonts w:ascii="Times New Roman" w:eastAsia="Times New Roman" w:hAnsi="Times New Roman" w:cs="Times New Roman"/>
                <w:sz w:val="24"/>
                <w:szCs w:val="24"/>
                <w:lang w:eastAsia="lv-LV"/>
              </w:rPr>
              <w:t> </w:t>
            </w:r>
            <w:r w:rsidRPr="02680577">
              <w:rPr>
                <w:rFonts w:ascii="Times New Roman" w:eastAsia="Times New Roman" w:hAnsi="Times New Roman" w:cs="Times New Roman"/>
                <w:sz w:val="24"/>
                <w:szCs w:val="24"/>
                <w:lang w:eastAsia="lv-LV"/>
              </w:rPr>
              <w:t>decembra normatīvie noteikumi Nr.</w:t>
            </w:r>
            <w:r w:rsidR="00753511">
              <w:rPr>
                <w:rFonts w:ascii="Times New Roman" w:eastAsia="Times New Roman" w:hAnsi="Times New Roman" w:cs="Times New Roman"/>
                <w:sz w:val="24"/>
                <w:szCs w:val="24"/>
                <w:lang w:eastAsia="lv-LV"/>
              </w:rPr>
              <w:t> </w:t>
            </w:r>
            <w:r w:rsidRPr="02680577">
              <w:rPr>
                <w:rFonts w:ascii="Times New Roman" w:eastAsia="Times New Roman" w:hAnsi="Times New Roman" w:cs="Times New Roman"/>
                <w:sz w:val="24"/>
                <w:szCs w:val="24"/>
                <w:lang w:eastAsia="lv-LV"/>
              </w:rPr>
              <w:t>242 "Kredītriska pārvaldīšanas normatīvie noteikumi"</w:t>
            </w:r>
            <w:r w:rsidR="2D509B31" w:rsidRPr="02680577">
              <w:rPr>
                <w:rFonts w:ascii="Times New Roman" w:eastAsia="Times New Roman" w:hAnsi="Times New Roman" w:cs="Times New Roman"/>
                <w:sz w:val="24"/>
                <w:szCs w:val="24"/>
                <w:lang w:eastAsia="lv-LV"/>
              </w:rPr>
              <w:t xml:space="preserve"> (turpmāk</w:t>
            </w:r>
            <w:r w:rsidR="00753511">
              <w:rPr>
                <w:rFonts w:ascii="Times New Roman" w:eastAsia="Times New Roman" w:hAnsi="Times New Roman" w:cs="Times New Roman"/>
                <w:sz w:val="24"/>
                <w:szCs w:val="24"/>
                <w:lang w:eastAsia="lv-LV"/>
              </w:rPr>
              <w:t> </w:t>
            </w:r>
            <w:r w:rsidR="0047007B">
              <w:rPr>
                <w:rFonts w:ascii="Times New Roman" w:eastAsia="Times New Roman" w:hAnsi="Times New Roman" w:cs="Times New Roman"/>
                <w:sz w:val="24"/>
                <w:szCs w:val="24"/>
                <w:lang w:eastAsia="lv-LV"/>
              </w:rPr>
              <w:t xml:space="preserve">arī </w:t>
            </w:r>
            <w:r w:rsidR="2D509B31" w:rsidRPr="02680577">
              <w:rPr>
                <w:rFonts w:ascii="Times New Roman" w:eastAsia="Times New Roman" w:hAnsi="Times New Roman" w:cs="Times New Roman"/>
                <w:sz w:val="24"/>
                <w:szCs w:val="24"/>
                <w:lang w:eastAsia="lv-LV"/>
              </w:rPr>
              <w:t>– Noteikumi Nr.</w:t>
            </w:r>
            <w:r w:rsidR="00753511">
              <w:rPr>
                <w:rFonts w:ascii="Times New Roman" w:eastAsia="Times New Roman" w:hAnsi="Times New Roman" w:cs="Times New Roman"/>
                <w:sz w:val="24"/>
                <w:szCs w:val="24"/>
                <w:lang w:eastAsia="lv-LV"/>
              </w:rPr>
              <w:t> </w:t>
            </w:r>
            <w:r w:rsidR="2D509B31" w:rsidRPr="02680577">
              <w:rPr>
                <w:rFonts w:ascii="Times New Roman" w:eastAsia="Times New Roman" w:hAnsi="Times New Roman" w:cs="Times New Roman"/>
                <w:sz w:val="24"/>
                <w:szCs w:val="24"/>
                <w:lang w:eastAsia="lv-LV"/>
              </w:rPr>
              <w:t>242)</w:t>
            </w:r>
            <w:r w:rsidRPr="02680577">
              <w:rPr>
                <w:rFonts w:ascii="Times New Roman" w:eastAsia="Times New Roman" w:hAnsi="Times New Roman" w:cs="Times New Roman"/>
                <w:sz w:val="24"/>
                <w:szCs w:val="24"/>
                <w:lang w:eastAsia="lv-LV"/>
              </w:rPr>
              <w:t>, izņemot šād</w:t>
            </w:r>
            <w:r w:rsidR="001F64E0">
              <w:rPr>
                <w:rFonts w:ascii="Times New Roman" w:eastAsia="Times New Roman" w:hAnsi="Times New Roman" w:cs="Times New Roman"/>
                <w:sz w:val="24"/>
                <w:szCs w:val="24"/>
                <w:lang w:eastAsia="lv-LV"/>
              </w:rPr>
              <w:t>a</w:t>
            </w:r>
            <w:r w:rsidRPr="02680577">
              <w:rPr>
                <w:rFonts w:ascii="Times New Roman" w:eastAsia="Times New Roman" w:hAnsi="Times New Roman" w:cs="Times New Roman"/>
                <w:sz w:val="24"/>
                <w:szCs w:val="24"/>
                <w:lang w:eastAsia="lv-LV"/>
              </w:rPr>
              <w:t xml:space="preserve">s </w:t>
            </w:r>
            <w:r w:rsidR="00A01570">
              <w:rPr>
                <w:rFonts w:ascii="Times New Roman" w:eastAsia="Times New Roman" w:hAnsi="Times New Roman" w:cs="Times New Roman"/>
                <w:sz w:val="24"/>
                <w:szCs w:val="24"/>
                <w:lang w:eastAsia="lv-LV"/>
              </w:rPr>
              <w:t>n</w:t>
            </w:r>
            <w:r w:rsidRPr="02680577">
              <w:rPr>
                <w:rFonts w:ascii="Times New Roman" w:eastAsia="Times New Roman" w:hAnsi="Times New Roman" w:cs="Times New Roman"/>
                <w:sz w:val="24"/>
                <w:szCs w:val="24"/>
                <w:lang w:eastAsia="lv-LV"/>
              </w:rPr>
              <w:t xml:space="preserve">oteikumu projektā </w:t>
            </w:r>
            <w:r w:rsidR="007C4069">
              <w:rPr>
                <w:rFonts w:ascii="Times New Roman" w:eastAsia="Times New Roman" w:hAnsi="Times New Roman" w:cs="Times New Roman"/>
                <w:sz w:val="24"/>
                <w:szCs w:val="24"/>
                <w:lang w:eastAsia="lv-LV"/>
              </w:rPr>
              <w:t>ietver</w:t>
            </w:r>
            <w:r w:rsidR="007C4069" w:rsidRPr="02680577">
              <w:rPr>
                <w:rFonts w:ascii="Times New Roman" w:eastAsia="Times New Roman" w:hAnsi="Times New Roman" w:cs="Times New Roman"/>
                <w:sz w:val="24"/>
                <w:szCs w:val="24"/>
                <w:lang w:eastAsia="lv-LV"/>
              </w:rPr>
              <w:t xml:space="preserve">tās </w:t>
            </w:r>
            <w:r w:rsidR="00696DD6">
              <w:rPr>
                <w:rFonts w:ascii="Times New Roman" w:eastAsia="Times New Roman" w:hAnsi="Times New Roman" w:cs="Times New Roman"/>
                <w:sz w:val="24"/>
                <w:szCs w:val="24"/>
                <w:lang w:eastAsia="lv-LV"/>
              </w:rPr>
              <w:t>iz</w:t>
            </w:r>
            <w:r w:rsidRPr="02680577">
              <w:rPr>
                <w:rFonts w:ascii="Times New Roman" w:eastAsia="Times New Roman" w:hAnsi="Times New Roman" w:cs="Times New Roman"/>
                <w:sz w:val="24"/>
                <w:szCs w:val="24"/>
                <w:lang w:eastAsia="lv-LV"/>
              </w:rPr>
              <w:t>maiņas</w:t>
            </w:r>
            <w:r w:rsidR="630F5679" w:rsidRPr="02680577">
              <w:rPr>
                <w:rFonts w:ascii="Times New Roman" w:eastAsia="Times New Roman" w:hAnsi="Times New Roman" w:cs="Times New Roman"/>
                <w:sz w:val="24"/>
                <w:szCs w:val="24"/>
                <w:lang w:eastAsia="lv-LV"/>
              </w:rPr>
              <w:t>, kas izriet no Latvijas Bankas uzraudzības praksē novērotā</w:t>
            </w:r>
            <w:r w:rsidRPr="02680577">
              <w:rPr>
                <w:rFonts w:ascii="Times New Roman" w:eastAsia="Times New Roman" w:hAnsi="Times New Roman" w:cs="Times New Roman"/>
                <w:sz w:val="24"/>
                <w:szCs w:val="24"/>
                <w:lang w:eastAsia="lv-LV"/>
              </w:rPr>
              <w:t>:</w:t>
            </w:r>
          </w:p>
          <w:p w14:paraId="3FE39A56" w14:textId="5DFCA847" w:rsidR="00890BBD" w:rsidRPr="00B002E4" w:rsidRDefault="00F245EB"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124708" w:rsidRPr="00B002E4">
              <w:rPr>
                <w:rFonts w:ascii="Times New Roman" w:eastAsia="Times New Roman" w:hAnsi="Times New Roman" w:cs="Times New Roman"/>
                <w:sz w:val="24"/>
                <w:szCs w:val="24"/>
                <w:lang w:eastAsia="lv-LV"/>
              </w:rPr>
              <w:t xml:space="preserve">recizēts </w:t>
            </w:r>
            <w:r w:rsidR="00A27BE6" w:rsidRPr="00B002E4">
              <w:rPr>
                <w:rFonts w:ascii="Times New Roman" w:eastAsia="Times New Roman" w:hAnsi="Times New Roman" w:cs="Times New Roman"/>
                <w:sz w:val="24"/>
                <w:szCs w:val="24"/>
                <w:lang w:eastAsia="lv-LV"/>
              </w:rPr>
              <w:t>uz aizņēmējiem vērsto instrumentu prasību piemērošan</w:t>
            </w:r>
            <w:r w:rsidR="002F0496">
              <w:rPr>
                <w:rFonts w:ascii="Times New Roman" w:eastAsia="Times New Roman" w:hAnsi="Times New Roman" w:cs="Times New Roman"/>
                <w:sz w:val="24"/>
                <w:szCs w:val="24"/>
                <w:lang w:eastAsia="lv-LV"/>
              </w:rPr>
              <w:t>as</w:t>
            </w:r>
            <w:r w:rsidR="00A27BE6" w:rsidRPr="00B002E4">
              <w:rPr>
                <w:rFonts w:ascii="Times New Roman" w:eastAsia="Times New Roman" w:hAnsi="Times New Roman" w:cs="Times New Roman"/>
                <w:sz w:val="24"/>
                <w:szCs w:val="24"/>
                <w:lang w:eastAsia="lv-LV"/>
              </w:rPr>
              <w:t xml:space="preserve"> </w:t>
            </w:r>
            <w:r w:rsidR="002F0496" w:rsidRPr="00B002E4">
              <w:rPr>
                <w:rFonts w:ascii="Times New Roman" w:eastAsia="Times New Roman" w:hAnsi="Times New Roman" w:cs="Times New Roman"/>
                <w:sz w:val="24"/>
                <w:szCs w:val="24"/>
                <w:lang w:eastAsia="lv-LV"/>
              </w:rPr>
              <w:t xml:space="preserve">tvērums </w:t>
            </w:r>
            <w:r w:rsidR="00A27BE6" w:rsidRPr="00B002E4">
              <w:rPr>
                <w:rFonts w:ascii="Times New Roman" w:eastAsia="Times New Roman" w:hAnsi="Times New Roman" w:cs="Times New Roman"/>
                <w:sz w:val="24"/>
                <w:szCs w:val="24"/>
                <w:lang w:eastAsia="lv-LV"/>
              </w:rPr>
              <w:t>fizisk</w:t>
            </w:r>
            <w:r w:rsidR="00963472">
              <w:rPr>
                <w:rFonts w:ascii="Times New Roman" w:eastAsia="Times New Roman" w:hAnsi="Times New Roman" w:cs="Times New Roman"/>
                <w:sz w:val="24"/>
                <w:szCs w:val="24"/>
                <w:lang w:eastAsia="lv-LV"/>
              </w:rPr>
              <w:t>o</w:t>
            </w:r>
            <w:r w:rsidR="00A27BE6" w:rsidRPr="00B002E4">
              <w:rPr>
                <w:rFonts w:ascii="Times New Roman" w:eastAsia="Times New Roman" w:hAnsi="Times New Roman" w:cs="Times New Roman"/>
                <w:sz w:val="24"/>
                <w:szCs w:val="24"/>
                <w:lang w:eastAsia="lv-LV"/>
              </w:rPr>
              <w:t xml:space="preserve"> personu kredītspējas novērtēšanā </w:t>
            </w:r>
            <w:r w:rsidR="00846B8D" w:rsidRPr="00B002E4">
              <w:rPr>
                <w:rFonts w:ascii="Times New Roman" w:eastAsia="Times New Roman" w:hAnsi="Times New Roman" w:cs="Times New Roman"/>
                <w:sz w:val="24"/>
                <w:szCs w:val="24"/>
                <w:lang w:eastAsia="lv-LV"/>
              </w:rPr>
              <w:t>situācijās</w:t>
            </w:r>
            <w:r w:rsidR="5CF017DA" w:rsidRPr="00B002E4">
              <w:rPr>
                <w:rFonts w:ascii="Times New Roman" w:eastAsia="Times New Roman" w:hAnsi="Times New Roman" w:cs="Times New Roman"/>
                <w:sz w:val="24"/>
                <w:szCs w:val="24"/>
                <w:lang w:eastAsia="lv-LV"/>
              </w:rPr>
              <w:t xml:space="preserve">, kad </w:t>
            </w:r>
            <w:r w:rsidR="7C525EB8" w:rsidRPr="00B002E4">
              <w:rPr>
                <w:rFonts w:ascii="Times New Roman" w:eastAsia="Times New Roman" w:hAnsi="Times New Roman" w:cs="Times New Roman"/>
                <w:sz w:val="24"/>
                <w:szCs w:val="24"/>
                <w:lang w:eastAsia="lv-LV"/>
              </w:rPr>
              <w:t>Latvijas Republikā reģistrēta kredīt</w:t>
            </w:r>
            <w:r w:rsidR="5CF017DA" w:rsidRPr="00B002E4">
              <w:rPr>
                <w:rFonts w:ascii="Times New Roman" w:eastAsia="Times New Roman" w:hAnsi="Times New Roman" w:cs="Times New Roman"/>
                <w:sz w:val="24"/>
                <w:szCs w:val="24"/>
                <w:lang w:eastAsia="lv-LV"/>
              </w:rPr>
              <w:t xml:space="preserve">iestāde sniedz </w:t>
            </w:r>
            <w:r w:rsidR="42EFEB1A" w:rsidRPr="00B002E4">
              <w:rPr>
                <w:rFonts w:ascii="Times New Roman" w:eastAsia="Times New Roman" w:hAnsi="Times New Roman" w:cs="Times New Roman"/>
                <w:sz w:val="24"/>
                <w:szCs w:val="24"/>
                <w:lang w:eastAsia="lv-LV"/>
              </w:rPr>
              <w:t>finanšu</w:t>
            </w:r>
            <w:r w:rsidR="5CF017DA" w:rsidRPr="00B002E4">
              <w:rPr>
                <w:rFonts w:ascii="Times New Roman" w:eastAsia="Times New Roman" w:hAnsi="Times New Roman" w:cs="Times New Roman"/>
                <w:sz w:val="24"/>
                <w:szCs w:val="24"/>
                <w:lang w:eastAsia="lv-LV"/>
              </w:rPr>
              <w:t xml:space="preserve"> pakalpojumus </w:t>
            </w:r>
            <w:r w:rsidR="6F7608B1" w:rsidRPr="00B002E4">
              <w:rPr>
                <w:rFonts w:ascii="Times New Roman" w:eastAsia="Times New Roman" w:hAnsi="Times New Roman" w:cs="Times New Roman"/>
                <w:sz w:val="24"/>
                <w:szCs w:val="24"/>
                <w:lang w:eastAsia="lv-LV"/>
              </w:rPr>
              <w:t>dalībvalstī, kurā jau ir nacionāli noteikti uz aizņēmējiem vērstie instrumenti</w:t>
            </w:r>
            <w:r w:rsidR="002F0496">
              <w:rPr>
                <w:rFonts w:ascii="Times New Roman" w:eastAsia="Times New Roman" w:hAnsi="Times New Roman" w:cs="Times New Roman"/>
                <w:sz w:val="24"/>
                <w:szCs w:val="24"/>
                <w:lang w:eastAsia="lv-LV"/>
              </w:rPr>
              <w:t>,</w:t>
            </w:r>
            <w:r w:rsidR="7808F13F" w:rsidRPr="1736D381">
              <w:rPr>
                <w:rFonts w:ascii="Times New Roman" w:eastAsia="Times New Roman" w:hAnsi="Times New Roman" w:cs="Times New Roman"/>
                <w:sz w:val="24"/>
                <w:szCs w:val="24"/>
                <w:lang w:eastAsia="lv-LV"/>
              </w:rPr>
              <w:t xml:space="preserve"> </w:t>
            </w:r>
            <w:r w:rsidR="002F0496">
              <w:rPr>
                <w:rFonts w:ascii="Times New Roman" w:eastAsia="Times New Roman" w:hAnsi="Times New Roman" w:cs="Times New Roman"/>
                <w:sz w:val="24"/>
                <w:szCs w:val="24"/>
                <w:lang w:eastAsia="lv-LV"/>
              </w:rPr>
              <w:t>–</w:t>
            </w:r>
            <w:r w:rsidR="7808F13F" w:rsidRPr="1736D381">
              <w:rPr>
                <w:rFonts w:ascii="Times New Roman" w:eastAsia="Times New Roman" w:hAnsi="Times New Roman" w:cs="Times New Roman"/>
                <w:sz w:val="24"/>
                <w:szCs w:val="24"/>
                <w:lang w:eastAsia="lv-LV"/>
              </w:rPr>
              <w:t xml:space="preserve"> lai novērstu Latvijā noteikto uz aizņēmējiem vērsto</w:t>
            </w:r>
            <w:r w:rsidR="00541A01">
              <w:rPr>
                <w:rFonts w:ascii="Times New Roman" w:eastAsia="Times New Roman" w:hAnsi="Times New Roman" w:cs="Times New Roman"/>
                <w:sz w:val="24"/>
                <w:szCs w:val="24"/>
                <w:lang w:eastAsia="lv-LV"/>
              </w:rPr>
              <w:t xml:space="preserve"> instrumentu</w:t>
            </w:r>
            <w:r w:rsidR="7808F13F" w:rsidRPr="1736D381">
              <w:rPr>
                <w:rFonts w:ascii="Times New Roman" w:eastAsia="Times New Roman" w:hAnsi="Times New Roman" w:cs="Times New Roman"/>
                <w:sz w:val="24"/>
                <w:szCs w:val="24"/>
                <w:lang w:eastAsia="lv-LV"/>
              </w:rPr>
              <w:t xml:space="preserve"> prasību dublēšanos ar </w:t>
            </w:r>
            <w:r w:rsidR="7808F13F" w:rsidRPr="191E8B3D">
              <w:rPr>
                <w:rFonts w:ascii="Times New Roman" w:eastAsia="Times New Roman" w:hAnsi="Times New Roman" w:cs="Times New Roman"/>
                <w:sz w:val="24"/>
                <w:szCs w:val="24"/>
                <w:lang w:eastAsia="lv-LV"/>
              </w:rPr>
              <w:t>tāda paša veida prasībām, kas noteiktas citā dalībvalstī</w:t>
            </w:r>
            <w:r w:rsidR="5B840D2E" w:rsidRPr="454862D0">
              <w:rPr>
                <w:rFonts w:ascii="Times New Roman" w:eastAsia="Times New Roman" w:hAnsi="Times New Roman" w:cs="Times New Roman"/>
                <w:sz w:val="24"/>
                <w:szCs w:val="24"/>
                <w:lang w:eastAsia="lv-LV"/>
              </w:rPr>
              <w:t>,</w:t>
            </w:r>
            <w:r w:rsidR="5E30A2EA" w:rsidRPr="454862D0">
              <w:rPr>
                <w:rFonts w:ascii="Times New Roman" w:eastAsia="Times New Roman" w:hAnsi="Times New Roman" w:cs="Times New Roman"/>
                <w:sz w:val="24"/>
                <w:szCs w:val="24"/>
                <w:lang w:eastAsia="lv-LV"/>
              </w:rPr>
              <w:t xml:space="preserve"> noteikumu projekta 6.</w:t>
            </w:r>
            <w:r w:rsidR="002F0496">
              <w:rPr>
                <w:rFonts w:ascii="Times New Roman" w:eastAsia="Times New Roman" w:hAnsi="Times New Roman" w:cs="Times New Roman"/>
                <w:sz w:val="24"/>
                <w:szCs w:val="24"/>
                <w:lang w:eastAsia="lv-LV"/>
              </w:rPr>
              <w:t> </w:t>
            </w:r>
            <w:r w:rsidR="5E30A2EA" w:rsidRPr="454862D0">
              <w:rPr>
                <w:rFonts w:ascii="Times New Roman" w:eastAsia="Times New Roman" w:hAnsi="Times New Roman" w:cs="Times New Roman"/>
                <w:sz w:val="24"/>
                <w:szCs w:val="24"/>
                <w:lang w:eastAsia="lv-LV"/>
              </w:rPr>
              <w:t xml:space="preserve">punktā </w:t>
            </w:r>
            <w:r w:rsidR="28AA1172" w:rsidRPr="454862D0">
              <w:rPr>
                <w:rFonts w:ascii="Times New Roman" w:eastAsia="Times New Roman" w:hAnsi="Times New Roman" w:cs="Times New Roman"/>
                <w:sz w:val="24"/>
                <w:szCs w:val="24"/>
                <w:lang w:eastAsia="lv-LV"/>
              </w:rPr>
              <w:t>precizēts</w:t>
            </w:r>
            <w:r w:rsidR="7808F13F" w:rsidRPr="1736D381">
              <w:rPr>
                <w:rFonts w:ascii="Times New Roman" w:eastAsia="Times New Roman" w:hAnsi="Times New Roman" w:cs="Times New Roman"/>
                <w:sz w:val="24"/>
                <w:szCs w:val="24"/>
                <w:lang w:eastAsia="lv-LV"/>
              </w:rPr>
              <w:t xml:space="preserve">, ka šādos gadījumos iestāde piemēro šajā dalībvalstī noteiktās </w:t>
            </w:r>
            <w:r w:rsidR="7933E1A7" w:rsidRPr="454862D0">
              <w:rPr>
                <w:rFonts w:ascii="Times New Roman" w:eastAsia="Times New Roman" w:hAnsi="Times New Roman" w:cs="Times New Roman"/>
                <w:sz w:val="24"/>
                <w:szCs w:val="24"/>
                <w:lang w:eastAsia="lv-LV"/>
              </w:rPr>
              <w:t xml:space="preserve">tai saistošās </w:t>
            </w:r>
            <w:r w:rsidR="7808F13F" w:rsidRPr="1736D381">
              <w:rPr>
                <w:rFonts w:ascii="Times New Roman" w:eastAsia="Times New Roman" w:hAnsi="Times New Roman" w:cs="Times New Roman"/>
                <w:sz w:val="24"/>
                <w:szCs w:val="24"/>
                <w:lang w:eastAsia="lv-LV"/>
              </w:rPr>
              <w:t>uz aizņēmējiem vērst</w:t>
            </w:r>
            <w:r w:rsidR="58CDD791" w:rsidRPr="454862D0">
              <w:rPr>
                <w:rFonts w:ascii="Times New Roman" w:eastAsia="Times New Roman" w:hAnsi="Times New Roman" w:cs="Times New Roman"/>
                <w:sz w:val="24"/>
                <w:szCs w:val="24"/>
                <w:lang w:eastAsia="lv-LV"/>
              </w:rPr>
              <w:t>o instrumentu</w:t>
            </w:r>
            <w:r w:rsidR="7808F13F" w:rsidRPr="1736D381">
              <w:rPr>
                <w:rFonts w:ascii="Times New Roman" w:eastAsia="Times New Roman" w:hAnsi="Times New Roman" w:cs="Times New Roman"/>
                <w:sz w:val="24"/>
                <w:szCs w:val="24"/>
                <w:lang w:eastAsia="lv-LV"/>
              </w:rPr>
              <w:t xml:space="preserve"> prasības</w:t>
            </w:r>
            <w:r w:rsidR="2B886739" w:rsidRPr="588CB056">
              <w:rPr>
                <w:rFonts w:ascii="Times New Roman" w:eastAsia="Times New Roman" w:hAnsi="Times New Roman" w:cs="Times New Roman"/>
                <w:sz w:val="24"/>
                <w:szCs w:val="24"/>
                <w:lang w:eastAsia="lv-LV"/>
              </w:rPr>
              <w:t>;</w:t>
            </w:r>
            <w:r w:rsidR="3EB842C8" w:rsidRPr="1736D381">
              <w:rPr>
                <w:rFonts w:ascii="Times New Roman" w:eastAsia="Times New Roman" w:hAnsi="Times New Roman" w:cs="Times New Roman"/>
                <w:sz w:val="24"/>
                <w:szCs w:val="24"/>
                <w:lang w:eastAsia="lv-LV"/>
              </w:rPr>
              <w:t xml:space="preserve"> </w:t>
            </w:r>
          </w:p>
          <w:p w14:paraId="5586A255" w14:textId="35ED7A6A" w:rsidR="00FA40CF" w:rsidRDefault="145B576E"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2AD891FB">
              <w:rPr>
                <w:rFonts w:ascii="Times New Roman" w:eastAsia="Times New Roman" w:hAnsi="Times New Roman" w:cs="Times New Roman"/>
                <w:sz w:val="24"/>
                <w:szCs w:val="24"/>
                <w:lang w:eastAsia="lv-LV"/>
              </w:rPr>
              <w:t xml:space="preserve">ieviesta </w:t>
            </w:r>
            <w:r w:rsidR="169D8F18" w:rsidRPr="2AD891FB">
              <w:rPr>
                <w:rFonts w:ascii="Times New Roman" w:eastAsia="Times New Roman" w:hAnsi="Times New Roman" w:cs="Times New Roman"/>
                <w:sz w:val="24"/>
                <w:szCs w:val="24"/>
                <w:lang w:eastAsia="lv-LV"/>
              </w:rPr>
              <w:t>elastīgāka pieeja attiecībā uz kredītu koncentrācijas limitu noteikšanu atbilstoši vēlamajai kredītportfeļa struktūrai,</w:t>
            </w:r>
            <w:r w:rsidR="006A23DA">
              <w:rPr>
                <w:rFonts w:ascii="Times New Roman" w:eastAsia="Times New Roman" w:hAnsi="Times New Roman" w:cs="Times New Roman"/>
                <w:sz w:val="24"/>
                <w:szCs w:val="24"/>
                <w:lang w:eastAsia="lv-LV"/>
              </w:rPr>
              <w:t xml:space="preserve"> sasaistot to ar iestādes riska apetīti</w:t>
            </w:r>
            <w:r w:rsidR="169D8F18" w:rsidRPr="2AD891FB">
              <w:rPr>
                <w:rFonts w:ascii="Times New Roman" w:eastAsia="Times New Roman" w:hAnsi="Times New Roman" w:cs="Times New Roman"/>
                <w:sz w:val="24"/>
                <w:szCs w:val="24"/>
                <w:lang w:eastAsia="lv-LV"/>
              </w:rPr>
              <w:t>;</w:t>
            </w:r>
          </w:p>
          <w:p w14:paraId="7B708250" w14:textId="76DF3DE8" w:rsidR="0022358C" w:rsidRDefault="630F5679"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bookmarkStart w:id="0" w:name="_Hlk135753514"/>
            <w:r w:rsidRPr="2AD891FB">
              <w:rPr>
                <w:rFonts w:ascii="Times New Roman" w:eastAsia="Times New Roman" w:hAnsi="Times New Roman" w:cs="Times New Roman"/>
                <w:sz w:val="24"/>
                <w:szCs w:val="24"/>
                <w:lang w:eastAsia="lv-LV"/>
              </w:rPr>
              <w:t>attiecībā uz darījum</w:t>
            </w:r>
            <w:r w:rsidR="002F0496">
              <w:rPr>
                <w:rFonts w:ascii="Times New Roman" w:eastAsia="Times New Roman" w:hAnsi="Times New Roman" w:cs="Times New Roman"/>
                <w:sz w:val="24"/>
                <w:szCs w:val="24"/>
                <w:lang w:eastAsia="lv-LV"/>
              </w:rPr>
              <w:t>u</w:t>
            </w:r>
            <w:r w:rsidRPr="2AD891FB">
              <w:rPr>
                <w:rFonts w:ascii="Times New Roman" w:eastAsia="Times New Roman" w:hAnsi="Times New Roman" w:cs="Times New Roman"/>
                <w:sz w:val="24"/>
                <w:szCs w:val="24"/>
                <w:lang w:eastAsia="lv-LV"/>
              </w:rPr>
              <w:t xml:space="preserve"> ar augstu sviras rādītāju (</w:t>
            </w:r>
            <w:r w:rsidRPr="2AD891FB">
              <w:rPr>
                <w:rFonts w:ascii="Times New Roman" w:eastAsia="Times New Roman" w:hAnsi="Times New Roman" w:cs="Times New Roman"/>
                <w:i/>
                <w:iCs/>
                <w:sz w:val="24"/>
                <w:szCs w:val="24"/>
                <w:lang w:eastAsia="lv-LV"/>
              </w:rPr>
              <w:t>leveraged transactions</w:t>
            </w:r>
            <w:r w:rsidRPr="2AD891FB">
              <w:rPr>
                <w:rFonts w:ascii="Times New Roman" w:eastAsia="Times New Roman" w:hAnsi="Times New Roman" w:cs="Times New Roman"/>
                <w:sz w:val="24"/>
                <w:szCs w:val="24"/>
                <w:lang w:eastAsia="lv-LV"/>
              </w:rPr>
              <w:t xml:space="preserve">) </w:t>
            </w:r>
            <w:r w:rsidR="002F0496" w:rsidRPr="2AD891FB">
              <w:rPr>
                <w:rFonts w:ascii="Times New Roman" w:eastAsia="Times New Roman" w:hAnsi="Times New Roman" w:cs="Times New Roman"/>
                <w:sz w:val="24"/>
                <w:szCs w:val="24"/>
                <w:lang w:eastAsia="lv-LV"/>
              </w:rPr>
              <w:t xml:space="preserve">definīciju </w:t>
            </w:r>
            <w:r w:rsidRPr="2AD891FB">
              <w:rPr>
                <w:rFonts w:ascii="Times New Roman" w:eastAsia="Times New Roman" w:hAnsi="Times New Roman" w:cs="Times New Roman"/>
                <w:sz w:val="24"/>
                <w:szCs w:val="24"/>
                <w:lang w:eastAsia="lv-LV"/>
              </w:rPr>
              <w:t xml:space="preserve">uzsvērts, ka iestāde šādiem darījumiem </w:t>
            </w:r>
            <w:r w:rsidR="002F0496" w:rsidRPr="2AD891FB">
              <w:rPr>
                <w:rFonts w:ascii="Times New Roman" w:eastAsia="Times New Roman" w:hAnsi="Times New Roman" w:cs="Times New Roman"/>
                <w:sz w:val="24"/>
                <w:szCs w:val="24"/>
                <w:lang w:eastAsia="lv-LV"/>
              </w:rPr>
              <w:t xml:space="preserve">veido savu definīciju </w:t>
            </w:r>
            <w:r w:rsidRPr="2AD891FB">
              <w:rPr>
                <w:rFonts w:ascii="Times New Roman" w:eastAsia="Times New Roman" w:hAnsi="Times New Roman" w:cs="Times New Roman"/>
                <w:sz w:val="24"/>
                <w:szCs w:val="24"/>
                <w:lang w:eastAsia="lv-LV"/>
              </w:rPr>
              <w:t xml:space="preserve">atbilstoši tās vēlamajam kredītriska līmenim, kreditēšanas darījumu apmēram un sarežģītībai, mehāniski nepiemērojot Eiropas Centrālās bankas </w:t>
            </w:r>
            <w:r w:rsidR="00EE42BA" w:rsidRPr="007814BA">
              <w:rPr>
                <w:rFonts w:ascii="Times New Roman" w:eastAsia="Times New Roman" w:hAnsi="Times New Roman" w:cs="Times New Roman"/>
                <w:sz w:val="24"/>
                <w:szCs w:val="24"/>
                <w:lang w:eastAsia="lv-LV"/>
              </w:rPr>
              <w:t>2017.</w:t>
            </w:r>
            <w:r w:rsidR="00753511">
              <w:rPr>
                <w:rFonts w:ascii="Times New Roman" w:eastAsia="Times New Roman" w:hAnsi="Times New Roman" w:cs="Times New Roman"/>
                <w:sz w:val="24"/>
                <w:szCs w:val="24"/>
                <w:lang w:eastAsia="lv-LV"/>
              </w:rPr>
              <w:t> </w:t>
            </w:r>
            <w:r w:rsidR="00EE42BA" w:rsidRPr="007814BA">
              <w:rPr>
                <w:rFonts w:ascii="Times New Roman" w:eastAsia="Times New Roman" w:hAnsi="Times New Roman" w:cs="Times New Roman"/>
                <w:sz w:val="24"/>
                <w:szCs w:val="24"/>
                <w:lang w:eastAsia="lv-LV"/>
              </w:rPr>
              <w:t xml:space="preserve">gada maijā izdotajos </w:t>
            </w:r>
            <w:r w:rsidRPr="2AD891FB">
              <w:rPr>
                <w:rFonts w:ascii="Times New Roman" w:eastAsia="Times New Roman" w:hAnsi="Times New Roman" w:cs="Times New Roman"/>
                <w:sz w:val="24"/>
                <w:szCs w:val="24"/>
                <w:lang w:eastAsia="lv-LV"/>
              </w:rPr>
              <w:t>norādījumos</w:t>
            </w:r>
            <w:r w:rsidR="00EE42BA">
              <w:rPr>
                <w:rStyle w:val="FootnoteReference"/>
                <w:rFonts w:ascii="Times New Roman" w:eastAsia="Times New Roman" w:hAnsi="Times New Roman" w:cs="Times New Roman"/>
                <w:sz w:val="24"/>
                <w:szCs w:val="24"/>
                <w:lang w:eastAsia="lv-LV"/>
              </w:rPr>
              <w:footnoteReference w:id="2"/>
            </w:r>
            <w:r w:rsidRPr="2AD891FB">
              <w:rPr>
                <w:rFonts w:ascii="Times New Roman" w:eastAsia="Times New Roman" w:hAnsi="Times New Roman" w:cs="Times New Roman"/>
                <w:sz w:val="24"/>
                <w:szCs w:val="24"/>
                <w:lang w:eastAsia="lv-LV"/>
              </w:rPr>
              <w:t xml:space="preserve"> ietvertos kritērijus, jo īpaši kredītu minimālos apmērus;</w:t>
            </w:r>
          </w:p>
          <w:bookmarkEnd w:id="0"/>
          <w:p w14:paraId="7F016154" w14:textId="69404240" w:rsidR="002604BD" w:rsidRPr="00D61941" w:rsidRDefault="4BB67DA4"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536E3942">
              <w:rPr>
                <w:rFonts w:ascii="Times New Roman" w:eastAsia="Times New Roman" w:hAnsi="Times New Roman" w:cs="Times New Roman"/>
                <w:sz w:val="24"/>
                <w:szCs w:val="24"/>
                <w:lang w:eastAsia="lv-LV"/>
              </w:rPr>
              <w:t xml:space="preserve">attiecībā uz </w:t>
            </w:r>
            <w:r w:rsidR="00A01570">
              <w:rPr>
                <w:rFonts w:ascii="Times New Roman" w:eastAsia="Times New Roman" w:hAnsi="Times New Roman" w:cs="Times New Roman"/>
                <w:sz w:val="24"/>
                <w:szCs w:val="24"/>
                <w:lang w:eastAsia="lv-LV"/>
              </w:rPr>
              <w:t>n</w:t>
            </w:r>
            <w:r w:rsidRPr="536E3942">
              <w:rPr>
                <w:rFonts w:ascii="Times New Roman" w:eastAsia="Times New Roman" w:hAnsi="Times New Roman" w:cs="Times New Roman"/>
                <w:sz w:val="24"/>
                <w:szCs w:val="24"/>
                <w:lang w:eastAsia="lv-LV"/>
              </w:rPr>
              <w:t xml:space="preserve">oteikumu projekta </w:t>
            </w:r>
            <w:r w:rsidRPr="00D61941">
              <w:rPr>
                <w:rFonts w:ascii="Times New Roman" w:eastAsia="Times New Roman" w:hAnsi="Times New Roman" w:cs="Times New Roman"/>
                <w:sz w:val="24"/>
                <w:szCs w:val="24"/>
                <w:lang w:eastAsia="lv-LV"/>
              </w:rPr>
              <w:t>7</w:t>
            </w:r>
            <w:r w:rsidR="0070547A" w:rsidRPr="00D61941">
              <w:rPr>
                <w:rFonts w:ascii="Times New Roman" w:eastAsia="Times New Roman" w:hAnsi="Times New Roman" w:cs="Times New Roman"/>
                <w:sz w:val="24"/>
                <w:szCs w:val="24"/>
                <w:lang w:eastAsia="lv-LV"/>
              </w:rPr>
              <w:t>0</w:t>
            </w:r>
            <w:r w:rsidRPr="00D61941">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Pr="00D61941">
              <w:rPr>
                <w:rFonts w:ascii="Times New Roman" w:eastAsia="Times New Roman" w:hAnsi="Times New Roman" w:cs="Times New Roman"/>
                <w:sz w:val="24"/>
                <w:szCs w:val="24"/>
                <w:lang w:eastAsia="lv-LV"/>
              </w:rPr>
              <w:t>punktā noteiktajiem izņēmumiem uz aizņēmējiem vērsto instrumentu piemērošan</w:t>
            </w:r>
            <w:r w:rsidR="002F0496">
              <w:rPr>
                <w:rFonts w:ascii="Times New Roman" w:eastAsia="Times New Roman" w:hAnsi="Times New Roman" w:cs="Times New Roman"/>
                <w:sz w:val="24"/>
                <w:szCs w:val="24"/>
                <w:lang w:eastAsia="lv-LV"/>
              </w:rPr>
              <w:t>ā</w:t>
            </w:r>
            <w:r w:rsidRPr="00D61941">
              <w:rPr>
                <w:rFonts w:ascii="Times New Roman" w:eastAsia="Times New Roman" w:hAnsi="Times New Roman" w:cs="Times New Roman"/>
                <w:sz w:val="24"/>
                <w:szCs w:val="24"/>
                <w:lang w:eastAsia="lv-LV"/>
              </w:rPr>
              <w:t xml:space="preserve"> redakcija</w:t>
            </w:r>
            <w:r w:rsidR="002F0496" w:rsidRPr="00D61941">
              <w:rPr>
                <w:rFonts w:ascii="Times New Roman" w:eastAsia="Times New Roman" w:hAnsi="Times New Roman" w:cs="Times New Roman"/>
                <w:sz w:val="24"/>
                <w:szCs w:val="24"/>
                <w:lang w:eastAsia="lv-LV"/>
              </w:rPr>
              <w:t xml:space="preserve"> precizēta</w:t>
            </w:r>
            <w:r w:rsidRPr="00D61941">
              <w:rPr>
                <w:rFonts w:ascii="Times New Roman" w:eastAsia="Times New Roman" w:hAnsi="Times New Roman" w:cs="Times New Roman"/>
                <w:sz w:val="24"/>
                <w:szCs w:val="24"/>
                <w:lang w:eastAsia="lv-LV"/>
              </w:rPr>
              <w:t xml:space="preserve">, </w:t>
            </w:r>
            <w:r w:rsidR="002F0496">
              <w:rPr>
                <w:rFonts w:ascii="Times New Roman" w:eastAsia="Times New Roman" w:hAnsi="Times New Roman" w:cs="Times New Roman"/>
                <w:sz w:val="24"/>
                <w:szCs w:val="24"/>
                <w:lang w:eastAsia="lv-LV"/>
              </w:rPr>
              <w:t xml:space="preserve">nosakot, </w:t>
            </w:r>
            <w:r w:rsidR="2E8D6229" w:rsidRPr="00D61941">
              <w:rPr>
                <w:rFonts w:ascii="Times New Roman" w:eastAsia="Times New Roman" w:hAnsi="Times New Roman" w:cs="Times New Roman"/>
                <w:sz w:val="24"/>
                <w:szCs w:val="24"/>
                <w:lang w:eastAsia="lv-LV"/>
              </w:rPr>
              <w:t>ka kalendārajā ceturksnī visas atkāpes</w:t>
            </w:r>
            <w:r w:rsidRPr="00D61941">
              <w:rPr>
                <w:rFonts w:ascii="Times New Roman" w:eastAsia="Times New Roman" w:hAnsi="Times New Roman" w:cs="Times New Roman"/>
                <w:sz w:val="24"/>
                <w:szCs w:val="24"/>
                <w:lang w:eastAsia="lv-LV"/>
              </w:rPr>
              <w:t xml:space="preserve"> </w:t>
            </w:r>
            <w:r w:rsidR="2E8D6229" w:rsidRPr="00D61941">
              <w:rPr>
                <w:rFonts w:ascii="Times New Roman" w:eastAsia="Times New Roman" w:hAnsi="Times New Roman" w:cs="Times New Roman"/>
                <w:sz w:val="24"/>
                <w:szCs w:val="24"/>
                <w:lang w:eastAsia="lv-LV"/>
              </w:rPr>
              <w:t>kopā nedrīkst pārsniegt 10</w:t>
            </w:r>
            <w:r w:rsidR="00753511">
              <w:rPr>
                <w:rFonts w:ascii="Times New Roman" w:eastAsia="Times New Roman" w:hAnsi="Times New Roman" w:cs="Times New Roman"/>
                <w:sz w:val="24"/>
                <w:szCs w:val="24"/>
                <w:lang w:eastAsia="lv-LV"/>
              </w:rPr>
              <w:t> </w:t>
            </w:r>
            <w:r w:rsidR="5BEA5154" w:rsidRPr="00D61941">
              <w:rPr>
                <w:rFonts w:ascii="Times New Roman" w:eastAsia="Times New Roman" w:hAnsi="Times New Roman" w:cs="Times New Roman"/>
                <w:sz w:val="24"/>
                <w:szCs w:val="24"/>
                <w:lang w:eastAsia="lv-LV"/>
              </w:rPr>
              <w:t>%</w:t>
            </w:r>
            <w:r w:rsidR="2E8D6229" w:rsidRPr="00D61941">
              <w:rPr>
                <w:rFonts w:ascii="Times New Roman" w:eastAsia="Times New Roman" w:hAnsi="Times New Roman" w:cs="Times New Roman"/>
                <w:sz w:val="24"/>
                <w:szCs w:val="24"/>
                <w:lang w:eastAsia="lv-LV"/>
              </w:rPr>
              <w:t xml:space="preserve"> no iestādes fizisk</w:t>
            </w:r>
            <w:r w:rsidR="00B73EF0">
              <w:rPr>
                <w:rFonts w:ascii="Times New Roman" w:eastAsia="Times New Roman" w:hAnsi="Times New Roman" w:cs="Times New Roman"/>
                <w:sz w:val="24"/>
                <w:szCs w:val="24"/>
                <w:lang w:eastAsia="lv-LV"/>
              </w:rPr>
              <w:t>aj</w:t>
            </w:r>
            <w:r w:rsidR="2E8D6229" w:rsidRPr="00D61941">
              <w:rPr>
                <w:rFonts w:ascii="Times New Roman" w:eastAsia="Times New Roman" w:hAnsi="Times New Roman" w:cs="Times New Roman"/>
                <w:sz w:val="24"/>
                <w:szCs w:val="24"/>
                <w:lang w:eastAsia="lv-LV"/>
              </w:rPr>
              <w:t>ām personām no jauna izsniegto kredītu apmēra;</w:t>
            </w:r>
          </w:p>
          <w:p w14:paraId="431D9D94" w14:textId="21D3082D" w:rsidR="00BC7399" w:rsidRPr="0063309A" w:rsidRDefault="00A01570"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541A01">
              <w:rPr>
                <w:rFonts w:ascii="Times New Roman" w:eastAsia="Times New Roman" w:hAnsi="Times New Roman" w:cs="Times New Roman"/>
                <w:sz w:val="24"/>
                <w:szCs w:val="24"/>
                <w:lang w:eastAsia="lv-LV"/>
              </w:rPr>
              <w:t>n</w:t>
            </w:r>
            <w:r w:rsidR="00BC7399" w:rsidRPr="00541A01">
              <w:rPr>
                <w:rFonts w:ascii="Times New Roman" w:eastAsia="Times New Roman" w:hAnsi="Times New Roman" w:cs="Times New Roman"/>
                <w:sz w:val="24"/>
                <w:szCs w:val="24"/>
                <w:lang w:eastAsia="lv-LV"/>
              </w:rPr>
              <w:t>oteikumu projekta 7</w:t>
            </w:r>
            <w:r w:rsidR="00AB31BC" w:rsidRPr="00541A01">
              <w:rPr>
                <w:rFonts w:ascii="Times New Roman" w:eastAsia="Times New Roman" w:hAnsi="Times New Roman" w:cs="Times New Roman"/>
                <w:sz w:val="24"/>
                <w:szCs w:val="24"/>
                <w:lang w:eastAsia="lv-LV"/>
              </w:rPr>
              <w:t>2</w:t>
            </w:r>
            <w:r w:rsidR="00BC7399" w:rsidRPr="00541A01">
              <w:rPr>
                <w:rFonts w:ascii="Times New Roman" w:eastAsia="Times New Roman" w:hAnsi="Times New Roman" w:cs="Times New Roman"/>
                <w:sz w:val="24"/>
                <w:szCs w:val="24"/>
                <w:lang w:eastAsia="lv-LV"/>
              </w:rPr>
              <w:t>.</w:t>
            </w:r>
            <w:r w:rsidR="00753511" w:rsidRPr="00541A01">
              <w:rPr>
                <w:rFonts w:ascii="Times New Roman" w:eastAsia="Times New Roman" w:hAnsi="Times New Roman" w:cs="Times New Roman"/>
                <w:sz w:val="24"/>
                <w:szCs w:val="24"/>
                <w:lang w:eastAsia="lv-LV"/>
              </w:rPr>
              <w:t> </w:t>
            </w:r>
            <w:r w:rsidR="00BC7399" w:rsidRPr="00541A01">
              <w:rPr>
                <w:rFonts w:ascii="Times New Roman" w:eastAsia="Times New Roman" w:hAnsi="Times New Roman" w:cs="Times New Roman"/>
                <w:sz w:val="24"/>
                <w:szCs w:val="24"/>
                <w:lang w:eastAsia="lv-LV"/>
              </w:rPr>
              <w:t>punkt</w:t>
            </w:r>
            <w:r w:rsidR="0047007B" w:rsidRPr="00ED637C">
              <w:rPr>
                <w:rFonts w:ascii="Times New Roman" w:eastAsia="Times New Roman" w:hAnsi="Times New Roman" w:cs="Times New Roman"/>
                <w:sz w:val="24"/>
                <w:szCs w:val="24"/>
                <w:lang w:eastAsia="lv-LV"/>
              </w:rPr>
              <w:t>ā ietvertā norma grozīta</w:t>
            </w:r>
            <w:r w:rsidR="00BC7399" w:rsidRPr="00541A01">
              <w:rPr>
                <w:rFonts w:ascii="Times New Roman" w:eastAsia="Times New Roman" w:hAnsi="Times New Roman" w:cs="Times New Roman"/>
                <w:sz w:val="24"/>
                <w:szCs w:val="24"/>
                <w:lang w:eastAsia="lv-LV"/>
              </w:rPr>
              <w:t>, d</w:t>
            </w:r>
            <w:r w:rsidR="00BC7399" w:rsidRPr="0063309A">
              <w:rPr>
                <w:rFonts w:ascii="Times New Roman" w:eastAsia="Times New Roman" w:hAnsi="Times New Roman" w:cs="Times New Roman"/>
                <w:sz w:val="24"/>
                <w:szCs w:val="24"/>
                <w:lang w:eastAsia="lv-LV"/>
              </w:rPr>
              <w:t>odot iespēju iestādēm kalendārajā ceturksnī 10</w:t>
            </w:r>
            <w:r w:rsidR="00753511">
              <w:rPr>
                <w:rFonts w:ascii="Times New Roman" w:eastAsia="Times New Roman" w:hAnsi="Times New Roman" w:cs="Times New Roman"/>
                <w:sz w:val="24"/>
                <w:szCs w:val="24"/>
                <w:lang w:eastAsia="lv-LV"/>
              </w:rPr>
              <w:t> </w:t>
            </w:r>
            <w:r w:rsidR="00BC7399" w:rsidRPr="0063309A">
              <w:rPr>
                <w:rFonts w:ascii="Times New Roman" w:eastAsia="Times New Roman" w:hAnsi="Times New Roman" w:cs="Times New Roman"/>
                <w:sz w:val="24"/>
                <w:szCs w:val="24"/>
                <w:lang w:eastAsia="lv-LV"/>
              </w:rPr>
              <w:t xml:space="preserve">% apmērā veikt atkāpes arī attiecībā uz </w:t>
            </w:r>
            <w:r w:rsidR="00BA79B9" w:rsidRPr="0063309A">
              <w:rPr>
                <w:rFonts w:ascii="Times New Roman" w:eastAsia="Times New Roman" w:hAnsi="Times New Roman" w:cs="Times New Roman"/>
                <w:sz w:val="24"/>
                <w:szCs w:val="24"/>
                <w:lang w:eastAsia="lv-LV"/>
              </w:rPr>
              <w:t>kredītiem mājokļa iegādei ar mērķi to izīrēt (</w:t>
            </w:r>
            <w:proofErr w:type="spellStart"/>
            <w:r w:rsidR="00BA79B9" w:rsidRPr="0063309A">
              <w:rPr>
                <w:rFonts w:ascii="Times New Roman" w:eastAsia="Times New Roman" w:hAnsi="Times New Roman" w:cs="Times New Roman"/>
                <w:i/>
                <w:iCs/>
                <w:sz w:val="24"/>
                <w:szCs w:val="24"/>
                <w:lang w:eastAsia="lv-LV"/>
              </w:rPr>
              <w:t>buy</w:t>
            </w:r>
            <w:proofErr w:type="spellEnd"/>
            <w:r w:rsidR="00BA79B9" w:rsidRPr="0063309A">
              <w:rPr>
                <w:rFonts w:ascii="Times New Roman" w:eastAsia="Times New Roman" w:hAnsi="Times New Roman" w:cs="Times New Roman"/>
                <w:i/>
                <w:iCs/>
                <w:sz w:val="24"/>
                <w:szCs w:val="24"/>
                <w:lang w:eastAsia="lv-LV"/>
              </w:rPr>
              <w:t>-to-</w:t>
            </w:r>
            <w:proofErr w:type="spellStart"/>
            <w:r w:rsidR="00BA79B9" w:rsidRPr="00BE790E">
              <w:rPr>
                <w:rFonts w:ascii="Times New Roman" w:eastAsia="Times New Roman" w:hAnsi="Times New Roman" w:cs="Times New Roman"/>
                <w:i/>
                <w:iCs/>
                <w:sz w:val="24"/>
                <w:szCs w:val="24"/>
                <w:lang w:eastAsia="lv-LV"/>
              </w:rPr>
              <w:t>let</w:t>
            </w:r>
            <w:proofErr w:type="spellEnd"/>
            <w:r w:rsidR="0087598C">
              <w:rPr>
                <w:rFonts w:ascii="Times New Roman" w:eastAsia="Times New Roman" w:hAnsi="Times New Roman" w:cs="Times New Roman"/>
                <w:i/>
                <w:iCs/>
                <w:sz w:val="24"/>
                <w:szCs w:val="24"/>
                <w:lang w:eastAsia="lv-LV"/>
              </w:rPr>
              <w:t>,</w:t>
            </w:r>
            <w:r w:rsidR="00BA79B9" w:rsidRPr="00BE790E">
              <w:rPr>
                <w:rFonts w:ascii="Times New Roman" w:eastAsia="Times New Roman" w:hAnsi="Times New Roman" w:cs="Times New Roman"/>
                <w:i/>
                <w:iCs/>
                <w:sz w:val="24"/>
                <w:szCs w:val="24"/>
                <w:lang w:eastAsia="lv-LV"/>
              </w:rPr>
              <w:t xml:space="preserve"> </w:t>
            </w:r>
            <w:r w:rsidR="00BE790E" w:rsidRPr="00ED637C">
              <w:rPr>
                <w:rFonts w:ascii="Times New Roman" w:hAnsi="Times New Roman" w:cs="Times New Roman"/>
                <w:sz w:val="24"/>
                <w:szCs w:val="24"/>
              </w:rPr>
              <w:t>turpmāk –</w:t>
            </w:r>
            <w:r w:rsidR="0087598C">
              <w:rPr>
                <w:rFonts w:ascii="Times New Roman" w:hAnsi="Times New Roman" w:cs="Times New Roman"/>
                <w:sz w:val="24"/>
                <w:szCs w:val="24"/>
              </w:rPr>
              <w:t xml:space="preserve"> </w:t>
            </w:r>
            <w:r w:rsidR="00BA79B9" w:rsidRPr="00ED637C">
              <w:rPr>
                <w:rFonts w:ascii="Times New Roman" w:hAnsi="Times New Roman" w:cs="Times New Roman"/>
                <w:sz w:val="24"/>
                <w:szCs w:val="24"/>
              </w:rPr>
              <w:t>BTL</w:t>
            </w:r>
            <w:r w:rsidR="00BA79B9" w:rsidRPr="00BE790E">
              <w:rPr>
                <w:rFonts w:ascii="Times New Roman" w:eastAsia="Times New Roman" w:hAnsi="Times New Roman" w:cs="Times New Roman"/>
                <w:sz w:val="24"/>
                <w:szCs w:val="24"/>
                <w:lang w:eastAsia="lv-LV"/>
              </w:rPr>
              <w:t>)</w:t>
            </w:r>
            <w:r w:rsidR="00BC7399" w:rsidRPr="00BE790E">
              <w:rPr>
                <w:rFonts w:ascii="Times New Roman" w:eastAsia="Times New Roman" w:hAnsi="Times New Roman" w:cs="Times New Roman"/>
                <w:sz w:val="24"/>
                <w:szCs w:val="24"/>
                <w:lang w:eastAsia="lv-LV"/>
              </w:rPr>
              <w:t xml:space="preserve"> un tādiem kredītiem, kuru mērķis ir citādā veidā gūt ienākumus no nekustamā īpašuma,</w:t>
            </w:r>
            <w:r w:rsidR="00BC7399" w:rsidRPr="0063309A">
              <w:rPr>
                <w:rFonts w:ascii="Times New Roman" w:eastAsia="Times New Roman" w:hAnsi="Times New Roman" w:cs="Times New Roman"/>
                <w:sz w:val="24"/>
                <w:szCs w:val="24"/>
                <w:lang w:eastAsia="lv-LV"/>
              </w:rPr>
              <w:t xml:space="preserve"> kā arī kredītiem energoefektīva mājokļa iegādei, kas izsniegti </w:t>
            </w:r>
            <w:r w:rsidR="00FC7638">
              <w:rPr>
                <w:rFonts w:ascii="Times New Roman" w:eastAsia="Times New Roman" w:hAnsi="Times New Roman" w:cs="Times New Roman"/>
                <w:sz w:val="24"/>
                <w:szCs w:val="24"/>
                <w:lang w:eastAsia="lv-LV"/>
              </w:rPr>
              <w:t>ar</w:t>
            </w:r>
            <w:r w:rsidR="00FC7638" w:rsidRPr="0063309A">
              <w:rPr>
                <w:rFonts w:ascii="Times New Roman" w:eastAsia="Times New Roman" w:hAnsi="Times New Roman" w:cs="Times New Roman"/>
                <w:sz w:val="24"/>
                <w:szCs w:val="24"/>
                <w:lang w:eastAsia="lv-LV"/>
              </w:rPr>
              <w:t xml:space="preserve"> </w:t>
            </w:r>
            <w:r w:rsidR="00BC7399" w:rsidRPr="0063309A">
              <w:rPr>
                <w:rFonts w:ascii="Times New Roman" w:eastAsia="Times New Roman" w:hAnsi="Times New Roman" w:cs="Times New Roman"/>
                <w:sz w:val="24"/>
                <w:szCs w:val="24"/>
                <w:lang w:eastAsia="lv-LV"/>
              </w:rPr>
              <w:t>atvieglotiem</w:t>
            </w:r>
            <w:r w:rsidR="00F660F9">
              <w:rPr>
                <w:rFonts w:ascii="Times New Roman" w:eastAsia="Times New Roman" w:hAnsi="Times New Roman" w:cs="Times New Roman"/>
                <w:sz w:val="24"/>
                <w:szCs w:val="24"/>
                <w:lang w:eastAsia="lv-LV"/>
              </w:rPr>
              <w:t xml:space="preserve"> </w:t>
            </w:r>
            <w:r w:rsidR="00F660F9" w:rsidRPr="00755E5A">
              <w:rPr>
                <w:rFonts w:ascii="Times New Roman" w:eastAsia="Times New Roman" w:hAnsi="Times New Roman" w:cs="Times New Roman"/>
                <w:sz w:val="24"/>
                <w:szCs w:val="24"/>
                <w:lang w:eastAsia="lv-LV"/>
              </w:rPr>
              <w:t>parāda apkalpošanas izdevumu pret ienākumiem rādītāja (</w:t>
            </w:r>
            <w:r w:rsidR="00F660F9" w:rsidRPr="00755E5A">
              <w:rPr>
                <w:rFonts w:ascii="Times New Roman" w:eastAsia="Times New Roman" w:hAnsi="Times New Roman" w:cs="Times New Roman"/>
                <w:i/>
                <w:iCs/>
                <w:sz w:val="24"/>
                <w:szCs w:val="24"/>
                <w:lang w:eastAsia="lv-LV"/>
              </w:rPr>
              <w:t>debt service to income ratio</w:t>
            </w:r>
            <w:r w:rsidR="00F660F9" w:rsidRPr="00755E5A">
              <w:rPr>
                <w:rFonts w:ascii="Times New Roman" w:eastAsia="Times New Roman" w:hAnsi="Times New Roman" w:cs="Times New Roman"/>
                <w:sz w:val="24"/>
                <w:szCs w:val="24"/>
                <w:lang w:eastAsia="lv-LV"/>
              </w:rPr>
              <w:t>, turpmāk</w:t>
            </w:r>
            <w:r w:rsidR="00753511">
              <w:rPr>
                <w:rFonts w:ascii="Times New Roman" w:eastAsia="Times New Roman" w:hAnsi="Times New Roman" w:cs="Times New Roman"/>
                <w:sz w:val="24"/>
                <w:szCs w:val="24"/>
                <w:lang w:eastAsia="lv-LV"/>
              </w:rPr>
              <w:t> </w:t>
            </w:r>
            <w:r w:rsidR="00F660F9" w:rsidRPr="00755E5A">
              <w:rPr>
                <w:rFonts w:ascii="Times New Roman" w:eastAsia="Times New Roman" w:hAnsi="Times New Roman" w:cs="Times New Roman"/>
                <w:sz w:val="24"/>
                <w:szCs w:val="24"/>
                <w:lang w:eastAsia="lv-LV"/>
              </w:rPr>
              <w:t>– DSTI rādītājs)</w:t>
            </w:r>
            <w:r w:rsidR="00BC7399" w:rsidRPr="0063309A">
              <w:rPr>
                <w:rFonts w:ascii="Times New Roman" w:eastAsia="Times New Roman" w:hAnsi="Times New Roman" w:cs="Times New Roman"/>
                <w:sz w:val="24"/>
                <w:szCs w:val="24"/>
                <w:lang w:eastAsia="lv-LV"/>
              </w:rPr>
              <w:t xml:space="preserve"> un </w:t>
            </w:r>
            <w:r w:rsidR="00F359EB" w:rsidRPr="00F359EB">
              <w:rPr>
                <w:rFonts w:ascii="Times New Roman" w:eastAsia="Times New Roman" w:hAnsi="Times New Roman" w:cs="Times New Roman"/>
                <w:sz w:val="24"/>
                <w:szCs w:val="24"/>
                <w:lang w:eastAsia="lv-LV"/>
              </w:rPr>
              <w:t xml:space="preserve">parāda attiecības pret gada ienākumiem </w:t>
            </w:r>
            <w:r w:rsidR="00F359EB" w:rsidRPr="00F359EB">
              <w:rPr>
                <w:rFonts w:ascii="Times New Roman" w:eastAsia="Times New Roman" w:hAnsi="Times New Roman" w:cs="Times New Roman"/>
                <w:sz w:val="24"/>
                <w:szCs w:val="24"/>
                <w:lang w:eastAsia="lv-LV"/>
              </w:rPr>
              <w:lastRenderedPageBreak/>
              <w:t>rādītāj</w:t>
            </w:r>
            <w:r w:rsidR="0087598C">
              <w:rPr>
                <w:rFonts w:ascii="Times New Roman" w:eastAsia="Times New Roman" w:hAnsi="Times New Roman" w:cs="Times New Roman"/>
                <w:sz w:val="24"/>
                <w:szCs w:val="24"/>
                <w:lang w:eastAsia="lv-LV"/>
              </w:rPr>
              <w:t>a</w:t>
            </w:r>
            <w:r w:rsidR="00F359EB" w:rsidRPr="00F359EB">
              <w:rPr>
                <w:rFonts w:ascii="Times New Roman" w:eastAsia="Times New Roman" w:hAnsi="Times New Roman" w:cs="Times New Roman"/>
                <w:sz w:val="24"/>
                <w:szCs w:val="24"/>
                <w:lang w:eastAsia="lv-LV"/>
              </w:rPr>
              <w:t xml:space="preserve"> (</w:t>
            </w:r>
            <w:proofErr w:type="spellStart"/>
            <w:r w:rsidR="00F359EB" w:rsidRPr="00F359EB">
              <w:rPr>
                <w:rFonts w:ascii="Times New Roman" w:eastAsia="Times New Roman" w:hAnsi="Times New Roman" w:cs="Times New Roman"/>
                <w:i/>
                <w:iCs/>
                <w:sz w:val="24"/>
                <w:szCs w:val="24"/>
                <w:lang w:eastAsia="lv-LV"/>
              </w:rPr>
              <w:t>debt</w:t>
            </w:r>
            <w:proofErr w:type="spellEnd"/>
            <w:r w:rsidR="00F359EB" w:rsidRPr="00F359EB">
              <w:rPr>
                <w:rFonts w:ascii="Times New Roman" w:eastAsia="Times New Roman" w:hAnsi="Times New Roman" w:cs="Times New Roman"/>
                <w:i/>
                <w:iCs/>
                <w:sz w:val="24"/>
                <w:szCs w:val="24"/>
                <w:lang w:eastAsia="lv-LV"/>
              </w:rPr>
              <w:t xml:space="preserve"> to </w:t>
            </w:r>
            <w:proofErr w:type="spellStart"/>
            <w:r w:rsidR="00F359EB" w:rsidRPr="00F359EB">
              <w:rPr>
                <w:rFonts w:ascii="Times New Roman" w:eastAsia="Times New Roman" w:hAnsi="Times New Roman" w:cs="Times New Roman"/>
                <w:i/>
                <w:iCs/>
                <w:sz w:val="24"/>
                <w:szCs w:val="24"/>
                <w:lang w:eastAsia="lv-LV"/>
              </w:rPr>
              <w:t>income</w:t>
            </w:r>
            <w:proofErr w:type="spellEnd"/>
            <w:r w:rsidR="00F359EB" w:rsidRPr="00F359EB">
              <w:rPr>
                <w:rFonts w:ascii="Times New Roman" w:eastAsia="Times New Roman" w:hAnsi="Times New Roman" w:cs="Times New Roman"/>
                <w:i/>
                <w:iCs/>
                <w:sz w:val="24"/>
                <w:szCs w:val="24"/>
                <w:lang w:eastAsia="lv-LV"/>
              </w:rPr>
              <w:t xml:space="preserve"> ratio</w:t>
            </w:r>
            <w:r w:rsidR="00F359EB" w:rsidRPr="00F359EB">
              <w:rPr>
                <w:rFonts w:ascii="Times New Roman" w:eastAsia="Times New Roman" w:hAnsi="Times New Roman" w:cs="Times New Roman"/>
                <w:sz w:val="24"/>
                <w:szCs w:val="24"/>
                <w:lang w:eastAsia="lv-LV"/>
              </w:rPr>
              <w:t>, turpmāk</w:t>
            </w:r>
            <w:r w:rsidR="00753511">
              <w:rPr>
                <w:rFonts w:ascii="Times New Roman" w:eastAsia="Times New Roman" w:hAnsi="Times New Roman" w:cs="Times New Roman"/>
                <w:sz w:val="24"/>
                <w:szCs w:val="24"/>
                <w:lang w:eastAsia="lv-LV"/>
              </w:rPr>
              <w:t> </w:t>
            </w:r>
            <w:r w:rsidR="00F359EB" w:rsidRPr="00F359EB">
              <w:rPr>
                <w:rFonts w:ascii="Times New Roman" w:eastAsia="Times New Roman" w:hAnsi="Times New Roman" w:cs="Times New Roman"/>
                <w:sz w:val="24"/>
                <w:szCs w:val="24"/>
                <w:lang w:eastAsia="lv-LV"/>
              </w:rPr>
              <w:t>– DTI rādītājs</w:t>
            </w:r>
            <w:r w:rsidR="00F359EB">
              <w:rPr>
                <w:rFonts w:ascii="Times New Roman" w:eastAsia="Times New Roman" w:hAnsi="Times New Roman" w:cs="Times New Roman"/>
                <w:sz w:val="24"/>
                <w:szCs w:val="24"/>
                <w:lang w:eastAsia="lv-LV"/>
              </w:rPr>
              <w:t>)</w:t>
            </w:r>
            <w:r w:rsidR="00F359EB" w:rsidRPr="00F359EB">
              <w:rPr>
                <w:rFonts w:ascii="Times New Roman" w:eastAsia="Times New Roman" w:hAnsi="Times New Roman" w:cs="Times New Roman"/>
                <w:sz w:val="24"/>
                <w:szCs w:val="24"/>
                <w:lang w:eastAsia="lv-LV"/>
              </w:rPr>
              <w:t xml:space="preserve"> </w:t>
            </w:r>
            <w:r w:rsidR="00BC7399" w:rsidRPr="0063309A">
              <w:rPr>
                <w:rFonts w:ascii="Times New Roman" w:eastAsia="Times New Roman" w:hAnsi="Times New Roman" w:cs="Times New Roman"/>
                <w:sz w:val="24"/>
                <w:szCs w:val="24"/>
                <w:lang w:eastAsia="lv-LV"/>
              </w:rPr>
              <w:t>nosacījumiem;</w:t>
            </w:r>
          </w:p>
          <w:p w14:paraId="50A6165C" w14:textId="37ED6FA1" w:rsidR="5E491CC5" w:rsidRPr="005D4B04" w:rsidRDefault="00AD50D5"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63309A">
              <w:rPr>
                <w:rFonts w:ascii="Times New Roman" w:eastAsia="Times New Roman" w:hAnsi="Times New Roman" w:cs="Times New Roman"/>
                <w:sz w:val="24"/>
                <w:szCs w:val="24"/>
                <w:lang w:eastAsia="lv-LV"/>
              </w:rPr>
              <w:t>noteikt</w:t>
            </w:r>
            <w:r w:rsidR="002F0496">
              <w:rPr>
                <w:rFonts w:ascii="Times New Roman" w:eastAsia="Times New Roman" w:hAnsi="Times New Roman" w:cs="Times New Roman"/>
                <w:sz w:val="24"/>
                <w:szCs w:val="24"/>
                <w:lang w:eastAsia="lv-LV"/>
              </w:rPr>
              <w:t>s</w:t>
            </w:r>
            <w:r w:rsidRPr="0063309A">
              <w:rPr>
                <w:rFonts w:ascii="Times New Roman" w:eastAsia="Times New Roman" w:hAnsi="Times New Roman" w:cs="Times New Roman"/>
                <w:sz w:val="24"/>
                <w:szCs w:val="24"/>
                <w:lang w:eastAsia="lv-LV"/>
              </w:rPr>
              <w:t xml:space="preserve"> atvieglot</w:t>
            </w:r>
            <w:r w:rsidR="002F0496">
              <w:rPr>
                <w:rFonts w:ascii="Times New Roman" w:eastAsia="Times New Roman" w:hAnsi="Times New Roman" w:cs="Times New Roman"/>
                <w:sz w:val="24"/>
                <w:szCs w:val="24"/>
                <w:lang w:eastAsia="lv-LV"/>
              </w:rPr>
              <w:t>s</w:t>
            </w:r>
            <w:r w:rsidRPr="0063309A">
              <w:rPr>
                <w:rFonts w:ascii="Times New Roman" w:eastAsia="Times New Roman" w:hAnsi="Times New Roman" w:cs="Times New Roman"/>
                <w:sz w:val="24"/>
                <w:szCs w:val="24"/>
                <w:lang w:eastAsia="lv-LV"/>
              </w:rPr>
              <w:t xml:space="preserve"> DSTI </w:t>
            </w:r>
            <w:r w:rsidR="002F0496">
              <w:rPr>
                <w:rFonts w:ascii="Times New Roman" w:eastAsia="Times New Roman" w:hAnsi="Times New Roman" w:cs="Times New Roman"/>
                <w:sz w:val="24"/>
                <w:szCs w:val="24"/>
                <w:lang w:eastAsia="lv-LV"/>
              </w:rPr>
              <w:t xml:space="preserve">rādītājs </w:t>
            </w:r>
            <w:r w:rsidRPr="0063309A">
              <w:rPr>
                <w:rFonts w:ascii="Times New Roman" w:eastAsia="Times New Roman" w:hAnsi="Times New Roman" w:cs="Times New Roman"/>
                <w:sz w:val="24"/>
                <w:szCs w:val="24"/>
                <w:lang w:eastAsia="lv-LV"/>
              </w:rPr>
              <w:t>un DTI rādītāj</w:t>
            </w:r>
            <w:r w:rsidR="002F0496">
              <w:rPr>
                <w:rFonts w:ascii="Times New Roman" w:eastAsia="Times New Roman" w:hAnsi="Times New Roman" w:cs="Times New Roman"/>
                <w:sz w:val="24"/>
                <w:szCs w:val="24"/>
                <w:lang w:eastAsia="lv-LV"/>
              </w:rPr>
              <w:t>s</w:t>
            </w:r>
            <w:r w:rsidRPr="0063309A">
              <w:rPr>
                <w:rFonts w:ascii="Times New Roman" w:eastAsia="Times New Roman" w:hAnsi="Times New Roman" w:cs="Times New Roman"/>
                <w:sz w:val="24"/>
                <w:szCs w:val="24"/>
                <w:lang w:eastAsia="lv-LV"/>
              </w:rPr>
              <w:t xml:space="preserve"> kredītiem, kas izsniegti tāda mājokļa iegādei, kura </w:t>
            </w:r>
            <w:r w:rsidR="496AFAD5" w:rsidRPr="4B746B7A">
              <w:rPr>
                <w:rFonts w:ascii="Times New Roman" w:eastAsia="Times New Roman" w:hAnsi="Times New Roman" w:cs="Times New Roman"/>
                <w:sz w:val="24"/>
                <w:szCs w:val="24"/>
                <w:lang w:eastAsia="lv-LV"/>
              </w:rPr>
              <w:t xml:space="preserve">ēkas </w:t>
            </w:r>
            <w:r w:rsidRPr="4B746B7A">
              <w:rPr>
                <w:rFonts w:ascii="Times New Roman" w:eastAsia="Times New Roman" w:hAnsi="Times New Roman" w:cs="Times New Roman"/>
                <w:sz w:val="24"/>
                <w:szCs w:val="24"/>
                <w:lang w:eastAsia="lv-LV"/>
              </w:rPr>
              <w:t>energo</w:t>
            </w:r>
            <w:r w:rsidR="123FCE24" w:rsidRPr="454862D0">
              <w:rPr>
                <w:rFonts w:ascii="Times New Roman" w:eastAsia="Times New Roman" w:hAnsi="Times New Roman" w:cs="Times New Roman"/>
                <w:sz w:val="24"/>
                <w:szCs w:val="24"/>
                <w:lang w:eastAsia="lv-LV"/>
              </w:rPr>
              <w:t>efektivitātes</w:t>
            </w:r>
            <w:r w:rsidRPr="0063309A">
              <w:rPr>
                <w:rFonts w:ascii="Times New Roman" w:eastAsia="Times New Roman" w:hAnsi="Times New Roman" w:cs="Times New Roman"/>
                <w:sz w:val="24"/>
                <w:szCs w:val="24"/>
                <w:lang w:eastAsia="lv-LV"/>
              </w:rPr>
              <w:t xml:space="preserve"> klase</w:t>
            </w:r>
            <w:r w:rsidRPr="454862D0">
              <w:rPr>
                <w:rStyle w:val="FootnoteReference"/>
                <w:rFonts w:ascii="Times New Roman" w:eastAsia="Times New Roman" w:hAnsi="Times New Roman" w:cs="Times New Roman"/>
                <w:sz w:val="24"/>
                <w:szCs w:val="24"/>
                <w:lang w:eastAsia="lv-LV"/>
              </w:rPr>
              <w:footnoteReference w:id="3"/>
            </w:r>
            <w:r w:rsidRPr="0063309A">
              <w:rPr>
                <w:rFonts w:ascii="Times New Roman" w:eastAsia="Times New Roman" w:hAnsi="Times New Roman" w:cs="Times New Roman"/>
                <w:sz w:val="24"/>
                <w:szCs w:val="24"/>
                <w:lang w:eastAsia="lv-LV"/>
              </w:rPr>
              <w:t xml:space="preserve"> ir C vai </w:t>
            </w:r>
            <w:r w:rsidRPr="00BE790E">
              <w:rPr>
                <w:rFonts w:ascii="Times New Roman" w:eastAsia="Times New Roman" w:hAnsi="Times New Roman" w:cs="Times New Roman"/>
                <w:sz w:val="24"/>
                <w:szCs w:val="24"/>
                <w:lang w:eastAsia="lv-LV"/>
              </w:rPr>
              <w:t xml:space="preserve">augstāka </w:t>
            </w:r>
            <w:r w:rsidR="1A790F82" w:rsidRPr="00BE790E">
              <w:rPr>
                <w:rFonts w:ascii="Times New Roman" w:eastAsia="Times New Roman" w:hAnsi="Times New Roman" w:cs="Times New Roman"/>
                <w:sz w:val="24"/>
                <w:szCs w:val="24"/>
                <w:lang w:eastAsia="lv-LV"/>
              </w:rPr>
              <w:t>saskaņā ar Ēku energoefektivitātes likum</w:t>
            </w:r>
            <w:r w:rsidR="00D56483">
              <w:rPr>
                <w:rFonts w:ascii="Times New Roman" w:eastAsia="Times New Roman" w:hAnsi="Times New Roman" w:cs="Times New Roman"/>
                <w:sz w:val="24"/>
                <w:szCs w:val="24"/>
                <w:lang w:eastAsia="lv-LV"/>
              </w:rPr>
              <w:t>ā</w:t>
            </w:r>
            <w:r w:rsidR="1A790F82" w:rsidRPr="00BE790E">
              <w:rPr>
                <w:rFonts w:ascii="Times New Roman" w:eastAsia="Times New Roman" w:hAnsi="Times New Roman" w:cs="Times New Roman"/>
                <w:sz w:val="24"/>
                <w:szCs w:val="24"/>
                <w:lang w:eastAsia="lv-LV"/>
              </w:rPr>
              <w:t xml:space="preserve"> un Ministr</w:t>
            </w:r>
            <w:r w:rsidR="2BA33A84" w:rsidRPr="00BE790E">
              <w:rPr>
                <w:rFonts w:ascii="Times New Roman" w:eastAsia="Times New Roman" w:hAnsi="Times New Roman" w:cs="Times New Roman"/>
                <w:sz w:val="24"/>
                <w:szCs w:val="24"/>
                <w:lang w:eastAsia="lv-LV"/>
              </w:rPr>
              <w:t>u</w:t>
            </w:r>
            <w:r w:rsidR="1A790F82" w:rsidRPr="00BE790E">
              <w:rPr>
                <w:rFonts w:ascii="Times New Roman" w:eastAsia="Times New Roman" w:hAnsi="Times New Roman" w:cs="Times New Roman"/>
                <w:sz w:val="24"/>
                <w:szCs w:val="24"/>
                <w:lang w:eastAsia="lv-LV"/>
              </w:rPr>
              <w:t xml:space="preserve"> kabinet</w:t>
            </w:r>
            <w:r w:rsidR="3E86568A" w:rsidRPr="00BE790E">
              <w:rPr>
                <w:rFonts w:ascii="Times New Roman" w:eastAsia="Times New Roman" w:hAnsi="Times New Roman" w:cs="Times New Roman"/>
                <w:sz w:val="24"/>
                <w:szCs w:val="24"/>
                <w:lang w:eastAsia="lv-LV"/>
              </w:rPr>
              <w:t>a</w:t>
            </w:r>
            <w:r w:rsidR="17E34591" w:rsidRPr="00BE790E">
              <w:rPr>
                <w:rFonts w:ascii="Times New Roman" w:eastAsia="Times New Roman" w:hAnsi="Times New Roman" w:cs="Times New Roman"/>
                <w:sz w:val="24"/>
                <w:szCs w:val="24"/>
                <w:lang w:eastAsia="lv-LV"/>
              </w:rPr>
              <w:t xml:space="preserve"> </w:t>
            </w:r>
            <w:r w:rsidR="00BE790E" w:rsidRPr="00ED637C">
              <w:rPr>
                <w:rFonts w:ascii="Times New Roman" w:hAnsi="Times New Roman" w:cs="Times New Roman"/>
                <w:sz w:val="24"/>
                <w:szCs w:val="24"/>
                <w:shd w:val="clear" w:color="auto" w:fill="FFFFFF"/>
              </w:rPr>
              <w:t>2021. gada 8. aprī</w:t>
            </w:r>
            <w:r w:rsidR="00BE790E">
              <w:rPr>
                <w:rFonts w:ascii="Times New Roman" w:eastAsia="Times New Roman" w:hAnsi="Times New Roman" w:cs="Times New Roman"/>
                <w:sz w:val="24"/>
                <w:szCs w:val="24"/>
                <w:lang w:eastAsia="lv-LV"/>
              </w:rPr>
              <w:t>ļa</w:t>
            </w:r>
            <w:r w:rsidR="00BE790E" w:rsidRPr="00BE790E">
              <w:rPr>
                <w:rFonts w:ascii="Times New Roman" w:eastAsia="Times New Roman" w:hAnsi="Times New Roman" w:cs="Times New Roman"/>
                <w:sz w:val="24"/>
                <w:szCs w:val="24"/>
                <w:lang w:eastAsia="lv-LV"/>
              </w:rPr>
              <w:t xml:space="preserve"> </w:t>
            </w:r>
            <w:r w:rsidR="17E34591" w:rsidRPr="00BE790E">
              <w:rPr>
                <w:rFonts w:ascii="Times New Roman" w:eastAsia="Times New Roman" w:hAnsi="Times New Roman" w:cs="Times New Roman"/>
                <w:sz w:val="24"/>
                <w:szCs w:val="24"/>
                <w:lang w:eastAsia="lv-LV"/>
              </w:rPr>
              <w:t>noteikum</w:t>
            </w:r>
            <w:r w:rsidR="00D56483">
              <w:rPr>
                <w:rFonts w:ascii="Times New Roman" w:eastAsia="Times New Roman" w:hAnsi="Times New Roman" w:cs="Times New Roman"/>
                <w:sz w:val="24"/>
                <w:szCs w:val="24"/>
                <w:lang w:eastAsia="lv-LV"/>
              </w:rPr>
              <w:t>os</w:t>
            </w:r>
            <w:r w:rsidR="17E34591" w:rsidRPr="454862D0">
              <w:rPr>
                <w:rFonts w:ascii="Times New Roman" w:eastAsia="Times New Roman" w:hAnsi="Times New Roman" w:cs="Times New Roman"/>
                <w:sz w:val="24"/>
                <w:szCs w:val="24"/>
                <w:lang w:eastAsia="lv-LV"/>
              </w:rPr>
              <w:t xml:space="preserve"> Nr.</w:t>
            </w:r>
            <w:r w:rsidR="00753511">
              <w:rPr>
                <w:rFonts w:ascii="Times New Roman" w:eastAsia="Times New Roman" w:hAnsi="Times New Roman" w:cs="Times New Roman"/>
                <w:sz w:val="24"/>
                <w:szCs w:val="24"/>
                <w:lang w:eastAsia="lv-LV"/>
              </w:rPr>
              <w:t> </w:t>
            </w:r>
            <w:r w:rsidR="17E34591" w:rsidRPr="454862D0">
              <w:rPr>
                <w:rFonts w:ascii="Times New Roman" w:eastAsia="Times New Roman" w:hAnsi="Times New Roman" w:cs="Times New Roman"/>
                <w:sz w:val="24"/>
                <w:szCs w:val="24"/>
                <w:lang w:eastAsia="lv-LV"/>
              </w:rPr>
              <w:t xml:space="preserve">222 </w:t>
            </w:r>
            <w:r w:rsidR="002F0496">
              <w:rPr>
                <w:rFonts w:ascii="Times New Roman" w:eastAsia="Times New Roman" w:hAnsi="Times New Roman" w:cs="Times New Roman"/>
                <w:sz w:val="24"/>
                <w:szCs w:val="24"/>
                <w:lang w:eastAsia="lv-LV"/>
              </w:rPr>
              <w:t>"</w:t>
            </w:r>
            <w:r w:rsidR="17E34591" w:rsidRPr="454862D0">
              <w:rPr>
                <w:rFonts w:ascii="Times New Roman" w:eastAsia="Times New Roman" w:hAnsi="Times New Roman" w:cs="Times New Roman"/>
                <w:sz w:val="24"/>
                <w:szCs w:val="24"/>
                <w:lang w:eastAsia="lv-LV"/>
              </w:rPr>
              <w:t xml:space="preserve">Ēku energoefektivitātes aprēķina metodes un ēku energosertifikācijas noteikumi" </w:t>
            </w:r>
            <w:r w:rsidR="00D56483">
              <w:rPr>
                <w:rFonts w:ascii="Times New Roman" w:eastAsia="Times New Roman" w:hAnsi="Times New Roman" w:cs="Times New Roman"/>
                <w:sz w:val="24"/>
                <w:szCs w:val="24"/>
                <w:lang w:eastAsia="lv-LV"/>
              </w:rPr>
              <w:t xml:space="preserve">noteikto </w:t>
            </w:r>
            <w:r w:rsidR="17E34591" w:rsidRPr="454862D0">
              <w:rPr>
                <w:rFonts w:ascii="Times New Roman" w:eastAsia="Times New Roman" w:hAnsi="Times New Roman" w:cs="Times New Roman"/>
                <w:sz w:val="24"/>
                <w:szCs w:val="24"/>
                <w:lang w:eastAsia="lv-LV"/>
              </w:rPr>
              <w:t>novērtēšanas kārtību,</w:t>
            </w:r>
            <w:r w:rsidRPr="454862D0">
              <w:rPr>
                <w:rFonts w:ascii="Times New Roman" w:eastAsia="Times New Roman" w:hAnsi="Times New Roman" w:cs="Times New Roman"/>
                <w:sz w:val="24"/>
                <w:szCs w:val="24"/>
                <w:lang w:eastAsia="lv-LV"/>
              </w:rPr>
              <w:t xml:space="preserve"> </w:t>
            </w:r>
            <w:r w:rsidR="3285B0B3" w:rsidRPr="0063309A">
              <w:rPr>
                <w:rFonts w:ascii="Times New Roman" w:eastAsia="Times New Roman" w:hAnsi="Times New Roman" w:cs="Times New Roman"/>
                <w:sz w:val="24"/>
                <w:szCs w:val="24"/>
                <w:lang w:eastAsia="lv-LV"/>
              </w:rPr>
              <w:t xml:space="preserve">lai motivētu </w:t>
            </w:r>
            <w:r w:rsidR="009C1AC7">
              <w:rPr>
                <w:rFonts w:ascii="Times New Roman" w:eastAsia="Times New Roman" w:hAnsi="Times New Roman" w:cs="Times New Roman"/>
                <w:sz w:val="24"/>
                <w:szCs w:val="24"/>
                <w:lang w:eastAsia="lv-LV"/>
              </w:rPr>
              <w:t>aizņ</w:t>
            </w:r>
            <w:r w:rsidR="009C1AC7" w:rsidRPr="0063309A">
              <w:rPr>
                <w:rFonts w:ascii="Times New Roman" w:eastAsia="Times New Roman" w:hAnsi="Times New Roman" w:cs="Times New Roman"/>
                <w:sz w:val="24"/>
                <w:szCs w:val="24"/>
                <w:lang w:eastAsia="lv-LV"/>
              </w:rPr>
              <w:t xml:space="preserve">ēmēju </w:t>
            </w:r>
            <w:r w:rsidR="3285B0B3" w:rsidRPr="0063309A">
              <w:rPr>
                <w:rFonts w:ascii="Times New Roman" w:eastAsia="Times New Roman" w:hAnsi="Times New Roman" w:cs="Times New Roman"/>
                <w:sz w:val="24"/>
                <w:szCs w:val="24"/>
                <w:lang w:eastAsia="lv-LV"/>
              </w:rPr>
              <w:t>iegādāties energoefektīvu mājokli, tādējādi</w:t>
            </w:r>
            <w:r w:rsidR="04142F54" w:rsidRPr="0063309A">
              <w:rPr>
                <w:rFonts w:ascii="Times New Roman" w:eastAsia="Times New Roman" w:hAnsi="Times New Roman" w:cs="Times New Roman"/>
                <w:sz w:val="24"/>
                <w:szCs w:val="24"/>
                <w:lang w:eastAsia="lv-LV"/>
              </w:rPr>
              <w:t xml:space="preserve"> </w:t>
            </w:r>
            <w:r w:rsidR="6D7A351D" w:rsidRPr="0063309A">
              <w:rPr>
                <w:rFonts w:ascii="Times New Roman" w:eastAsia="Times New Roman" w:hAnsi="Times New Roman" w:cs="Times New Roman"/>
                <w:sz w:val="24"/>
                <w:szCs w:val="24"/>
                <w:lang w:eastAsia="lv-LV"/>
              </w:rPr>
              <w:t>veicin</w:t>
            </w:r>
            <w:r w:rsidR="5E7B04DA" w:rsidRPr="0063309A">
              <w:rPr>
                <w:rFonts w:ascii="Times New Roman" w:eastAsia="Times New Roman" w:hAnsi="Times New Roman" w:cs="Times New Roman"/>
                <w:sz w:val="24"/>
                <w:szCs w:val="24"/>
                <w:lang w:eastAsia="lv-LV"/>
              </w:rPr>
              <w:t>o</w:t>
            </w:r>
            <w:r w:rsidR="6D7A351D" w:rsidRPr="0063309A">
              <w:rPr>
                <w:rFonts w:ascii="Times New Roman" w:eastAsia="Times New Roman" w:hAnsi="Times New Roman" w:cs="Times New Roman"/>
                <w:sz w:val="24"/>
                <w:szCs w:val="24"/>
                <w:lang w:eastAsia="lv-LV"/>
              </w:rPr>
              <w:t xml:space="preserve">t </w:t>
            </w:r>
            <w:r w:rsidR="04142F54" w:rsidRPr="0063309A">
              <w:rPr>
                <w:rFonts w:ascii="Times New Roman" w:eastAsia="Times New Roman" w:hAnsi="Times New Roman" w:cs="Times New Roman"/>
                <w:sz w:val="24"/>
                <w:szCs w:val="24"/>
                <w:lang w:eastAsia="lv-LV"/>
              </w:rPr>
              <w:t>energoefektīvāk</w:t>
            </w:r>
            <w:r w:rsidR="5597BB62" w:rsidRPr="0063309A">
              <w:rPr>
                <w:rFonts w:ascii="Times New Roman" w:eastAsia="Times New Roman" w:hAnsi="Times New Roman" w:cs="Times New Roman"/>
                <w:sz w:val="24"/>
                <w:szCs w:val="24"/>
                <w:lang w:eastAsia="lv-LV"/>
              </w:rPr>
              <w:t>a</w:t>
            </w:r>
            <w:r w:rsidR="04142F54" w:rsidRPr="0063309A">
              <w:rPr>
                <w:rFonts w:ascii="Times New Roman" w:eastAsia="Times New Roman" w:hAnsi="Times New Roman" w:cs="Times New Roman"/>
                <w:sz w:val="24"/>
                <w:szCs w:val="24"/>
                <w:lang w:eastAsia="lv-LV"/>
              </w:rPr>
              <w:t xml:space="preserve"> dzīvojam</w:t>
            </w:r>
            <w:r w:rsidR="63E2939C" w:rsidRPr="0063309A">
              <w:rPr>
                <w:rFonts w:ascii="Times New Roman" w:eastAsia="Times New Roman" w:hAnsi="Times New Roman" w:cs="Times New Roman"/>
                <w:sz w:val="24"/>
                <w:szCs w:val="24"/>
                <w:lang w:eastAsia="lv-LV"/>
              </w:rPr>
              <w:t>ā</w:t>
            </w:r>
            <w:r w:rsidR="04142F54" w:rsidRPr="0063309A">
              <w:rPr>
                <w:rFonts w:ascii="Times New Roman" w:eastAsia="Times New Roman" w:hAnsi="Times New Roman" w:cs="Times New Roman"/>
                <w:sz w:val="24"/>
                <w:szCs w:val="24"/>
                <w:lang w:eastAsia="lv-LV"/>
              </w:rPr>
              <w:t xml:space="preserve"> fond</w:t>
            </w:r>
            <w:r w:rsidR="7E632DFB" w:rsidRPr="0063309A">
              <w:rPr>
                <w:rFonts w:ascii="Times New Roman" w:eastAsia="Times New Roman" w:hAnsi="Times New Roman" w:cs="Times New Roman"/>
                <w:sz w:val="24"/>
                <w:szCs w:val="24"/>
                <w:lang w:eastAsia="lv-LV"/>
              </w:rPr>
              <w:t>a</w:t>
            </w:r>
            <w:r w:rsidR="0305AFE6" w:rsidRPr="0063309A">
              <w:rPr>
                <w:rFonts w:ascii="Times New Roman" w:eastAsia="Times New Roman" w:hAnsi="Times New Roman" w:cs="Times New Roman"/>
                <w:sz w:val="24"/>
                <w:szCs w:val="24"/>
                <w:lang w:eastAsia="lv-LV"/>
              </w:rPr>
              <w:t xml:space="preserve"> attīstību</w:t>
            </w:r>
            <w:r w:rsidR="04142F54" w:rsidRPr="0063309A">
              <w:rPr>
                <w:rFonts w:ascii="Times New Roman" w:eastAsia="Times New Roman" w:hAnsi="Times New Roman" w:cs="Times New Roman"/>
                <w:sz w:val="24"/>
                <w:szCs w:val="24"/>
                <w:lang w:eastAsia="lv-LV"/>
              </w:rPr>
              <w:t>, kā arī ēku renovācij</w:t>
            </w:r>
            <w:r w:rsidR="0D7AE975" w:rsidRPr="0063309A">
              <w:rPr>
                <w:rFonts w:ascii="Times New Roman" w:eastAsia="Times New Roman" w:hAnsi="Times New Roman" w:cs="Times New Roman"/>
                <w:sz w:val="24"/>
                <w:szCs w:val="24"/>
                <w:lang w:eastAsia="lv-LV"/>
              </w:rPr>
              <w:t>u Latvijā</w:t>
            </w:r>
            <w:r>
              <w:rPr>
                <w:rFonts w:ascii="Times New Roman" w:eastAsia="Times New Roman" w:hAnsi="Times New Roman" w:cs="Times New Roman"/>
                <w:sz w:val="24"/>
                <w:szCs w:val="24"/>
                <w:lang w:eastAsia="lv-LV"/>
              </w:rPr>
              <w:t xml:space="preserve">. </w:t>
            </w:r>
            <w:r w:rsidR="4A9AA43B" w:rsidRPr="0063309A">
              <w:rPr>
                <w:rFonts w:ascii="Times New Roman" w:eastAsia="Times New Roman" w:hAnsi="Times New Roman" w:cs="Times New Roman"/>
                <w:sz w:val="24"/>
                <w:szCs w:val="24"/>
                <w:lang w:eastAsia="lv-LV"/>
              </w:rPr>
              <w:t>Veikt</w:t>
            </w:r>
            <w:r w:rsidR="24740D42" w:rsidRPr="0063309A">
              <w:rPr>
                <w:rFonts w:ascii="Times New Roman" w:eastAsia="Times New Roman" w:hAnsi="Times New Roman" w:cs="Times New Roman"/>
                <w:sz w:val="24"/>
                <w:szCs w:val="24"/>
                <w:lang w:eastAsia="lv-LV"/>
              </w:rPr>
              <w:t>ā</w:t>
            </w:r>
            <w:r w:rsidR="4A9AA43B" w:rsidRPr="0063309A">
              <w:rPr>
                <w:rFonts w:ascii="Times New Roman" w:eastAsia="Times New Roman" w:hAnsi="Times New Roman" w:cs="Times New Roman"/>
                <w:sz w:val="24"/>
                <w:szCs w:val="24"/>
                <w:lang w:eastAsia="lv-LV"/>
              </w:rPr>
              <w:t xml:space="preserve"> analīze</w:t>
            </w:r>
            <w:r w:rsidR="788C5F9F" w:rsidRPr="0063309A">
              <w:rPr>
                <w:rFonts w:ascii="Times New Roman" w:eastAsia="Times New Roman" w:hAnsi="Times New Roman" w:cs="Times New Roman"/>
                <w:sz w:val="24"/>
                <w:szCs w:val="24"/>
                <w:lang w:eastAsia="lv-LV"/>
              </w:rPr>
              <w:t xml:space="preserve"> </w:t>
            </w:r>
            <w:r w:rsidR="196BDD3C" w:rsidRPr="0063309A">
              <w:rPr>
                <w:rFonts w:ascii="Times New Roman" w:eastAsia="Times New Roman" w:hAnsi="Times New Roman" w:cs="Times New Roman"/>
                <w:sz w:val="24"/>
                <w:szCs w:val="24"/>
                <w:lang w:eastAsia="lv-LV"/>
              </w:rPr>
              <w:t>liecina</w:t>
            </w:r>
            <w:r w:rsidR="4A9AA43B" w:rsidRPr="0063309A">
              <w:rPr>
                <w:rFonts w:ascii="Times New Roman" w:eastAsia="Times New Roman" w:hAnsi="Times New Roman" w:cs="Times New Roman"/>
                <w:sz w:val="24"/>
                <w:szCs w:val="24"/>
                <w:lang w:eastAsia="lv-LV"/>
              </w:rPr>
              <w:t xml:space="preserve">, </w:t>
            </w:r>
            <w:r w:rsidR="03C67FDB" w:rsidRPr="0063309A">
              <w:rPr>
                <w:rFonts w:ascii="Times New Roman" w:eastAsia="Times New Roman" w:hAnsi="Times New Roman" w:cs="Times New Roman"/>
                <w:sz w:val="24"/>
                <w:szCs w:val="24"/>
                <w:lang w:eastAsia="lv-LV"/>
              </w:rPr>
              <w:t>ka</w:t>
            </w:r>
            <w:r w:rsidR="4A9AA43B" w:rsidRPr="0063309A">
              <w:rPr>
                <w:rFonts w:ascii="Times New Roman" w:eastAsia="Times New Roman" w:hAnsi="Times New Roman" w:cs="Times New Roman"/>
                <w:sz w:val="24"/>
                <w:szCs w:val="24"/>
                <w:lang w:eastAsia="lv-LV"/>
              </w:rPr>
              <w:t xml:space="preserve"> </w:t>
            </w:r>
            <w:r w:rsidR="303E43C0" w:rsidRPr="0063309A">
              <w:rPr>
                <w:rFonts w:ascii="Times New Roman" w:eastAsia="Times New Roman" w:hAnsi="Times New Roman" w:cs="Times New Roman"/>
                <w:sz w:val="24"/>
                <w:szCs w:val="24"/>
                <w:lang w:eastAsia="lv-LV"/>
              </w:rPr>
              <w:t>šie</w:t>
            </w:r>
            <w:r w:rsidR="36DF02E4" w:rsidRPr="0063309A">
              <w:rPr>
                <w:rFonts w:ascii="Times New Roman" w:eastAsia="Times New Roman" w:hAnsi="Times New Roman" w:cs="Times New Roman"/>
                <w:sz w:val="24"/>
                <w:szCs w:val="24"/>
                <w:lang w:eastAsia="lv-LV"/>
              </w:rPr>
              <w:t>m</w:t>
            </w:r>
            <w:r w:rsidR="303E43C0" w:rsidRPr="0063309A">
              <w:rPr>
                <w:rFonts w:ascii="Times New Roman" w:eastAsia="Times New Roman" w:hAnsi="Times New Roman" w:cs="Times New Roman"/>
                <w:sz w:val="24"/>
                <w:szCs w:val="24"/>
                <w:lang w:eastAsia="lv-LV"/>
              </w:rPr>
              <w:t xml:space="preserve"> a</w:t>
            </w:r>
            <w:r w:rsidR="4A9AA43B" w:rsidRPr="0063309A">
              <w:rPr>
                <w:rFonts w:ascii="Times New Roman" w:eastAsia="Times New Roman" w:hAnsi="Times New Roman" w:cs="Times New Roman"/>
                <w:sz w:val="24"/>
                <w:szCs w:val="24"/>
                <w:lang w:eastAsia="lv-LV"/>
              </w:rPr>
              <w:t>tvieg</w:t>
            </w:r>
            <w:r w:rsidR="3B0F4091" w:rsidRPr="0063309A">
              <w:rPr>
                <w:rFonts w:ascii="Times New Roman" w:eastAsia="Times New Roman" w:hAnsi="Times New Roman" w:cs="Times New Roman"/>
                <w:sz w:val="24"/>
                <w:szCs w:val="24"/>
                <w:lang w:eastAsia="lv-LV"/>
              </w:rPr>
              <w:t>lo</w:t>
            </w:r>
            <w:r w:rsidR="4A9AA43B" w:rsidRPr="0063309A">
              <w:rPr>
                <w:rFonts w:ascii="Times New Roman" w:eastAsia="Times New Roman" w:hAnsi="Times New Roman" w:cs="Times New Roman"/>
                <w:sz w:val="24"/>
                <w:szCs w:val="24"/>
                <w:lang w:eastAsia="lv-LV"/>
              </w:rPr>
              <w:t>jumi</w:t>
            </w:r>
            <w:r w:rsidR="51B8439D" w:rsidRPr="0063309A">
              <w:rPr>
                <w:rFonts w:ascii="Times New Roman" w:eastAsia="Times New Roman" w:hAnsi="Times New Roman" w:cs="Times New Roman"/>
                <w:sz w:val="24"/>
                <w:szCs w:val="24"/>
                <w:lang w:eastAsia="lv-LV"/>
              </w:rPr>
              <w:t>em nav būtiskas</w:t>
            </w:r>
            <w:r w:rsidR="569C0C5F" w:rsidRPr="0063309A">
              <w:rPr>
                <w:rFonts w:ascii="Times New Roman" w:eastAsia="Times New Roman" w:hAnsi="Times New Roman" w:cs="Times New Roman"/>
                <w:sz w:val="24"/>
                <w:szCs w:val="24"/>
                <w:lang w:eastAsia="lv-LV"/>
              </w:rPr>
              <w:t xml:space="preserve"> </w:t>
            </w:r>
            <w:r w:rsidR="04142F54" w:rsidRPr="0063309A">
              <w:rPr>
                <w:rFonts w:ascii="Times New Roman" w:eastAsia="Times New Roman" w:hAnsi="Times New Roman" w:cs="Times New Roman"/>
                <w:sz w:val="24"/>
                <w:szCs w:val="24"/>
                <w:lang w:eastAsia="lv-LV"/>
              </w:rPr>
              <w:t>negatīv</w:t>
            </w:r>
            <w:r w:rsidR="7F24E638" w:rsidRPr="0063309A">
              <w:rPr>
                <w:rFonts w:ascii="Times New Roman" w:eastAsia="Times New Roman" w:hAnsi="Times New Roman" w:cs="Times New Roman"/>
                <w:sz w:val="24"/>
                <w:szCs w:val="24"/>
                <w:lang w:eastAsia="lv-LV"/>
              </w:rPr>
              <w:t>as</w:t>
            </w:r>
            <w:r w:rsidR="04142F54" w:rsidRPr="0063309A">
              <w:rPr>
                <w:rFonts w:ascii="Times New Roman" w:eastAsia="Times New Roman" w:hAnsi="Times New Roman" w:cs="Times New Roman"/>
                <w:sz w:val="24"/>
                <w:szCs w:val="24"/>
                <w:lang w:eastAsia="lv-LV"/>
              </w:rPr>
              <w:t xml:space="preserve"> ietekm</w:t>
            </w:r>
            <w:r w:rsidR="781080EC" w:rsidRPr="0063309A">
              <w:rPr>
                <w:rFonts w:ascii="Times New Roman" w:eastAsia="Times New Roman" w:hAnsi="Times New Roman" w:cs="Times New Roman"/>
                <w:sz w:val="24"/>
                <w:szCs w:val="24"/>
                <w:lang w:eastAsia="lv-LV"/>
              </w:rPr>
              <w:t>es</w:t>
            </w:r>
            <w:r w:rsidR="04142F54" w:rsidRPr="0063309A">
              <w:rPr>
                <w:rFonts w:ascii="Times New Roman" w:eastAsia="Times New Roman" w:hAnsi="Times New Roman" w:cs="Times New Roman"/>
                <w:sz w:val="24"/>
                <w:szCs w:val="24"/>
                <w:lang w:eastAsia="lv-LV"/>
              </w:rPr>
              <w:t xml:space="preserve"> uz kredītrisku un klienta maksātspēju. </w:t>
            </w:r>
            <w:r w:rsidR="3A196AA3" w:rsidRPr="0063309A">
              <w:rPr>
                <w:rFonts w:ascii="Times New Roman" w:eastAsia="Times New Roman" w:hAnsi="Times New Roman" w:cs="Times New Roman"/>
                <w:sz w:val="24"/>
                <w:szCs w:val="24"/>
                <w:lang w:eastAsia="lv-LV"/>
              </w:rPr>
              <w:t>M</w:t>
            </w:r>
            <w:r w:rsidR="04142F54" w:rsidRPr="0063309A">
              <w:rPr>
                <w:rFonts w:ascii="Times New Roman" w:eastAsia="Times New Roman" w:hAnsi="Times New Roman" w:cs="Times New Roman"/>
                <w:sz w:val="24"/>
                <w:szCs w:val="24"/>
                <w:lang w:eastAsia="lv-LV"/>
              </w:rPr>
              <w:t xml:space="preserve">ājoklim, kura </w:t>
            </w:r>
            <w:r w:rsidR="248D1986" w:rsidRPr="61A5BE51">
              <w:rPr>
                <w:rFonts w:ascii="Times New Roman" w:eastAsia="Times New Roman" w:hAnsi="Times New Roman" w:cs="Times New Roman"/>
                <w:sz w:val="24"/>
                <w:szCs w:val="24"/>
                <w:lang w:eastAsia="lv-LV"/>
              </w:rPr>
              <w:t xml:space="preserve">ēkas </w:t>
            </w:r>
            <w:r w:rsidR="04142F54" w:rsidRPr="61A5BE51">
              <w:rPr>
                <w:rFonts w:ascii="Times New Roman" w:eastAsia="Times New Roman" w:hAnsi="Times New Roman" w:cs="Times New Roman"/>
                <w:sz w:val="24"/>
                <w:szCs w:val="24"/>
                <w:lang w:eastAsia="lv-LV"/>
              </w:rPr>
              <w:t>energo</w:t>
            </w:r>
            <w:r w:rsidR="1CEB69DF" w:rsidRPr="454862D0">
              <w:rPr>
                <w:rFonts w:ascii="Times New Roman" w:eastAsia="Times New Roman" w:hAnsi="Times New Roman" w:cs="Times New Roman"/>
                <w:sz w:val="24"/>
                <w:szCs w:val="24"/>
                <w:lang w:eastAsia="lv-LV"/>
              </w:rPr>
              <w:t>efektivitātes</w:t>
            </w:r>
            <w:r w:rsidR="04142F54" w:rsidRPr="0063309A">
              <w:rPr>
                <w:rFonts w:ascii="Times New Roman" w:eastAsia="Times New Roman" w:hAnsi="Times New Roman" w:cs="Times New Roman"/>
                <w:sz w:val="24"/>
                <w:szCs w:val="24"/>
                <w:lang w:eastAsia="lv-LV"/>
              </w:rPr>
              <w:t xml:space="preserve"> klase ir</w:t>
            </w:r>
            <w:r w:rsidR="2D2C0536" w:rsidRPr="0063309A">
              <w:rPr>
                <w:rFonts w:ascii="Times New Roman" w:eastAsia="Times New Roman" w:hAnsi="Times New Roman" w:cs="Times New Roman"/>
                <w:sz w:val="24"/>
                <w:szCs w:val="24"/>
                <w:lang w:eastAsia="lv-LV"/>
              </w:rPr>
              <w:t xml:space="preserve"> C un</w:t>
            </w:r>
            <w:r w:rsidR="04142F54" w:rsidRPr="0063309A">
              <w:rPr>
                <w:rFonts w:ascii="Times New Roman" w:eastAsia="Times New Roman" w:hAnsi="Times New Roman" w:cs="Times New Roman"/>
                <w:sz w:val="24"/>
                <w:szCs w:val="24"/>
                <w:lang w:eastAsia="lv-LV"/>
              </w:rPr>
              <w:t xml:space="preserve"> augstāka, ir kvantitatīvi pierād</w:t>
            </w:r>
            <w:r w:rsidR="546F541F" w:rsidRPr="0063309A">
              <w:rPr>
                <w:rFonts w:ascii="Times New Roman" w:eastAsia="Times New Roman" w:hAnsi="Times New Roman" w:cs="Times New Roman"/>
                <w:sz w:val="24"/>
                <w:szCs w:val="24"/>
                <w:lang w:eastAsia="lv-LV"/>
              </w:rPr>
              <w:t>īt</w:t>
            </w:r>
            <w:r w:rsidR="04142F54" w:rsidRPr="0063309A">
              <w:rPr>
                <w:rFonts w:ascii="Times New Roman" w:eastAsia="Times New Roman" w:hAnsi="Times New Roman" w:cs="Times New Roman"/>
                <w:sz w:val="24"/>
                <w:szCs w:val="24"/>
                <w:lang w:eastAsia="lv-LV"/>
              </w:rPr>
              <w:t xml:space="preserve">s būtisks </w:t>
            </w:r>
            <w:r w:rsidR="716EE12E" w:rsidRPr="0063309A">
              <w:rPr>
                <w:rFonts w:ascii="Times New Roman" w:eastAsia="Times New Roman" w:hAnsi="Times New Roman" w:cs="Times New Roman"/>
                <w:sz w:val="24"/>
                <w:szCs w:val="24"/>
                <w:lang w:eastAsia="lv-LV"/>
              </w:rPr>
              <w:t xml:space="preserve">gada </w:t>
            </w:r>
            <w:r w:rsidR="16D72DA3" w:rsidRPr="0063309A">
              <w:rPr>
                <w:rFonts w:ascii="Times New Roman" w:eastAsia="Times New Roman" w:hAnsi="Times New Roman" w:cs="Times New Roman"/>
                <w:sz w:val="24"/>
                <w:szCs w:val="24"/>
                <w:lang w:eastAsia="lv-LV"/>
              </w:rPr>
              <w:t>izdevum</w:t>
            </w:r>
            <w:r w:rsidR="00BE790E">
              <w:rPr>
                <w:rFonts w:ascii="Times New Roman" w:eastAsia="Times New Roman" w:hAnsi="Times New Roman" w:cs="Times New Roman"/>
                <w:sz w:val="24"/>
                <w:szCs w:val="24"/>
                <w:lang w:eastAsia="lv-LV"/>
              </w:rPr>
              <w:t>u</w:t>
            </w:r>
            <w:r w:rsidR="16D72DA3" w:rsidRPr="0063309A">
              <w:rPr>
                <w:rFonts w:ascii="Times New Roman" w:eastAsia="Times New Roman" w:hAnsi="Times New Roman" w:cs="Times New Roman"/>
                <w:sz w:val="24"/>
                <w:szCs w:val="24"/>
                <w:lang w:eastAsia="lv-LV"/>
              </w:rPr>
              <w:t xml:space="preserve"> par </w:t>
            </w:r>
            <w:r w:rsidR="04142F54" w:rsidRPr="0063309A">
              <w:rPr>
                <w:rFonts w:ascii="Times New Roman" w:eastAsia="Times New Roman" w:hAnsi="Times New Roman" w:cs="Times New Roman"/>
                <w:sz w:val="24"/>
                <w:szCs w:val="24"/>
                <w:lang w:eastAsia="lv-LV"/>
              </w:rPr>
              <w:t>apkuri</w:t>
            </w:r>
            <w:r w:rsidR="00BE790E" w:rsidRPr="0063309A">
              <w:rPr>
                <w:rFonts w:ascii="Times New Roman" w:eastAsia="Times New Roman" w:hAnsi="Times New Roman" w:cs="Times New Roman"/>
                <w:sz w:val="24"/>
                <w:szCs w:val="24"/>
                <w:lang w:eastAsia="lv-LV"/>
              </w:rPr>
              <w:t xml:space="preserve"> ietaupījums</w:t>
            </w:r>
            <w:r w:rsidR="04142F54" w:rsidRPr="0063309A">
              <w:rPr>
                <w:rFonts w:ascii="Times New Roman" w:eastAsia="Times New Roman" w:hAnsi="Times New Roman" w:cs="Times New Roman"/>
                <w:sz w:val="24"/>
                <w:szCs w:val="24"/>
                <w:lang w:eastAsia="lv-LV"/>
              </w:rPr>
              <w:t xml:space="preserve"> salīd</w:t>
            </w:r>
            <w:r w:rsidR="04142F54" w:rsidRPr="071C310C">
              <w:rPr>
                <w:rFonts w:ascii="Times New Roman" w:eastAsia="Times New Roman" w:hAnsi="Times New Roman" w:cs="Times New Roman"/>
                <w:sz w:val="24"/>
                <w:szCs w:val="24"/>
                <w:lang w:eastAsia="lv-LV"/>
              </w:rPr>
              <w:t>zin</w:t>
            </w:r>
            <w:r w:rsidR="00B73EF0">
              <w:rPr>
                <w:rFonts w:ascii="Times New Roman" w:eastAsia="Times New Roman" w:hAnsi="Times New Roman" w:cs="Times New Roman"/>
                <w:sz w:val="24"/>
                <w:szCs w:val="24"/>
                <w:lang w:eastAsia="lv-LV"/>
              </w:rPr>
              <w:t>ājumā</w:t>
            </w:r>
            <w:r w:rsidR="04142F54" w:rsidRPr="071C310C">
              <w:rPr>
                <w:rFonts w:ascii="Times New Roman" w:eastAsia="Times New Roman" w:hAnsi="Times New Roman" w:cs="Times New Roman"/>
                <w:sz w:val="24"/>
                <w:szCs w:val="24"/>
                <w:lang w:eastAsia="lv-LV"/>
              </w:rPr>
              <w:t xml:space="preserve"> ar līdzvērtīgu nerenovētu mājokli.</w:t>
            </w:r>
            <w:r w:rsidR="426B650C" w:rsidRPr="071C310C">
              <w:rPr>
                <w:rFonts w:ascii="Times New Roman" w:eastAsia="Times New Roman" w:hAnsi="Times New Roman" w:cs="Times New Roman"/>
                <w:sz w:val="24"/>
                <w:szCs w:val="24"/>
                <w:lang w:eastAsia="lv-LV"/>
              </w:rPr>
              <w:t xml:space="preserve"> </w:t>
            </w:r>
            <w:r w:rsidR="0390D6EC" w:rsidRPr="071C310C">
              <w:rPr>
                <w:rFonts w:ascii="Times New Roman" w:eastAsia="Times New Roman" w:hAnsi="Times New Roman" w:cs="Times New Roman"/>
                <w:sz w:val="24"/>
                <w:szCs w:val="24"/>
                <w:lang w:eastAsia="lv-LV"/>
              </w:rPr>
              <w:t xml:space="preserve">Saskaņā ar </w:t>
            </w:r>
            <w:r w:rsidR="40150280" w:rsidRPr="071C310C">
              <w:rPr>
                <w:rFonts w:ascii="Times New Roman" w:eastAsia="Times New Roman" w:hAnsi="Times New Roman" w:cs="Times New Roman"/>
                <w:sz w:val="24"/>
                <w:szCs w:val="24"/>
                <w:lang w:eastAsia="lv-LV"/>
              </w:rPr>
              <w:t xml:space="preserve">Latvijas Bankas </w:t>
            </w:r>
            <w:r w:rsidR="0390D6EC" w:rsidRPr="071C310C">
              <w:rPr>
                <w:rFonts w:ascii="Times New Roman" w:eastAsia="Times New Roman" w:hAnsi="Times New Roman" w:cs="Times New Roman"/>
                <w:sz w:val="24"/>
                <w:szCs w:val="24"/>
                <w:lang w:eastAsia="lv-LV"/>
              </w:rPr>
              <w:t>aprēķiniem apkures izdevumu ietaupījum</w:t>
            </w:r>
            <w:r w:rsidR="489C5281" w:rsidRPr="071C310C">
              <w:rPr>
                <w:rFonts w:ascii="Times New Roman" w:eastAsia="Times New Roman" w:hAnsi="Times New Roman" w:cs="Times New Roman"/>
                <w:sz w:val="24"/>
                <w:szCs w:val="24"/>
                <w:lang w:eastAsia="lv-LV"/>
              </w:rPr>
              <w:t>a</w:t>
            </w:r>
            <w:r w:rsidR="7592DA8E" w:rsidRPr="071C310C">
              <w:rPr>
                <w:rFonts w:ascii="Times New Roman" w:eastAsia="Times New Roman" w:hAnsi="Times New Roman" w:cs="Times New Roman"/>
                <w:sz w:val="24"/>
                <w:szCs w:val="24"/>
                <w:lang w:eastAsia="lv-LV"/>
              </w:rPr>
              <w:t xml:space="preserve"> apmērs ļauj atvieglot </w:t>
            </w:r>
            <w:r w:rsidR="04142F54" w:rsidRPr="071C310C">
              <w:rPr>
                <w:rFonts w:ascii="Times New Roman" w:eastAsia="Times New Roman" w:hAnsi="Times New Roman" w:cs="Times New Roman"/>
                <w:sz w:val="24"/>
                <w:szCs w:val="24"/>
                <w:lang w:eastAsia="lv-LV"/>
              </w:rPr>
              <w:t xml:space="preserve">DSTI </w:t>
            </w:r>
            <w:r w:rsidR="00BA79B9">
              <w:rPr>
                <w:rFonts w:ascii="Times New Roman" w:eastAsia="Times New Roman" w:hAnsi="Times New Roman" w:cs="Times New Roman"/>
                <w:sz w:val="24"/>
                <w:szCs w:val="24"/>
                <w:lang w:eastAsia="lv-LV"/>
              </w:rPr>
              <w:t xml:space="preserve">rādītāja </w:t>
            </w:r>
            <w:r w:rsidR="04142F54" w:rsidRPr="071C310C">
              <w:rPr>
                <w:rFonts w:ascii="Times New Roman" w:eastAsia="Times New Roman" w:hAnsi="Times New Roman" w:cs="Times New Roman"/>
                <w:sz w:val="24"/>
                <w:szCs w:val="24"/>
                <w:lang w:eastAsia="lv-LV"/>
              </w:rPr>
              <w:t>ierobežojum</w:t>
            </w:r>
            <w:r w:rsidR="13050F22" w:rsidRPr="071C310C">
              <w:rPr>
                <w:rFonts w:ascii="Times New Roman" w:eastAsia="Times New Roman" w:hAnsi="Times New Roman" w:cs="Times New Roman"/>
                <w:sz w:val="24"/>
                <w:szCs w:val="24"/>
                <w:lang w:eastAsia="lv-LV"/>
              </w:rPr>
              <w:t>u līdz</w:t>
            </w:r>
            <w:r w:rsidR="459793B1" w:rsidRPr="071C310C">
              <w:rPr>
                <w:rFonts w:ascii="Times New Roman" w:eastAsia="Times New Roman" w:hAnsi="Times New Roman" w:cs="Times New Roman"/>
                <w:sz w:val="24"/>
                <w:szCs w:val="24"/>
                <w:lang w:eastAsia="lv-LV"/>
              </w:rPr>
              <w:t xml:space="preserve"> </w:t>
            </w:r>
            <w:r w:rsidR="04142F54" w:rsidRPr="071C310C">
              <w:rPr>
                <w:rFonts w:ascii="Times New Roman" w:eastAsia="Times New Roman" w:hAnsi="Times New Roman" w:cs="Times New Roman"/>
                <w:sz w:val="24"/>
                <w:szCs w:val="24"/>
                <w:lang w:eastAsia="lv-LV"/>
              </w:rPr>
              <w:t>45</w:t>
            </w:r>
            <w:r w:rsidR="00BE790E">
              <w:rPr>
                <w:rFonts w:ascii="Times New Roman" w:eastAsia="Times New Roman" w:hAnsi="Times New Roman" w:cs="Times New Roman"/>
                <w:sz w:val="24"/>
                <w:szCs w:val="24"/>
                <w:lang w:eastAsia="lv-LV"/>
              </w:rPr>
              <w:t> </w:t>
            </w:r>
            <w:r w:rsidR="04142F54" w:rsidRPr="071C310C">
              <w:rPr>
                <w:rFonts w:ascii="Times New Roman" w:eastAsia="Times New Roman" w:hAnsi="Times New Roman" w:cs="Times New Roman"/>
                <w:sz w:val="24"/>
                <w:szCs w:val="24"/>
                <w:lang w:eastAsia="lv-LV"/>
              </w:rPr>
              <w:t xml:space="preserve">%. </w:t>
            </w:r>
            <w:r w:rsidR="00DAA14F" w:rsidRPr="071C310C">
              <w:rPr>
                <w:rFonts w:ascii="Times New Roman" w:eastAsia="Times New Roman" w:hAnsi="Times New Roman" w:cs="Times New Roman"/>
                <w:sz w:val="24"/>
                <w:szCs w:val="24"/>
                <w:lang w:eastAsia="lv-LV"/>
              </w:rPr>
              <w:t xml:space="preserve">Lai DSTI </w:t>
            </w:r>
            <w:r w:rsidR="00BA79B9">
              <w:rPr>
                <w:rFonts w:ascii="Times New Roman" w:eastAsia="Times New Roman" w:hAnsi="Times New Roman" w:cs="Times New Roman"/>
                <w:sz w:val="24"/>
                <w:szCs w:val="24"/>
                <w:lang w:eastAsia="lv-LV"/>
              </w:rPr>
              <w:t xml:space="preserve">rādītāja </w:t>
            </w:r>
            <w:r w:rsidR="00DAA14F" w:rsidRPr="071C310C">
              <w:rPr>
                <w:rFonts w:ascii="Times New Roman" w:eastAsia="Times New Roman" w:hAnsi="Times New Roman" w:cs="Times New Roman"/>
                <w:sz w:val="24"/>
                <w:szCs w:val="24"/>
                <w:lang w:eastAsia="lv-LV"/>
              </w:rPr>
              <w:t xml:space="preserve">atvieglojumu varētu </w:t>
            </w:r>
            <w:r w:rsidR="00DAA14F" w:rsidRPr="005D4B04">
              <w:rPr>
                <w:rFonts w:ascii="Times New Roman" w:eastAsia="Times New Roman" w:hAnsi="Times New Roman" w:cs="Times New Roman"/>
                <w:sz w:val="24"/>
                <w:szCs w:val="24"/>
                <w:lang w:eastAsia="lv-LV"/>
              </w:rPr>
              <w:t>izmantot arī zemāku procentu likmju apstākļos</w:t>
            </w:r>
            <w:r w:rsidR="58117BCC" w:rsidRPr="005D4B04">
              <w:rPr>
                <w:rFonts w:ascii="Times New Roman" w:eastAsia="Times New Roman" w:hAnsi="Times New Roman" w:cs="Times New Roman"/>
                <w:sz w:val="24"/>
                <w:szCs w:val="24"/>
                <w:lang w:eastAsia="lv-LV"/>
              </w:rPr>
              <w:t xml:space="preserve"> (visa finanšu cikla laikā)</w:t>
            </w:r>
            <w:r w:rsidR="00DAA14F" w:rsidRPr="005D4B04">
              <w:rPr>
                <w:rFonts w:ascii="Times New Roman" w:eastAsia="Times New Roman" w:hAnsi="Times New Roman" w:cs="Times New Roman"/>
                <w:sz w:val="24"/>
                <w:szCs w:val="24"/>
                <w:lang w:eastAsia="lv-LV"/>
              </w:rPr>
              <w:t xml:space="preserve">, </w:t>
            </w:r>
            <w:r w:rsidR="04142F54" w:rsidRPr="005D4B04">
              <w:rPr>
                <w:rFonts w:ascii="Times New Roman" w:eastAsia="Times New Roman" w:hAnsi="Times New Roman" w:cs="Times New Roman"/>
                <w:sz w:val="24"/>
                <w:szCs w:val="24"/>
                <w:lang w:eastAsia="lv-LV"/>
              </w:rPr>
              <w:t xml:space="preserve">ir būtiski </w:t>
            </w:r>
            <w:r w:rsidR="00BE790E" w:rsidRPr="005D4B04">
              <w:rPr>
                <w:rFonts w:ascii="Times New Roman" w:eastAsia="Times New Roman" w:hAnsi="Times New Roman" w:cs="Times New Roman"/>
                <w:sz w:val="24"/>
                <w:szCs w:val="24"/>
                <w:lang w:eastAsia="lv-LV"/>
              </w:rPr>
              <w:t xml:space="preserve">noteikt </w:t>
            </w:r>
            <w:r w:rsidR="41FDA4FC" w:rsidRPr="005D4B04">
              <w:rPr>
                <w:rFonts w:ascii="Times New Roman" w:eastAsia="Times New Roman" w:hAnsi="Times New Roman" w:cs="Times New Roman"/>
                <w:sz w:val="24"/>
                <w:szCs w:val="24"/>
                <w:lang w:eastAsia="lv-LV"/>
              </w:rPr>
              <w:t xml:space="preserve">proporcionālu </w:t>
            </w:r>
            <w:r w:rsidR="1ED1F919" w:rsidRPr="005D4B04">
              <w:rPr>
                <w:rFonts w:ascii="Times New Roman" w:eastAsia="Times New Roman" w:hAnsi="Times New Roman" w:cs="Times New Roman"/>
                <w:sz w:val="24"/>
                <w:szCs w:val="24"/>
                <w:lang w:eastAsia="lv-LV"/>
              </w:rPr>
              <w:t>atvieglo</w:t>
            </w:r>
            <w:r w:rsidR="2E3A4437" w:rsidRPr="005D4B04">
              <w:rPr>
                <w:rFonts w:ascii="Times New Roman" w:eastAsia="Times New Roman" w:hAnsi="Times New Roman" w:cs="Times New Roman"/>
                <w:sz w:val="24"/>
                <w:szCs w:val="24"/>
                <w:lang w:eastAsia="lv-LV"/>
              </w:rPr>
              <w:t>jumu</w:t>
            </w:r>
            <w:r w:rsidR="1ED1F919" w:rsidRPr="005D4B04">
              <w:rPr>
                <w:rFonts w:ascii="Times New Roman" w:eastAsia="Times New Roman" w:hAnsi="Times New Roman" w:cs="Times New Roman"/>
                <w:sz w:val="24"/>
                <w:szCs w:val="24"/>
                <w:lang w:eastAsia="lv-LV"/>
              </w:rPr>
              <w:t xml:space="preserve"> arī </w:t>
            </w:r>
            <w:r w:rsidR="04142F54" w:rsidRPr="005D4B04">
              <w:rPr>
                <w:rFonts w:ascii="Times New Roman" w:eastAsia="Times New Roman" w:hAnsi="Times New Roman" w:cs="Times New Roman"/>
                <w:sz w:val="24"/>
                <w:szCs w:val="24"/>
                <w:lang w:eastAsia="lv-LV"/>
              </w:rPr>
              <w:t>DTI rādītāja apmēr</w:t>
            </w:r>
            <w:r w:rsidR="709C366E" w:rsidRPr="005D4B04">
              <w:rPr>
                <w:rFonts w:ascii="Times New Roman" w:eastAsia="Times New Roman" w:hAnsi="Times New Roman" w:cs="Times New Roman"/>
                <w:sz w:val="24"/>
                <w:szCs w:val="24"/>
                <w:lang w:eastAsia="lv-LV"/>
              </w:rPr>
              <w:t>am</w:t>
            </w:r>
            <w:r w:rsidR="00A97565">
              <w:rPr>
                <w:rFonts w:ascii="Times New Roman" w:eastAsia="Times New Roman" w:hAnsi="Times New Roman" w:cs="Times New Roman"/>
                <w:sz w:val="24"/>
                <w:szCs w:val="24"/>
                <w:lang w:eastAsia="lv-LV"/>
              </w:rPr>
              <w:t> </w:t>
            </w:r>
            <w:r w:rsidR="5C9ED9B9" w:rsidRPr="005D4B04">
              <w:rPr>
                <w:rFonts w:ascii="Times New Roman" w:eastAsia="Times New Roman" w:hAnsi="Times New Roman" w:cs="Times New Roman"/>
                <w:sz w:val="24"/>
                <w:szCs w:val="24"/>
                <w:lang w:eastAsia="lv-LV"/>
              </w:rPr>
              <w:t xml:space="preserve">– </w:t>
            </w:r>
            <w:r w:rsidR="04142F54" w:rsidRPr="005D4B04">
              <w:rPr>
                <w:rFonts w:ascii="Times New Roman" w:eastAsia="Times New Roman" w:hAnsi="Times New Roman" w:cs="Times New Roman"/>
                <w:sz w:val="24"/>
                <w:szCs w:val="24"/>
                <w:lang w:eastAsia="lv-LV"/>
              </w:rPr>
              <w:t>līdz 8</w:t>
            </w:r>
            <w:r w:rsidR="49BB924E" w:rsidRPr="005D4B04">
              <w:rPr>
                <w:rFonts w:ascii="Times New Roman" w:eastAsia="Times New Roman" w:hAnsi="Times New Roman" w:cs="Times New Roman"/>
                <w:sz w:val="24"/>
                <w:szCs w:val="24"/>
                <w:lang w:eastAsia="lv-LV"/>
              </w:rPr>
              <w:t>;</w:t>
            </w:r>
          </w:p>
          <w:p w14:paraId="3E068B71" w14:textId="77F838B9" w:rsidR="006D7E0A" w:rsidRDefault="4FC7313E" w:rsidP="006D7E0A">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31789D">
              <w:rPr>
                <w:rFonts w:ascii="Times New Roman" w:eastAsia="Times New Roman" w:hAnsi="Times New Roman" w:cs="Times New Roman"/>
                <w:sz w:val="24"/>
                <w:szCs w:val="24"/>
                <w:lang w:eastAsia="lv-LV"/>
              </w:rPr>
              <w:t xml:space="preserve">elastīgāka pieeja </w:t>
            </w:r>
            <w:r w:rsidR="00D56483" w:rsidRPr="0031789D">
              <w:rPr>
                <w:rFonts w:ascii="Times New Roman" w:eastAsia="Times New Roman" w:hAnsi="Times New Roman" w:cs="Times New Roman"/>
                <w:sz w:val="24"/>
                <w:szCs w:val="24"/>
                <w:lang w:eastAsia="lv-LV"/>
              </w:rPr>
              <w:t>ieviesta</w:t>
            </w:r>
            <w:r w:rsidR="00D56483">
              <w:rPr>
                <w:rFonts w:ascii="Times New Roman" w:eastAsia="Times New Roman" w:hAnsi="Times New Roman" w:cs="Times New Roman"/>
                <w:sz w:val="24"/>
                <w:szCs w:val="24"/>
                <w:lang w:eastAsia="lv-LV"/>
              </w:rPr>
              <w:t xml:space="preserve"> </w:t>
            </w:r>
            <w:r w:rsidR="00A01570">
              <w:rPr>
                <w:rFonts w:ascii="Times New Roman" w:eastAsia="Times New Roman" w:hAnsi="Times New Roman" w:cs="Times New Roman"/>
                <w:sz w:val="24"/>
                <w:szCs w:val="24"/>
                <w:lang w:eastAsia="lv-LV"/>
              </w:rPr>
              <w:t>n</w:t>
            </w:r>
            <w:r w:rsidRPr="0031789D">
              <w:rPr>
                <w:rFonts w:ascii="Times New Roman" w:eastAsia="Times New Roman" w:hAnsi="Times New Roman" w:cs="Times New Roman"/>
                <w:sz w:val="24"/>
                <w:szCs w:val="24"/>
                <w:lang w:eastAsia="lv-LV"/>
              </w:rPr>
              <w:t xml:space="preserve">oteikumu projekta </w:t>
            </w:r>
            <w:r w:rsidRPr="00D61941">
              <w:rPr>
                <w:rFonts w:ascii="Times New Roman" w:eastAsia="Times New Roman" w:hAnsi="Times New Roman" w:cs="Times New Roman"/>
                <w:sz w:val="24"/>
                <w:szCs w:val="24"/>
                <w:lang w:eastAsia="lv-LV"/>
              </w:rPr>
              <w:t>8</w:t>
            </w:r>
            <w:r w:rsidR="00BF5FEF" w:rsidRPr="00D61941">
              <w:rPr>
                <w:rFonts w:ascii="Times New Roman" w:eastAsia="Times New Roman" w:hAnsi="Times New Roman" w:cs="Times New Roman"/>
                <w:sz w:val="24"/>
                <w:szCs w:val="24"/>
                <w:lang w:eastAsia="lv-LV"/>
              </w:rPr>
              <w:t>2</w:t>
            </w:r>
            <w:r w:rsidRPr="00D61941">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Pr="00D61941">
              <w:rPr>
                <w:rFonts w:ascii="Times New Roman" w:eastAsia="Times New Roman" w:hAnsi="Times New Roman" w:cs="Times New Roman"/>
                <w:sz w:val="24"/>
                <w:szCs w:val="24"/>
                <w:lang w:eastAsia="lv-LV"/>
              </w:rPr>
              <w:t>punktā</w:t>
            </w:r>
            <w:r w:rsidR="00753511">
              <w:rPr>
                <w:rFonts w:ascii="Times New Roman" w:eastAsia="Times New Roman" w:hAnsi="Times New Roman" w:cs="Times New Roman"/>
                <w:sz w:val="24"/>
                <w:szCs w:val="24"/>
                <w:lang w:eastAsia="lv-LV"/>
              </w:rPr>
              <w:t> </w:t>
            </w:r>
            <w:r w:rsidRPr="00D61941">
              <w:rPr>
                <w:rFonts w:ascii="Times New Roman" w:eastAsia="Times New Roman" w:hAnsi="Times New Roman" w:cs="Times New Roman"/>
                <w:sz w:val="24"/>
                <w:szCs w:val="24"/>
                <w:lang w:eastAsia="lv-LV"/>
              </w:rPr>
              <w:t xml:space="preserve">– kvantitatīvs </w:t>
            </w:r>
            <w:r w:rsidR="7BEBB984" w:rsidRPr="005C698A">
              <w:rPr>
                <w:rFonts w:ascii="Times New Roman" w:eastAsia="Times New Roman" w:hAnsi="Times New Roman" w:cs="Times New Roman"/>
                <w:sz w:val="24"/>
                <w:szCs w:val="24"/>
                <w:lang w:eastAsia="lv-LV"/>
              </w:rPr>
              <w:t>70</w:t>
            </w:r>
            <w:r w:rsidR="00753511" w:rsidRPr="005C698A">
              <w:rPr>
                <w:rFonts w:ascii="Times New Roman" w:eastAsia="Times New Roman" w:hAnsi="Times New Roman" w:cs="Times New Roman"/>
                <w:sz w:val="24"/>
                <w:szCs w:val="24"/>
                <w:lang w:eastAsia="lv-LV"/>
              </w:rPr>
              <w:t> </w:t>
            </w:r>
            <w:r w:rsidR="7BEBB984" w:rsidRPr="005C698A">
              <w:rPr>
                <w:rFonts w:ascii="Times New Roman" w:eastAsia="Times New Roman" w:hAnsi="Times New Roman" w:cs="Times New Roman"/>
                <w:sz w:val="24"/>
                <w:szCs w:val="24"/>
                <w:lang w:eastAsia="lv-LV"/>
              </w:rPr>
              <w:t>% (</w:t>
            </w:r>
            <w:proofErr w:type="spellStart"/>
            <w:r w:rsidR="7BEBB984" w:rsidRPr="005C698A">
              <w:rPr>
                <w:rFonts w:ascii="Times New Roman" w:eastAsia="Times New Roman" w:hAnsi="Times New Roman" w:cs="Times New Roman"/>
                <w:i/>
                <w:iCs/>
                <w:sz w:val="24"/>
                <w:szCs w:val="24"/>
                <w:lang w:eastAsia="lv-LV"/>
              </w:rPr>
              <w:t>loan</w:t>
            </w:r>
            <w:proofErr w:type="spellEnd"/>
            <w:r w:rsidR="07793E44" w:rsidRPr="005C698A">
              <w:rPr>
                <w:rFonts w:ascii="Times New Roman" w:eastAsia="Times New Roman" w:hAnsi="Times New Roman" w:cs="Times New Roman"/>
                <w:i/>
                <w:iCs/>
                <w:sz w:val="24"/>
                <w:szCs w:val="24"/>
                <w:lang w:eastAsia="lv-LV"/>
              </w:rPr>
              <w:t>-</w:t>
            </w:r>
            <w:r w:rsidR="7BEBB984" w:rsidRPr="005C698A">
              <w:rPr>
                <w:rFonts w:ascii="Times New Roman" w:eastAsia="Times New Roman" w:hAnsi="Times New Roman" w:cs="Times New Roman"/>
                <w:i/>
                <w:iCs/>
                <w:sz w:val="24"/>
                <w:szCs w:val="24"/>
                <w:lang w:eastAsia="lv-LV"/>
              </w:rPr>
              <w:t>to</w:t>
            </w:r>
            <w:r w:rsidR="39C16F0D" w:rsidRPr="005C698A">
              <w:rPr>
                <w:rFonts w:ascii="Times New Roman" w:eastAsia="Times New Roman" w:hAnsi="Times New Roman" w:cs="Times New Roman"/>
                <w:i/>
                <w:iCs/>
                <w:sz w:val="24"/>
                <w:szCs w:val="24"/>
                <w:lang w:eastAsia="lv-LV"/>
              </w:rPr>
              <w:t>-</w:t>
            </w:r>
            <w:proofErr w:type="spellStart"/>
            <w:r w:rsidR="7BEBB984" w:rsidRPr="005C698A">
              <w:rPr>
                <w:rFonts w:ascii="Times New Roman" w:eastAsia="Times New Roman" w:hAnsi="Times New Roman" w:cs="Times New Roman"/>
                <w:i/>
                <w:iCs/>
                <w:sz w:val="24"/>
                <w:szCs w:val="24"/>
                <w:lang w:eastAsia="lv-LV"/>
              </w:rPr>
              <w:t>value</w:t>
            </w:r>
            <w:proofErr w:type="spellEnd"/>
            <w:r w:rsidR="0087598C" w:rsidRPr="005C698A">
              <w:rPr>
                <w:rFonts w:ascii="Times New Roman" w:eastAsia="Times New Roman" w:hAnsi="Times New Roman" w:cs="Times New Roman"/>
                <w:sz w:val="24"/>
                <w:szCs w:val="24"/>
                <w:lang w:eastAsia="lv-LV"/>
              </w:rPr>
              <w:t>,</w:t>
            </w:r>
            <w:r w:rsidR="7BEBB984" w:rsidRPr="005C698A">
              <w:rPr>
                <w:rFonts w:ascii="Times New Roman" w:eastAsia="Times New Roman" w:hAnsi="Times New Roman" w:cs="Times New Roman"/>
                <w:i/>
                <w:iCs/>
                <w:sz w:val="24"/>
                <w:szCs w:val="24"/>
                <w:lang w:eastAsia="lv-LV"/>
              </w:rPr>
              <w:t xml:space="preserve"> </w:t>
            </w:r>
            <w:r w:rsidR="00BE790E" w:rsidRPr="005C698A">
              <w:rPr>
                <w:rFonts w:ascii="Times New Roman" w:eastAsia="Times New Roman" w:hAnsi="Times New Roman" w:cs="Times New Roman"/>
                <w:sz w:val="24"/>
                <w:szCs w:val="24"/>
                <w:lang w:eastAsia="lv-LV"/>
              </w:rPr>
              <w:t>turpmāk</w:t>
            </w:r>
            <w:r w:rsidR="00BE790E">
              <w:rPr>
                <w:rFonts w:ascii="Times New Roman" w:eastAsia="Times New Roman" w:hAnsi="Times New Roman" w:cs="Times New Roman"/>
                <w:sz w:val="24"/>
                <w:szCs w:val="24"/>
                <w:lang w:eastAsia="lv-LV"/>
              </w:rPr>
              <w:t xml:space="preserve"> – </w:t>
            </w:r>
            <w:r w:rsidR="7BEBB984" w:rsidRPr="00D61941">
              <w:rPr>
                <w:rFonts w:ascii="Times New Roman" w:eastAsia="Times New Roman" w:hAnsi="Times New Roman" w:cs="Times New Roman"/>
                <w:sz w:val="24"/>
                <w:szCs w:val="24"/>
                <w:lang w:eastAsia="lv-LV"/>
              </w:rPr>
              <w:t>LTV</w:t>
            </w:r>
            <w:r w:rsidR="00BE790E">
              <w:rPr>
                <w:rFonts w:ascii="Times New Roman" w:eastAsia="Times New Roman" w:hAnsi="Times New Roman" w:cs="Times New Roman"/>
                <w:sz w:val="24"/>
                <w:szCs w:val="24"/>
                <w:lang w:eastAsia="lv-LV"/>
              </w:rPr>
              <w:t xml:space="preserve"> rādītājs</w:t>
            </w:r>
            <w:r w:rsidR="7BEBB984" w:rsidRPr="00D61941">
              <w:rPr>
                <w:rFonts w:ascii="Times New Roman" w:eastAsia="Times New Roman" w:hAnsi="Times New Roman" w:cs="Times New Roman"/>
                <w:sz w:val="24"/>
                <w:szCs w:val="24"/>
                <w:lang w:eastAsia="lv-LV"/>
              </w:rPr>
              <w:t xml:space="preserve">) </w:t>
            </w:r>
            <w:r w:rsidR="3A909EB6" w:rsidRPr="00D61941">
              <w:rPr>
                <w:rFonts w:ascii="Times New Roman" w:eastAsia="Times New Roman" w:hAnsi="Times New Roman" w:cs="Times New Roman"/>
                <w:sz w:val="24"/>
                <w:szCs w:val="24"/>
                <w:lang w:eastAsia="lv-LV"/>
              </w:rPr>
              <w:t xml:space="preserve">rādītāja </w:t>
            </w:r>
            <w:r w:rsidRPr="00D61941">
              <w:rPr>
                <w:rFonts w:ascii="Times New Roman" w:eastAsia="Times New Roman" w:hAnsi="Times New Roman" w:cs="Times New Roman"/>
                <w:sz w:val="24"/>
                <w:szCs w:val="24"/>
                <w:lang w:eastAsia="lv-LV"/>
              </w:rPr>
              <w:t>ierobežojums</w:t>
            </w:r>
            <w:r w:rsidR="1B83E4C4" w:rsidRPr="00D61941">
              <w:rPr>
                <w:rFonts w:ascii="Times New Roman" w:eastAsia="Times New Roman" w:hAnsi="Times New Roman" w:cs="Times New Roman"/>
                <w:sz w:val="24"/>
                <w:szCs w:val="24"/>
                <w:lang w:eastAsia="lv-LV"/>
              </w:rPr>
              <w:t xml:space="preserve"> </w:t>
            </w:r>
            <w:r w:rsidR="4EF53177" w:rsidRPr="00D61941">
              <w:rPr>
                <w:rFonts w:ascii="Times New Roman" w:eastAsia="Times New Roman" w:hAnsi="Times New Roman" w:cs="Times New Roman"/>
                <w:sz w:val="24"/>
                <w:szCs w:val="24"/>
                <w:lang w:eastAsia="lv-LV"/>
              </w:rPr>
              <w:t>kredīt</w:t>
            </w:r>
            <w:r w:rsidR="3A1F81EA" w:rsidRPr="00D61941">
              <w:rPr>
                <w:rFonts w:ascii="Times New Roman" w:eastAsia="Times New Roman" w:hAnsi="Times New Roman" w:cs="Times New Roman"/>
                <w:sz w:val="24"/>
                <w:szCs w:val="24"/>
                <w:lang w:eastAsia="lv-LV"/>
              </w:rPr>
              <w:t>ie</w:t>
            </w:r>
            <w:r w:rsidR="4EF53177" w:rsidRPr="00D61941">
              <w:rPr>
                <w:rFonts w:ascii="Times New Roman" w:eastAsia="Times New Roman" w:hAnsi="Times New Roman" w:cs="Times New Roman"/>
                <w:sz w:val="24"/>
                <w:szCs w:val="24"/>
                <w:lang w:eastAsia="lv-LV"/>
              </w:rPr>
              <w:t>m</w:t>
            </w:r>
            <w:r w:rsidR="30EEED92" w:rsidRPr="00D61941">
              <w:rPr>
                <w:rFonts w:ascii="Times New Roman" w:eastAsia="Times New Roman" w:hAnsi="Times New Roman" w:cs="Times New Roman"/>
                <w:sz w:val="24"/>
                <w:szCs w:val="24"/>
                <w:lang w:eastAsia="lv-LV"/>
              </w:rPr>
              <w:t xml:space="preserve">, </w:t>
            </w:r>
            <w:r w:rsidR="598AD85B" w:rsidRPr="00D61941">
              <w:rPr>
                <w:rFonts w:ascii="Times New Roman" w:eastAsia="Times New Roman" w:hAnsi="Times New Roman" w:cs="Times New Roman"/>
                <w:sz w:val="24"/>
                <w:szCs w:val="24"/>
                <w:lang w:eastAsia="lv-LV"/>
              </w:rPr>
              <w:t>kuri</w:t>
            </w:r>
            <w:r w:rsidR="30EEED92" w:rsidRPr="00D61941">
              <w:rPr>
                <w:rFonts w:ascii="Times New Roman" w:eastAsia="Times New Roman" w:hAnsi="Times New Roman" w:cs="Times New Roman"/>
                <w:sz w:val="24"/>
                <w:szCs w:val="24"/>
                <w:lang w:eastAsia="lv-LV"/>
              </w:rPr>
              <w:t xml:space="preserve"> tiek izsniegt</w:t>
            </w:r>
            <w:r w:rsidR="68814057" w:rsidRPr="00D61941">
              <w:rPr>
                <w:rFonts w:ascii="Times New Roman" w:eastAsia="Times New Roman" w:hAnsi="Times New Roman" w:cs="Times New Roman"/>
                <w:sz w:val="24"/>
                <w:szCs w:val="24"/>
                <w:lang w:eastAsia="lv-LV"/>
              </w:rPr>
              <w:t>i</w:t>
            </w:r>
            <w:r w:rsidR="30EEED92" w:rsidRPr="00D61941">
              <w:rPr>
                <w:rFonts w:ascii="Times New Roman" w:eastAsia="Times New Roman" w:hAnsi="Times New Roman" w:cs="Times New Roman"/>
                <w:sz w:val="24"/>
                <w:szCs w:val="24"/>
                <w:lang w:eastAsia="lv-LV"/>
              </w:rPr>
              <w:t xml:space="preserve"> </w:t>
            </w:r>
            <w:r w:rsidR="1B83E4C4" w:rsidRPr="00D61941">
              <w:rPr>
                <w:rFonts w:ascii="Times New Roman" w:eastAsia="Times New Roman" w:hAnsi="Times New Roman" w:cs="Times New Roman"/>
                <w:sz w:val="24"/>
                <w:szCs w:val="24"/>
                <w:lang w:eastAsia="lv-LV"/>
              </w:rPr>
              <w:t>patērētā</w:t>
            </w:r>
            <w:r w:rsidR="4576EFFB" w:rsidRPr="00D61941">
              <w:rPr>
                <w:rFonts w:ascii="Times New Roman" w:eastAsia="Times New Roman" w:hAnsi="Times New Roman" w:cs="Times New Roman"/>
                <w:sz w:val="24"/>
                <w:szCs w:val="24"/>
                <w:lang w:eastAsia="lv-LV"/>
              </w:rPr>
              <w:t>j</w:t>
            </w:r>
            <w:r w:rsidR="006A52AC" w:rsidRPr="00D61941">
              <w:rPr>
                <w:rFonts w:ascii="Times New Roman" w:eastAsia="Times New Roman" w:hAnsi="Times New Roman" w:cs="Times New Roman"/>
                <w:sz w:val="24"/>
                <w:szCs w:val="24"/>
                <w:lang w:eastAsia="lv-LV"/>
              </w:rPr>
              <w:t>ie</w:t>
            </w:r>
            <w:r w:rsidR="7875BE3B" w:rsidRPr="00D61941">
              <w:rPr>
                <w:rFonts w:ascii="Times New Roman" w:eastAsia="Times New Roman" w:hAnsi="Times New Roman" w:cs="Times New Roman"/>
                <w:sz w:val="24"/>
                <w:szCs w:val="24"/>
                <w:lang w:eastAsia="lv-LV"/>
              </w:rPr>
              <w:t>m</w:t>
            </w:r>
            <w:r w:rsidR="6C9C36D7" w:rsidRPr="00D61941">
              <w:rPr>
                <w:rFonts w:ascii="Times New Roman" w:eastAsia="Times New Roman" w:hAnsi="Times New Roman" w:cs="Times New Roman"/>
                <w:sz w:val="24"/>
                <w:szCs w:val="24"/>
                <w:lang w:eastAsia="lv-LV"/>
              </w:rPr>
              <w:t>, kur</w:t>
            </w:r>
            <w:r w:rsidR="6E0270D6" w:rsidRPr="00D61941">
              <w:rPr>
                <w:rFonts w:ascii="Times New Roman" w:eastAsia="Times New Roman" w:hAnsi="Times New Roman" w:cs="Times New Roman"/>
                <w:sz w:val="24"/>
                <w:szCs w:val="24"/>
                <w:lang w:eastAsia="lv-LV"/>
              </w:rPr>
              <w:t>u</w:t>
            </w:r>
            <w:r w:rsidRPr="00D61941">
              <w:rPr>
                <w:rFonts w:ascii="Times New Roman" w:eastAsia="Times New Roman" w:hAnsi="Times New Roman" w:cs="Times New Roman"/>
                <w:sz w:val="24"/>
                <w:szCs w:val="24"/>
                <w:lang w:eastAsia="lv-LV"/>
              </w:rPr>
              <w:t xml:space="preserve"> </w:t>
            </w:r>
            <w:r w:rsidR="5292102A" w:rsidRPr="00D61941">
              <w:rPr>
                <w:rFonts w:ascii="Times New Roman" w:eastAsia="Times New Roman" w:hAnsi="Times New Roman" w:cs="Times New Roman"/>
                <w:sz w:val="24"/>
                <w:szCs w:val="24"/>
                <w:lang w:eastAsia="lv-LV"/>
              </w:rPr>
              <w:t>deklarēta</w:t>
            </w:r>
            <w:r w:rsidR="7649A572" w:rsidRPr="00D61941">
              <w:rPr>
                <w:rFonts w:ascii="Times New Roman" w:eastAsia="Times New Roman" w:hAnsi="Times New Roman" w:cs="Times New Roman"/>
                <w:sz w:val="24"/>
                <w:szCs w:val="24"/>
                <w:lang w:eastAsia="lv-LV"/>
              </w:rPr>
              <w:t>j</w:t>
            </w:r>
            <w:r w:rsidR="076CB8EF" w:rsidRPr="00D61941">
              <w:rPr>
                <w:rFonts w:ascii="Times New Roman" w:eastAsia="Times New Roman" w:hAnsi="Times New Roman" w:cs="Times New Roman"/>
                <w:sz w:val="24"/>
                <w:szCs w:val="24"/>
                <w:lang w:eastAsia="lv-LV"/>
              </w:rPr>
              <w:t>os</w:t>
            </w:r>
            <w:r w:rsidR="5292102A" w:rsidRPr="00D61941">
              <w:rPr>
                <w:rFonts w:ascii="Times New Roman" w:eastAsia="Times New Roman" w:hAnsi="Times New Roman" w:cs="Times New Roman"/>
                <w:sz w:val="24"/>
                <w:szCs w:val="24"/>
                <w:lang w:eastAsia="lv-LV"/>
              </w:rPr>
              <w:t xml:space="preserve"> </w:t>
            </w:r>
            <w:r w:rsidRPr="00D61941">
              <w:rPr>
                <w:rFonts w:ascii="Times New Roman" w:eastAsia="Times New Roman" w:hAnsi="Times New Roman" w:cs="Times New Roman"/>
                <w:sz w:val="24"/>
                <w:szCs w:val="24"/>
                <w:lang w:eastAsia="lv-LV"/>
              </w:rPr>
              <w:t>ienākum</w:t>
            </w:r>
            <w:r w:rsidR="274CF7D0" w:rsidRPr="00D61941">
              <w:rPr>
                <w:rFonts w:ascii="Times New Roman" w:eastAsia="Times New Roman" w:hAnsi="Times New Roman" w:cs="Times New Roman"/>
                <w:sz w:val="24"/>
                <w:szCs w:val="24"/>
                <w:lang w:eastAsia="lv-LV"/>
              </w:rPr>
              <w:t>os</w:t>
            </w:r>
            <w:r w:rsidR="1F6291DF" w:rsidRPr="00D61941">
              <w:rPr>
                <w:rFonts w:ascii="Times New Roman" w:eastAsia="Times New Roman" w:hAnsi="Times New Roman" w:cs="Times New Roman"/>
                <w:sz w:val="24"/>
                <w:szCs w:val="24"/>
                <w:lang w:eastAsia="lv-LV"/>
              </w:rPr>
              <w:t xml:space="preserve"> būtisku daļu veido ienākumi no darbībām ar nekustamo īpašumu</w:t>
            </w:r>
            <w:r w:rsidRPr="00D61941">
              <w:rPr>
                <w:rFonts w:ascii="Times New Roman" w:eastAsia="Times New Roman" w:hAnsi="Times New Roman" w:cs="Times New Roman"/>
                <w:sz w:val="24"/>
                <w:szCs w:val="24"/>
                <w:lang w:eastAsia="lv-LV"/>
              </w:rPr>
              <w:t xml:space="preserve">, </w:t>
            </w:r>
            <w:r w:rsidRPr="006D7E0A">
              <w:rPr>
                <w:rFonts w:ascii="Times New Roman" w:eastAsia="Times New Roman" w:hAnsi="Times New Roman" w:cs="Times New Roman"/>
                <w:sz w:val="24"/>
                <w:szCs w:val="24"/>
                <w:lang w:eastAsia="lv-LV"/>
              </w:rPr>
              <w:t xml:space="preserve">aizstāts ar </w:t>
            </w:r>
            <w:r w:rsidR="79EC20E7" w:rsidRPr="006D7E0A">
              <w:rPr>
                <w:rFonts w:ascii="Times New Roman" w:eastAsia="Times New Roman" w:hAnsi="Times New Roman" w:cs="Times New Roman"/>
                <w:sz w:val="24"/>
                <w:szCs w:val="24"/>
                <w:lang w:eastAsia="lv-LV"/>
              </w:rPr>
              <w:t>kvalitatīv</w:t>
            </w:r>
            <w:r w:rsidR="00AE1E56" w:rsidRPr="006D7E0A">
              <w:rPr>
                <w:rFonts w:ascii="Times New Roman" w:eastAsia="Times New Roman" w:hAnsi="Times New Roman" w:cs="Times New Roman"/>
                <w:sz w:val="24"/>
                <w:szCs w:val="24"/>
                <w:lang w:eastAsia="lv-LV"/>
              </w:rPr>
              <w:t>u</w:t>
            </w:r>
            <w:r w:rsidR="79EC20E7" w:rsidRPr="006D7E0A">
              <w:rPr>
                <w:rFonts w:ascii="Times New Roman" w:eastAsia="Times New Roman" w:hAnsi="Times New Roman" w:cs="Times New Roman"/>
                <w:sz w:val="24"/>
                <w:szCs w:val="24"/>
                <w:lang w:eastAsia="lv-LV"/>
              </w:rPr>
              <w:t xml:space="preserve"> </w:t>
            </w:r>
            <w:r w:rsidRPr="006D7E0A">
              <w:rPr>
                <w:rFonts w:ascii="Times New Roman" w:eastAsia="Times New Roman" w:hAnsi="Times New Roman" w:cs="Times New Roman"/>
                <w:sz w:val="24"/>
                <w:szCs w:val="24"/>
                <w:lang w:eastAsia="lv-LV"/>
              </w:rPr>
              <w:t>prasīb</w:t>
            </w:r>
            <w:r w:rsidR="00AE1E56" w:rsidRPr="006D7E0A">
              <w:rPr>
                <w:rFonts w:ascii="Times New Roman" w:eastAsia="Times New Roman" w:hAnsi="Times New Roman" w:cs="Times New Roman"/>
                <w:sz w:val="24"/>
                <w:szCs w:val="24"/>
                <w:lang w:eastAsia="lv-LV"/>
              </w:rPr>
              <w:t>u</w:t>
            </w:r>
            <w:r w:rsidRPr="00D61941">
              <w:rPr>
                <w:rFonts w:ascii="Times New Roman" w:eastAsia="Times New Roman" w:hAnsi="Times New Roman" w:cs="Times New Roman"/>
                <w:sz w:val="24"/>
                <w:szCs w:val="24"/>
                <w:lang w:eastAsia="lv-LV"/>
              </w:rPr>
              <w:t xml:space="preserve"> </w:t>
            </w:r>
            <w:r w:rsidR="486C33B7" w:rsidRPr="00D61941">
              <w:rPr>
                <w:rFonts w:ascii="Times New Roman" w:eastAsia="Times New Roman" w:hAnsi="Times New Roman" w:cs="Times New Roman"/>
                <w:sz w:val="24"/>
                <w:szCs w:val="24"/>
                <w:lang w:eastAsia="lv-LV"/>
              </w:rPr>
              <w:t xml:space="preserve">piesardzīgi piemērot </w:t>
            </w:r>
            <w:r w:rsidR="3D9B327E" w:rsidRPr="00D61941">
              <w:rPr>
                <w:rFonts w:ascii="Times New Roman" w:eastAsia="Times New Roman" w:hAnsi="Times New Roman" w:cs="Times New Roman"/>
                <w:sz w:val="24"/>
                <w:szCs w:val="24"/>
                <w:lang w:eastAsia="lv-LV"/>
              </w:rPr>
              <w:t xml:space="preserve">šādu ienākumu riskam </w:t>
            </w:r>
            <w:r w:rsidR="486C33B7" w:rsidRPr="00D61941">
              <w:rPr>
                <w:rFonts w:ascii="Times New Roman" w:eastAsia="Times New Roman" w:hAnsi="Times New Roman" w:cs="Times New Roman"/>
                <w:sz w:val="24"/>
                <w:szCs w:val="24"/>
                <w:lang w:eastAsia="lv-LV"/>
              </w:rPr>
              <w:t>atbilstošu LTV</w:t>
            </w:r>
            <w:r w:rsidR="51903016" w:rsidRPr="00D61941">
              <w:rPr>
                <w:rFonts w:ascii="Times New Roman" w:eastAsia="Times New Roman" w:hAnsi="Times New Roman" w:cs="Times New Roman"/>
                <w:sz w:val="24"/>
                <w:szCs w:val="24"/>
                <w:lang w:eastAsia="lv-LV"/>
              </w:rPr>
              <w:t xml:space="preserve"> </w:t>
            </w:r>
            <w:r w:rsidR="3110EF03" w:rsidRPr="00D61941">
              <w:rPr>
                <w:rFonts w:ascii="Times New Roman" w:eastAsia="Times New Roman" w:hAnsi="Times New Roman" w:cs="Times New Roman"/>
                <w:sz w:val="24"/>
                <w:szCs w:val="24"/>
                <w:lang w:eastAsia="lv-LV"/>
              </w:rPr>
              <w:t>rādītāju</w:t>
            </w:r>
            <w:r w:rsidR="486C33B7" w:rsidRPr="00D61941">
              <w:rPr>
                <w:rFonts w:ascii="Times New Roman" w:eastAsia="Times New Roman" w:hAnsi="Times New Roman" w:cs="Times New Roman"/>
                <w:sz w:val="24"/>
                <w:szCs w:val="24"/>
                <w:lang w:eastAsia="lv-LV"/>
              </w:rPr>
              <w:t>.</w:t>
            </w:r>
            <w:r w:rsidR="6671C49B" w:rsidRPr="00D61941">
              <w:rPr>
                <w:rFonts w:ascii="Times New Roman" w:eastAsia="Times New Roman" w:hAnsi="Times New Roman" w:cs="Times New Roman"/>
                <w:sz w:val="24"/>
                <w:szCs w:val="24"/>
                <w:lang w:eastAsia="lv-LV"/>
              </w:rPr>
              <w:t xml:space="preserve"> </w:t>
            </w:r>
            <w:r w:rsidR="73E05A1E" w:rsidRPr="00D61941">
              <w:rPr>
                <w:rFonts w:ascii="Times New Roman" w:eastAsia="Times New Roman" w:hAnsi="Times New Roman" w:cs="Times New Roman"/>
                <w:sz w:val="24"/>
                <w:szCs w:val="24"/>
                <w:lang w:eastAsia="lv-LV"/>
              </w:rPr>
              <w:t>Noteikumu</w:t>
            </w:r>
            <w:r w:rsidR="3678B33B" w:rsidRPr="00D61941">
              <w:rPr>
                <w:rFonts w:ascii="Times New Roman" w:eastAsia="Times New Roman" w:hAnsi="Times New Roman" w:cs="Times New Roman"/>
                <w:sz w:val="24"/>
                <w:szCs w:val="24"/>
                <w:lang w:eastAsia="lv-LV"/>
              </w:rPr>
              <w:t xml:space="preserve"> projekts</w:t>
            </w:r>
            <w:r w:rsidRPr="00D61941">
              <w:rPr>
                <w:rFonts w:ascii="Times New Roman" w:eastAsia="Times New Roman" w:hAnsi="Times New Roman" w:cs="Times New Roman"/>
                <w:sz w:val="24"/>
                <w:szCs w:val="24"/>
                <w:lang w:eastAsia="lv-LV"/>
              </w:rPr>
              <w:t xml:space="preserve"> palielinās </w:t>
            </w:r>
            <w:r w:rsidR="00BE790E" w:rsidRPr="00D61941">
              <w:rPr>
                <w:rFonts w:ascii="Times New Roman" w:eastAsia="Times New Roman" w:hAnsi="Times New Roman" w:cs="Times New Roman"/>
                <w:sz w:val="24"/>
                <w:szCs w:val="24"/>
                <w:lang w:eastAsia="lv-LV"/>
              </w:rPr>
              <w:t xml:space="preserve">iestādēm </w:t>
            </w:r>
            <w:r w:rsidR="00BE790E">
              <w:rPr>
                <w:rFonts w:ascii="Times New Roman" w:eastAsia="Times New Roman" w:hAnsi="Times New Roman" w:cs="Times New Roman"/>
                <w:sz w:val="24"/>
                <w:szCs w:val="24"/>
                <w:lang w:eastAsia="lv-LV"/>
              </w:rPr>
              <w:t xml:space="preserve">iespēju </w:t>
            </w:r>
            <w:r w:rsidRPr="00D61941">
              <w:rPr>
                <w:rFonts w:ascii="Times New Roman" w:eastAsia="Times New Roman" w:hAnsi="Times New Roman" w:cs="Times New Roman"/>
                <w:sz w:val="24"/>
                <w:szCs w:val="24"/>
                <w:lang w:eastAsia="lv-LV"/>
              </w:rPr>
              <w:t xml:space="preserve">rīkoties </w:t>
            </w:r>
            <w:r w:rsidR="00BE790E">
              <w:rPr>
                <w:rFonts w:ascii="Times New Roman" w:eastAsia="Times New Roman" w:hAnsi="Times New Roman" w:cs="Times New Roman"/>
                <w:sz w:val="24"/>
                <w:szCs w:val="24"/>
                <w:lang w:eastAsia="lv-LV"/>
              </w:rPr>
              <w:t xml:space="preserve">elastīgāk </w:t>
            </w:r>
            <w:r w:rsidRPr="00D61941">
              <w:rPr>
                <w:rFonts w:ascii="Times New Roman" w:eastAsia="Times New Roman" w:hAnsi="Times New Roman" w:cs="Times New Roman"/>
                <w:sz w:val="24"/>
                <w:szCs w:val="24"/>
                <w:lang w:eastAsia="lv-LV"/>
              </w:rPr>
              <w:t>atbilstoši iekšējiem normatīvajiem dokumentiem kreditēšanas jomā un veicinās kredītu pieejamību</w:t>
            </w:r>
            <w:r w:rsidR="6A02E907" w:rsidRPr="00D61941">
              <w:rPr>
                <w:rFonts w:ascii="Times New Roman" w:eastAsia="Times New Roman" w:hAnsi="Times New Roman" w:cs="Times New Roman"/>
                <w:sz w:val="24"/>
                <w:szCs w:val="24"/>
                <w:lang w:eastAsia="lv-LV"/>
              </w:rPr>
              <w:t>;</w:t>
            </w:r>
          </w:p>
          <w:p w14:paraId="56968D87" w14:textId="60CD4615" w:rsidR="00ED637C" w:rsidRPr="006D7E0A" w:rsidRDefault="1011D823" w:rsidP="006D7E0A">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6D7E0A">
              <w:rPr>
                <w:rFonts w:ascii="Times New Roman" w:eastAsia="Times New Roman" w:hAnsi="Times New Roman" w:cs="Times New Roman"/>
                <w:sz w:val="24"/>
                <w:szCs w:val="24"/>
                <w:lang w:eastAsia="lv-LV"/>
              </w:rPr>
              <w:t xml:space="preserve">elastīgāka pieeja </w:t>
            </w:r>
            <w:r w:rsidR="00D56483" w:rsidRPr="006D7E0A">
              <w:rPr>
                <w:rFonts w:ascii="Times New Roman" w:eastAsia="Times New Roman" w:hAnsi="Times New Roman" w:cs="Times New Roman"/>
                <w:sz w:val="24"/>
                <w:szCs w:val="24"/>
                <w:lang w:eastAsia="lv-LV"/>
              </w:rPr>
              <w:t xml:space="preserve">ieviesta </w:t>
            </w:r>
            <w:r w:rsidR="00A01570" w:rsidRPr="006D7E0A">
              <w:rPr>
                <w:rFonts w:ascii="Times New Roman" w:eastAsia="Times New Roman" w:hAnsi="Times New Roman" w:cs="Times New Roman"/>
                <w:sz w:val="24"/>
                <w:szCs w:val="24"/>
                <w:lang w:eastAsia="lv-LV"/>
              </w:rPr>
              <w:t>n</w:t>
            </w:r>
            <w:r w:rsidRPr="006D7E0A">
              <w:rPr>
                <w:rFonts w:ascii="Times New Roman" w:eastAsia="Times New Roman" w:hAnsi="Times New Roman" w:cs="Times New Roman"/>
                <w:sz w:val="24"/>
                <w:szCs w:val="24"/>
                <w:lang w:eastAsia="lv-LV"/>
              </w:rPr>
              <w:t>oteikumu projekta 8</w:t>
            </w:r>
            <w:r w:rsidR="008D2975" w:rsidRPr="006D7E0A">
              <w:rPr>
                <w:rFonts w:ascii="Times New Roman" w:eastAsia="Times New Roman" w:hAnsi="Times New Roman" w:cs="Times New Roman"/>
                <w:sz w:val="24"/>
                <w:szCs w:val="24"/>
                <w:lang w:eastAsia="lv-LV"/>
              </w:rPr>
              <w:t>3</w:t>
            </w:r>
            <w:r w:rsidRPr="006D7E0A">
              <w:rPr>
                <w:rFonts w:ascii="Times New Roman" w:eastAsia="Times New Roman" w:hAnsi="Times New Roman" w:cs="Times New Roman"/>
                <w:sz w:val="24"/>
                <w:szCs w:val="24"/>
                <w:lang w:eastAsia="lv-LV"/>
              </w:rPr>
              <w:t>.</w:t>
            </w:r>
            <w:r w:rsidR="00753511" w:rsidRPr="006D7E0A">
              <w:rPr>
                <w:rFonts w:ascii="Times New Roman" w:eastAsia="Times New Roman" w:hAnsi="Times New Roman" w:cs="Times New Roman"/>
                <w:sz w:val="24"/>
                <w:szCs w:val="24"/>
                <w:lang w:eastAsia="lv-LV"/>
              </w:rPr>
              <w:t> </w:t>
            </w:r>
            <w:r w:rsidR="27A29989" w:rsidRPr="006D7E0A">
              <w:rPr>
                <w:rFonts w:ascii="Times New Roman" w:eastAsia="Times New Roman" w:hAnsi="Times New Roman" w:cs="Times New Roman"/>
                <w:sz w:val="24"/>
                <w:szCs w:val="24"/>
                <w:lang w:eastAsia="lv-LV"/>
              </w:rPr>
              <w:t>p</w:t>
            </w:r>
            <w:r w:rsidRPr="006D7E0A">
              <w:rPr>
                <w:rFonts w:ascii="Times New Roman" w:eastAsia="Times New Roman" w:hAnsi="Times New Roman" w:cs="Times New Roman"/>
                <w:sz w:val="24"/>
                <w:szCs w:val="24"/>
                <w:lang w:eastAsia="lv-LV"/>
              </w:rPr>
              <w:t xml:space="preserve">unktā attiecībā </w:t>
            </w:r>
            <w:r w:rsidR="00AE1E56" w:rsidRPr="006D7E0A">
              <w:rPr>
                <w:rFonts w:ascii="Times New Roman" w:eastAsia="Times New Roman" w:hAnsi="Times New Roman" w:cs="Times New Roman"/>
                <w:sz w:val="24"/>
                <w:szCs w:val="24"/>
                <w:lang w:eastAsia="lv-LV"/>
              </w:rPr>
              <w:t xml:space="preserve">uz </w:t>
            </w:r>
            <w:r w:rsidR="00BA79B9" w:rsidRPr="006D7E0A">
              <w:rPr>
                <w:rFonts w:ascii="Times New Roman" w:eastAsia="Times New Roman" w:hAnsi="Times New Roman" w:cs="Times New Roman"/>
                <w:sz w:val="24"/>
                <w:szCs w:val="24"/>
                <w:lang w:eastAsia="lv-LV"/>
              </w:rPr>
              <w:t>BTL kredītiem</w:t>
            </w:r>
            <w:r w:rsidR="0A2F73E1" w:rsidRPr="006D7E0A">
              <w:rPr>
                <w:rFonts w:ascii="Times New Roman" w:eastAsia="Times New Roman" w:hAnsi="Times New Roman" w:cs="Times New Roman"/>
                <w:sz w:val="24"/>
                <w:szCs w:val="24"/>
                <w:lang w:eastAsia="lv-LV"/>
              </w:rPr>
              <w:t xml:space="preserve"> vai </w:t>
            </w:r>
            <w:r w:rsidR="008354B7" w:rsidRPr="006D7E0A">
              <w:rPr>
                <w:rFonts w:ascii="Times New Roman" w:eastAsia="Times New Roman" w:hAnsi="Times New Roman" w:cs="Times New Roman"/>
                <w:sz w:val="24"/>
                <w:szCs w:val="24"/>
                <w:lang w:eastAsia="lv-LV"/>
              </w:rPr>
              <w:t xml:space="preserve">kredītiem, kas paredz </w:t>
            </w:r>
            <w:r w:rsidR="0A2F73E1" w:rsidRPr="006D7E0A">
              <w:rPr>
                <w:rFonts w:ascii="Times New Roman" w:eastAsia="Times New Roman" w:hAnsi="Times New Roman" w:cs="Times New Roman"/>
                <w:sz w:val="24"/>
                <w:szCs w:val="24"/>
                <w:lang w:eastAsia="lv-LV"/>
              </w:rPr>
              <w:t>citādā veidā gūt ienākumus no nekustamā īpašuma</w:t>
            </w:r>
            <w:r w:rsidR="00BE790E" w:rsidRPr="006D7E0A">
              <w:rPr>
                <w:rFonts w:ascii="Times New Roman" w:eastAsia="Times New Roman" w:hAnsi="Times New Roman" w:cs="Times New Roman"/>
                <w:sz w:val="24"/>
                <w:szCs w:val="24"/>
                <w:lang w:eastAsia="lv-LV"/>
              </w:rPr>
              <w:t>,</w:t>
            </w:r>
            <w:r w:rsidR="00753511" w:rsidRPr="006D7E0A">
              <w:rPr>
                <w:rFonts w:ascii="Times New Roman" w:eastAsia="Times New Roman" w:hAnsi="Times New Roman" w:cs="Times New Roman"/>
                <w:sz w:val="24"/>
                <w:szCs w:val="24"/>
                <w:lang w:eastAsia="lv-LV"/>
              </w:rPr>
              <w:t> </w:t>
            </w:r>
            <w:r w:rsidRPr="006D7E0A">
              <w:rPr>
                <w:rFonts w:ascii="Times New Roman" w:eastAsia="Times New Roman" w:hAnsi="Times New Roman" w:cs="Times New Roman"/>
                <w:sz w:val="24"/>
                <w:szCs w:val="24"/>
                <w:lang w:eastAsia="lv-LV"/>
              </w:rPr>
              <w:t xml:space="preserve">– kvantitatīvais ierobežojums, </w:t>
            </w:r>
            <w:r w:rsidR="76DC6BCD" w:rsidRPr="006D7E0A">
              <w:rPr>
                <w:rFonts w:ascii="Times New Roman" w:eastAsia="Times New Roman" w:hAnsi="Times New Roman" w:cs="Times New Roman"/>
                <w:sz w:val="24"/>
                <w:szCs w:val="24"/>
                <w:lang w:eastAsia="lv-LV"/>
              </w:rPr>
              <w:t>kas nosaka, ka</w:t>
            </w:r>
            <w:r w:rsidRPr="006D7E0A">
              <w:rPr>
                <w:rFonts w:ascii="Times New Roman" w:eastAsia="Times New Roman" w:hAnsi="Times New Roman" w:cs="Times New Roman"/>
                <w:sz w:val="24"/>
                <w:szCs w:val="24"/>
                <w:lang w:eastAsia="lv-LV"/>
              </w:rPr>
              <w:t xml:space="preserve"> </w:t>
            </w:r>
            <w:r w:rsidR="009C1AC7" w:rsidRPr="006D7E0A">
              <w:rPr>
                <w:rFonts w:ascii="Times New Roman" w:eastAsia="Times New Roman" w:hAnsi="Times New Roman" w:cs="Times New Roman"/>
                <w:sz w:val="24"/>
                <w:szCs w:val="24"/>
                <w:lang w:eastAsia="lv-LV"/>
              </w:rPr>
              <w:t>aiz</w:t>
            </w:r>
            <w:r w:rsidRPr="006D7E0A">
              <w:rPr>
                <w:rFonts w:ascii="Times New Roman" w:eastAsia="Times New Roman" w:hAnsi="Times New Roman" w:cs="Times New Roman"/>
                <w:sz w:val="24"/>
                <w:szCs w:val="24"/>
                <w:lang w:eastAsia="lv-LV"/>
              </w:rPr>
              <w:t>ņēmēja ienākumi no nekustamā īpašuma ņemami vērā tikai 70</w:t>
            </w:r>
            <w:r w:rsidR="00753511" w:rsidRPr="006D7E0A">
              <w:rPr>
                <w:rFonts w:ascii="Times New Roman" w:eastAsia="Times New Roman" w:hAnsi="Times New Roman" w:cs="Times New Roman"/>
                <w:sz w:val="24"/>
                <w:szCs w:val="24"/>
                <w:lang w:eastAsia="lv-LV"/>
              </w:rPr>
              <w:t> </w:t>
            </w:r>
            <w:r w:rsidRPr="006D7E0A">
              <w:rPr>
                <w:rFonts w:ascii="Times New Roman" w:eastAsia="Times New Roman" w:hAnsi="Times New Roman" w:cs="Times New Roman"/>
                <w:sz w:val="24"/>
                <w:szCs w:val="24"/>
                <w:lang w:eastAsia="lv-LV"/>
              </w:rPr>
              <w:t xml:space="preserve">% apmērā, aizstāts ar kvalitatīvu, </w:t>
            </w:r>
            <w:r w:rsidR="005D4B04" w:rsidRPr="006D7E0A">
              <w:rPr>
                <w:rFonts w:ascii="Times New Roman" w:eastAsia="Times New Roman" w:hAnsi="Times New Roman" w:cs="Times New Roman"/>
                <w:sz w:val="24"/>
                <w:szCs w:val="24"/>
                <w:lang w:eastAsia="lv-LV"/>
              </w:rPr>
              <w:t>elastīgāku pieeju</w:t>
            </w:r>
            <w:r w:rsidRPr="006D7E0A">
              <w:rPr>
                <w:rFonts w:ascii="Times New Roman" w:eastAsia="Times New Roman" w:hAnsi="Times New Roman" w:cs="Times New Roman"/>
                <w:sz w:val="24"/>
                <w:szCs w:val="24"/>
                <w:lang w:eastAsia="lv-LV"/>
              </w:rPr>
              <w:t xml:space="preserve"> prasīb</w:t>
            </w:r>
            <w:r w:rsidR="005D4B04" w:rsidRPr="006D7E0A">
              <w:rPr>
                <w:rFonts w:ascii="Times New Roman" w:eastAsia="Times New Roman" w:hAnsi="Times New Roman" w:cs="Times New Roman"/>
                <w:sz w:val="24"/>
                <w:szCs w:val="24"/>
                <w:lang w:eastAsia="lv-LV"/>
              </w:rPr>
              <w:t>ai</w:t>
            </w:r>
            <w:r w:rsidRPr="006D7E0A">
              <w:rPr>
                <w:rFonts w:ascii="Times New Roman" w:eastAsia="Times New Roman" w:hAnsi="Times New Roman" w:cs="Times New Roman"/>
                <w:sz w:val="24"/>
                <w:szCs w:val="24"/>
                <w:lang w:eastAsia="lv-LV"/>
              </w:rPr>
              <w:t xml:space="preserve"> pārliecināties</w:t>
            </w:r>
            <w:r w:rsidR="6FE87CDD" w:rsidRPr="006D7E0A">
              <w:rPr>
                <w:rFonts w:ascii="Times New Roman" w:eastAsia="Times New Roman" w:hAnsi="Times New Roman" w:cs="Times New Roman"/>
                <w:sz w:val="24"/>
                <w:szCs w:val="24"/>
                <w:lang w:eastAsia="lv-LV"/>
              </w:rPr>
              <w:t>,</w:t>
            </w:r>
            <w:r w:rsidRPr="006D7E0A">
              <w:rPr>
                <w:rFonts w:ascii="Times New Roman" w:eastAsia="Times New Roman" w:hAnsi="Times New Roman" w:cs="Times New Roman"/>
                <w:sz w:val="24"/>
                <w:szCs w:val="24"/>
                <w:lang w:eastAsia="lv-LV"/>
              </w:rPr>
              <w:t xml:space="preserve"> ka prognozējamie ienākumi no finansējamā nekustamā īpašuma neveido visus plānotos </w:t>
            </w:r>
            <w:proofErr w:type="spellStart"/>
            <w:r w:rsidRPr="006D7E0A">
              <w:rPr>
                <w:rFonts w:ascii="Times New Roman" w:eastAsia="Times New Roman" w:hAnsi="Times New Roman" w:cs="Times New Roman"/>
                <w:sz w:val="24"/>
                <w:szCs w:val="24"/>
                <w:lang w:eastAsia="lv-LV"/>
              </w:rPr>
              <w:t>kredītmaksājumus</w:t>
            </w:r>
            <w:proofErr w:type="spellEnd"/>
            <w:r w:rsidRPr="006D7E0A">
              <w:rPr>
                <w:rFonts w:ascii="Times New Roman" w:eastAsia="Times New Roman" w:hAnsi="Times New Roman" w:cs="Times New Roman"/>
                <w:sz w:val="24"/>
                <w:szCs w:val="24"/>
                <w:lang w:eastAsia="lv-LV"/>
              </w:rPr>
              <w:t>.</w:t>
            </w:r>
            <w:r w:rsidR="13807383" w:rsidRPr="006D7E0A">
              <w:rPr>
                <w:rFonts w:ascii="Times New Roman" w:eastAsia="Times New Roman" w:hAnsi="Times New Roman" w:cs="Times New Roman"/>
                <w:sz w:val="24"/>
                <w:szCs w:val="24"/>
                <w:lang w:eastAsia="lv-LV"/>
              </w:rPr>
              <w:t xml:space="preserve"> </w:t>
            </w:r>
            <w:r w:rsidR="4E8E0692" w:rsidRPr="006D7E0A">
              <w:rPr>
                <w:rFonts w:ascii="Times New Roman" w:eastAsia="Times New Roman" w:hAnsi="Times New Roman" w:cs="Times New Roman"/>
                <w:sz w:val="24"/>
                <w:szCs w:val="24"/>
                <w:lang w:eastAsia="lv-LV"/>
              </w:rPr>
              <w:t>Savukārt</w:t>
            </w:r>
            <w:r w:rsidR="2988BD96" w:rsidRPr="006D7E0A">
              <w:rPr>
                <w:rFonts w:ascii="Times New Roman" w:eastAsia="Times New Roman" w:hAnsi="Times New Roman" w:cs="Times New Roman"/>
                <w:sz w:val="24"/>
                <w:szCs w:val="24"/>
                <w:lang w:eastAsia="lv-LV"/>
              </w:rPr>
              <w:t xml:space="preserve"> 70</w:t>
            </w:r>
            <w:r w:rsidR="00753511" w:rsidRPr="006D7E0A">
              <w:rPr>
                <w:rFonts w:ascii="Times New Roman" w:eastAsia="Times New Roman" w:hAnsi="Times New Roman" w:cs="Times New Roman"/>
                <w:sz w:val="24"/>
                <w:szCs w:val="24"/>
                <w:lang w:eastAsia="lv-LV"/>
              </w:rPr>
              <w:t> </w:t>
            </w:r>
            <w:r w:rsidR="2988BD96" w:rsidRPr="006D7E0A">
              <w:rPr>
                <w:rFonts w:ascii="Times New Roman" w:eastAsia="Times New Roman" w:hAnsi="Times New Roman" w:cs="Times New Roman"/>
                <w:sz w:val="24"/>
                <w:szCs w:val="24"/>
                <w:lang w:eastAsia="lv-LV"/>
              </w:rPr>
              <w:t>%</w:t>
            </w:r>
            <w:r w:rsidR="10351548" w:rsidRPr="006D7E0A">
              <w:rPr>
                <w:rFonts w:ascii="Times New Roman" w:eastAsia="Times New Roman" w:hAnsi="Times New Roman" w:cs="Times New Roman"/>
                <w:sz w:val="24"/>
                <w:szCs w:val="24"/>
                <w:lang w:eastAsia="lv-LV"/>
              </w:rPr>
              <w:t xml:space="preserve"> LTV rādītāja prasība </w:t>
            </w:r>
            <w:r w:rsidR="428232D1" w:rsidRPr="006D7E0A">
              <w:rPr>
                <w:rFonts w:ascii="Times New Roman" w:eastAsia="Times New Roman" w:hAnsi="Times New Roman" w:cs="Times New Roman"/>
                <w:sz w:val="24"/>
                <w:szCs w:val="24"/>
                <w:lang w:eastAsia="lv-LV"/>
              </w:rPr>
              <w:t xml:space="preserve">šādiem kredītiem </w:t>
            </w:r>
            <w:r w:rsidR="10351548" w:rsidRPr="006D7E0A">
              <w:rPr>
                <w:rFonts w:ascii="Times New Roman" w:eastAsia="Times New Roman" w:hAnsi="Times New Roman" w:cs="Times New Roman"/>
                <w:sz w:val="24"/>
                <w:szCs w:val="24"/>
                <w:lang w:eastAsia="lv-LV"/>
              </w:rPr>
              <w:t>atstāta negrozīta, ņemot vērā</w:t>
            </w:r>
            <w:r w:rsidR="15242AD5" w:rsidRPr="006D7E0A">
              <w:rPr>
                <w:rFonts w:ascii="Times New Roman" w:eastAsia="Times New Roman" w:hAnsi="Times New Roman" w:cs="Times New Roman"/>
                <w:sz w:val="24"/>
                <w:szCs w:val="24"/>
                <w:lang w:eastAsia="lv-LV"/>
              </w:rPr>
              <w:t xml:space="preserve"> to, ka</w:t>
            </w:r>
            <w:r w:rsidR="10351548" w:rsidRPr="006D7E0A">
              <w:rPr>
                <w:rFonts w:ascii="Times New Roman" w:eastAsia="Times New Roman" w:hAnsi="Times New Roman" w:cs="Times New Roman"/>
                <w:sz w:val="24"/>
                <w:szCs w:val="24"/>
                <w:lang w:eastAsia="lv-LV"/>
              </w:rPr>
              <w:t xml:space="preserve"> šādiem kredītiem saimnieciskās darbības veikšanai </w:t>
            </w:r>
            <w:r w:rsidR="3D9B8F5E" w:rsidRPr="006D7E0A">
              <w:rPr>
                <w:rFonts w:ascii="Times New Roman" w:eastAsia="Times New Roman" w:hAnsi="Times New Roman" w:cs="Times New Roman"/>
                <w:sz w:val="24"/>
                <w:szCs w:val="24"/>
                <w:lang w:eastAsia="lv-LV"/>
              </w:rPr>
              <w:t xml:space="preserve">pēc būtības </w:t>
            </w:r>
            <w:r w:rsidR="10351548" w:rsidRPr="006D7E0A">
              <w:rPr>
                <w:rFonts w:ascii="Times New Roman" w:eastAsia="Times New Roman" w:hAnsi="Times New Roman" w:cs="Times New Roman"/>
                <w:sz w:val="24"/>
                <w:szCs w:val="24"/>
                <w:lang w:eastAsia="lv-LV"/>
              </w:rPr>
              <w:t xml:space="preserve">ir augstāka riska pakāpe, jo to mērķis </w:t>
            </w:r>
            <w:r w:rsidR="00D56483" w:rsidRPr="006D7E0A">
              <w:rPr>
                <w:rFonts w:ascii="Times New Roman" w:eastAsia="Times New Roman" w:hAnsi="Times New Roman" w:cs="Times New Roman"/>
                <w:sz w:val="24"/>
                <w:szCs w:val="24"/>
                <w:lang w:eastAsia="lv-LV"/>
              </w:rPr>
              <w:t xml:space="preserve">ir </w:t>
            </w:r>
            <w:r w:rsidR="10351548" w:rsidRPr="006D7E0A">
              <w:rPr>
                <w:rFonts w:ascii="Times New Roman" w:eastAsia="Times New Roman" w:hAnsi="Times New Roman" w:cs="Times New Roman"/>
                <w:sz w:val="24"/>
                <w:szCs w:val="24"/>
                <w:lang w:eastAsia="lv-LV"/>
              </w:rPr>
              <w:t>ienākumu gūšan</w:t>
            </w:r>
            <w:r w:rsidR="00D56483" w:rsidRPr="006D7E0A">
              <w:rPr>
                <w:rFonts w:ascii="Times New Roman" w:eastAsia="Times New Roman" w:hAnsi="Times New Roman" w:cs="Times New Roman"/>
                <w:sz w:val="24"/>
                <w:szCs w:val="24"/>
                <w:lang w:eastAsia="lv-LV"/>
              </w:rPr>
              <w:t>a</w:t>
            </w:r>
            <w:r w:rsidR="10351548" w:rsidRPr="006D7E0A">
              <w:rPr>
                <w:rFonts w:ascii="Times New Roman" w:eastAsia="Times New Roman" w:hAnsi="Times New Roman" w:cs="Times New Roman"/>
                <w:sz w:val="24"/>
                <w:szCs w:val="24"/>
                <w:lang w:eastAsia="lv-LV"/>
              </w:rPr>
              <w:t xml:space="preserve"> no izīrēšanas vai cita veida saimnieciskās darbības ar šo nekustamo īpašumu</w:t>
            </w:r>
            <w:r w:rsidR="14165996" w:rsidRPr="006D7E0A">
              <w:rPr>
                <w:rFonts w:ascii="Times New Roman" w:eastAsia="Times New Roman" w:hAnsi="Times New Roman" w:cs="Times New Roman"/>
                <w:sz w:val="24"/>
                <w:szCs w:val="24"/>
                <w:lang w:eastAsia="lv-LV"/>
              </w:rPr>
              <w:t>.</w:t>
            </w:r>
            <w:r w:rsidR="74769D6D" w:rsidRPr="006D7E0A">
              <w:rPr>
                <w:rFonts w:ascii="Times New Roman" w:eastAsia="Times New Roman" w:hAnsi="Times New Roman" w:cs="Times New Roman"/>
                <w:sz w:val="24"/>
                <w:szCs w:val="24"/>
                <w:lang w:eastAsia="lv-LV"/>
              </w:rPr>
              <w:t xml:space="preserve"> Arī vairākās citās Eiropas </w:t>
            </w:r>
            <w:r w:rsidR="00D56483" w:rsidRPr="006D7E0A">
              <w:rPr>
                <w:rFonts w:ascii="Times New Roman" w:eastAsia="Times New Roman" w:hAnsi="Times New Roman" w:cs="Times New Roman"/>
                <w:sz w:val="24"/>
                <w:szCs w:val="24"/>
                <w:lang w:eastAsia="lv-LV"/>
              </w:rPr>
              <w:t>E</w:t>
            </w:r>
            <w:r w:rsidR="74769D6D" w:rsidRPr="006D7E0A">
              <w:rPr>
                <w:rFonts w:ascii="Times New Roman" w:eastAsia="Times New Roman" w:hAnsi="Times New Roman" w:cs="Times New Roman"/>
                <w:sz w:val="24"/>
                <w:szCs w:val="24"/>
                <w:lang w:eastAsia="lv-LV"/>
              </w:rPr>
              <w:t xml:space="preserve">konomikas zonas valstīs </w:t>
            </w:r>
            <w:r w:rsidR="57C5503B" w:rsidRPr="006D7E0A">
              <w:rPr>
                <w:rFonts w:ascii="Times New Roman" w:eastAsia="Times New Roman" w:hAnsi="Times New Roman" w:cs="Times New Roman"/>
                <w:sz w:val="24"/>
                <w:szCs w:val="24"/>
                <w:lang w:eastAsia="lv-LV"/>
              </w:rPr>
              <w:t>noteiktas</w:t>
            </w:r>
            <w:r w:rsidR="74769D6D" w:rsidRPr="006D7E0A">
              <w:rPr>
                <w:rFonts w:ascii="Times New Roman" w:eastAsia="Times New Roman" w:hAnsi="Times New Roman" w:cs="Times New Roman"/>
                <w:sz w:val="24"/>
                <w:szCs w:val="24"/>
                <w:lang w:eastAsia="lv-LV"/>
              </w:rPr>
              <w:t xml:space="preserve"> stingrākas LTV rādītāja prasības BTL kredītiem vai kredītiem</w:t>
            </w:r>
            <w:r w:rsidR="00B24DC6" w:rsidRPr="006D7E0A">
              <w:rPr>
                <w:rFonts w:ascii="Times New Roman" w:eastAsia="Times New Roman" w:hAnsi="Times New Roman" w:cs="Times New Roman"/>
                <w:sz w:val="24"/>
                <w:szCs w:val="24"/>
                <w:lang w:eastAsia="lv-LV"/>
              </w:rPr>
              <w:t xml:space="preserve">, </w:t>
            </w:r>
            <w:r w:rsidR="00AE1E56" w:rsidRPr="006D7E0A">
              <w:rPr>
                <w:rFonts w:ascii="Times New Roman" w:eastAsia="Times New Roman" w:hAnsi="Times New Roman" w:cs="Times New Roman"/>
                <w:sz w:val="24"/>
                <w:szCs w:val="24"/>
                <w:lang w:eastAsia="lv-LV"/>
              </w:rPr>
              <w:t>kuri nav izsniegti</w:t>
            </w:r>
            <w:r w:rsidR="74769D6D" w:rsidRPr="006D7E0A">
              <w:rPr>
                <w:rFonts w:ascii="Times New Roman" w:eastAsia="Times New Roman" w:hAnsi="Times New Roman" w:cs="Times New Roman"/>
                <w:sz w:val="24"/>
                <w:szCs w:val="24"/>
                <w:lang w:eastAsia="lv-LV"/>
              </w:rPr>
              <w:t xml:space="preserve"> primār</w:t>
            </w:r>
            <w:r w:rsidR="00AE1E56" w:rsidRPr="006D7E0A">
              <w:rPr>
                <w:rFonts w:ascii="Times New Roman" w:eastAsia="Times New Roman" w:hAnsi="Times New Roman" w:cs="Times New Roman"/>
                <w:sz w:val="24"/>
                <w:szCs w:val="24"/>
                <w:lang w:eastAsia="lv-LV"/>
              </w:rPr>
              <w:t>ā</w:t>
            </w:r>
            <w:r w:rsidR="74769D6D" w:rsidRPr="006D7E0A">
              <w:rPr>
                <w:rFonts w:ascii="Times New Roman" w:eastAsia="Times New Roman" w:hAnsi="Times New Roman" w:cs="Times New Roman"/>
                <w:sz w:val="24"/>
                <w:szCs w:val="24"/>
                <w:lang w:eastAsia="lv-LV"/>
              </w:rPr>
              <w:t xml:space="preserve"> un vienīg</w:t>
            </w:r>
            <w:r w:rsidR="00AE1E56" w:rsidRPr="006D7E0A">
              <w:rPr>
                <w:rFonts w:ascii="Times New Roman" w:eastAsia="Times New Roman" w:hAnsi="Times New Roman" w:cs="Times New Roman"/>
                <w:sz w:val="24"/>
                <w:szCs w:val="24"/>
                <w:lang w:eastAsia="lv-LV"/>
              </w:rPr>
              <w:t>ā</w:t>
            </w:r>
            <w:r w:rsidR="74769D6D" w:rsidRPr="006D7E0A">
              <w:rPr>
                <w:rFonts w:ascii="Times New Roman" w:eastAsia="Times New Roman" w:hAnsi="Times New Roman" w:cs="Times New Roman"/>
                <w:sz w:val="24"/>
                <w:szCs w:val="24"/>
                <w:lang w:eastAsia="lv-LV"/>
              </w:rPr>
              <w:t xml:space="preserve"> mājok</w:t>
            </w:r>
            <w:r w:rsidR="00AE1E56" w:rsidRPr="006D7E0A">
              <w:rPr>
                <w:rFonts w:ascii="Times New Roman" w:eastAsia="Times New Roman" w:hAnsi="Times New Roman" w:cs="Times New Roman"/>
                <w:sz w:val="24"/>
                <w:szCs w:val="24"/>
                <w:lang w:eastAsia="lv-LV"/>
              </w:rPr>
              <w:t>ļa iegādei</w:t>
            </w:r>
            <w:r w:rsidR="00FF67A8" w:rsidRPr="006D7E0A">
              <w:rPr>
                <w:rFonts w:ascii="Times New Roman" w:eastAsia="Times New Roman" w:hAnsi="Times New Roman" w:cs="Times New Roman"/>
                <w:sz w:val="24"/>
                <w:szCs w:val="24"/>
                <w:lang w:eastAsia="lv-LV"/>
              </w:rPr>
              <w:t>;</w:t>
            </w:r>
          </w:p>
          <w:p w14:paraId="6540B050" w14:textId="4B6BC398" w:rsidR="00A47D6C" w:rsidRPr="00796115" w:rsidRDefault="009C2644"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noteikumu projekts papildināts ar </w:t>
            </w:r>
            <w:r w:rsidR="003E10C8" w:rsidRPr="00796115">
              <w:rPr>
                <w:rFonts w:ascii="Times New Roman" w:eastAsia="Times New Roman" w:hAnsi="Times New Roman" w:cs="Times New Roman"/>
                <w:sz w:val="24"/>
                <w:szCs w:val="24"/>
                <w:lang w:eastAsia="lv-LV"/>
              </w:rPr>
              <w:t>99</w:t>
            </w:r>
            <w:r w:rsidR="00A333F7"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Pr="00796115">
              <w:rPr>
                <w:rFonts w:ascii="Times New Roman" w:eastAsia="Times New Roman" w:hAnsi="Times New Roman" w:cs="Times New Roman"/>
                <w:sz w:val="24"/>
                <w:szCs w:val="24"/>
                <w:lang w:eastAsia="lv-LV"/>
              </w:rPr>
              <w:t>punktu</w:t>
            </w:r>
            <w:r w:rsidR="00A333F7" w:rsidRPr="00796115">
              <w:rPr>
                <w:rFonts w:ascii="Times New Roman" w:eastAsia="Times New Roman" w:hAnsi="Times New Roman" w:cs="Times New Roman"/>
                <w:sz w:val="24"/>
                <w:szCs w:val="24"/>
                <w:lang w:eastAsia="lv-LV"/>
              </w:rPr>
              <w:t xml:space="preserve">, kas nosaka iestādei pienākumu iekšējos normatīvajos dokumentos noteikt </w:t>
            </w:r>
            <w:r w:rsidR="001E3A9E" w:rsidRPr="00796115">
              <w:rPr>
                <w:rFonts w:ascii="Times New Roman" w:eastAsia="Times New Roman" w:hAnsi="Times New Roman" w:cs="Times New Roman"/>
                <w:sz w:val="24"/>
                <w:szCs w:val="24"/>
                <w:lang w:eastAsia="lv-LV"/>
              </w:rPr>
              <w:t>kritērijus</w:t>
            </w:r>
            <w:r w:rsidR="00A333F7" w:rsidRPr="00796115">
              <w:rPr>
                <w:rFonts w:ascii="Times New Roman" w:eastAsia="Times New Roman" w:hAnsi="Times New Roman" w:cs="Times New Roman"/>
                <w:sz w:val="24"/>
                <w:szCs w:val="24"/>
                <w:lang w:eastAsia="lv-LV"/>
              </w:rPr>
              <w:t>, k</w:t>
            </w:r>
            <w:r w:rsidR="005376DA" w:rsidRPr="00796115">
              <w:rPr>
                <w:rFonts w:ascii="Times New Roman" w:eastAsia="Times New Roman" w:hAnsi="Times New Roman" w:cs="Times New Roman"/>
                <w:sz w:val="24"/>
                <w:szCs w:val="24"/>
                <w:lang w:eastAsia="lv-LV"/>
              </w:rPr>
              <w:t>ad tā</w:t>
            </w:r>
            <w:r w:rsidR="0047189F" w:rsidRPr="00796115">
              <w:rPr>
                <w:rFonts w:ascii="Times New Roman" w:eastAsia="Times New Roman" w:hAnsi="Times New Roman" w:cs="Times New Roman"/>
                <w:sz w:val="24"/>
                <w:szCs w:val="24"/>
                <w:lang w:eastAsia="lv-LV"/>
              </w:rPr>
              <w:t xml:space="preserve">, </w:t>
            </w:r>
            <w:r w:rsidR="0022531E" w:rsidRPr="00796115">
              <w:rPr>
                <w:rFonts w:ascii="Times New Roman" w:eastAsia="Times New Roman" w:hAnsi="Times New Roman" w:cs="Times New Roman"/>
                <w:sz w:val="24"/>
                <w:szCs w:val="24"/>
                <w:lang w:eastAsia="lv-LV"/>
              </w:rPr>
              <w:t>pār</w:t>
            </w:r>
            <w:r w:rsidR="0047189F" w:rsidRPr="00796115">
              <w:rPr>
                <w:rFonts w:ascii="Times New Roman" w:eastAsia="Times New Roman" w:hAnsi="Times New Roman" w:cs="Times New Roman"/>
                <w:sz w:val="24"/>
                <w:szCs w:val="24"/>
                <w:lang w:eastAsia="lv-LV"/>
              </w:rPr>
              <w:t>finansējot kredītsaistības no citas iestādes</w:t>
            </w:r>
            <w:r w:rsidR="00EF34DB" w:rsidRPr="00796115">
              <w:rPr>
                <w:rFonts w:ascii="Times New Roman" w:eastAsia="Times New Roman" w:hAnsi="Times New Roman" w:cs="Times New Roman"/>
                <w:sz w:val="24"/>
                <w:szCs w:val="24"/>
                <w:lang w:eastAsia="lv-LV"/>
              </w:rPr>
              <w:t xml:space="preserve"> vai finanšu iestādes</w:t>
            </w:r>
            <w:r w:rsidR="0047189F" w:rsidRPr="00796115">
              <w:rPr>
                <w:rFonts w:ascii="Times New Roman" w:eastAsia="Times New Roman" w:hAnsi="Times New Roman" w:cs="Times New Roman"/>
                <w:sz w:val="24"/>
                <w:szCs w:val="24"/>
                <w:lang w:eastAsia="lv-LV"/>
              </w:rPr>
              <w:t>,</w:t>
            </w:r>
            <w:r w:rsidR="005376DA" w:rsidRPr="00796115">
              <w:rPr>
                <w:rFonts w:ascii="Times New Roman" w:eastAsia="Times New Roman" w:hAnsi="Times New Roman" w:cs="Times New Roman"/>
                <w:sz w:val="24"/>
                <w:szCs w:val="24"/>
                <w:lang w:eastAsia="lv-LV"/>
              </w:rPr>
              <w:t xml:space="preserve"> pieprasa</w:t>
            </w:r>
            <w:r w:rsidR="00753C22" w:rsidRPr="00796115">
              <w:rPr>
                <w:rFonts w:ascii="Times New Roman" w:eastAsia="Times New Roman" w:hAnsi="Times New Roman" w:cs="Times New Roman"/>
                <w:sz w:val="24"/>
                <w:szCs w:val="24"/>
                <w:lang w:eastAsia="lv-LV"/>
              </w:rPr>
              <w:t xml:space="preserve"> aizņēmējam</w:t>
            </w:r>
            <w:r w:rsidR="0047189F" w:rsidRPr="00796115">
              <w:rPr>
                <w:rFonts w:ascii="Times New Roman" w:eastAsia="Times New Roman" w:hAnsi="Times New Roman" w:cs="Times New Roman"/>
                <w:sz w:val="24"/>
                <w:szCs w:val="24"/>
                <w:lang w:eastAsia="lv-LV"/>
              </w:rPr>
              <w:t xml:space="preserve"> jaunu nodrošinājuma novērtē</w:t>
            </w:r>
            <w:r w:rsidR="0011371B" w:rsidRPr="00796115">
              <w:rPr>
                <w:rFonts w:ascii="Times New Roman" w:eastAsia="Times New Roman" w:hAnsi="Times New Roman" w:cs="Times New Roman"/>
                <w:sz w:val="24"/>
                <w:szCs w:val="24"/>
                <w:lang w:eastAsia="lv-LV"/>
              </w:rPr>
              <w:t>jumu, lai</w:t>
            </w:r>
            <w:r w:rsidR="007F77B8" w:rsidRPr="00796115">
              <w:rPr>
                <w:rFonts w:ascii="Times New Roman" w:eastAsia="Times New Roman" w:hAnsi="Times New Roman" w:cs="Times New Roman"/>
                <w:sz w:val="24"/>
                <w:szCs w:val="24"/>
                <w:lang w:eastAsia="lv-LV"/>
              </w:rPr>
              <w:t xml:space="preserve"> </w:t>
            </w:r>
            <w:r w:rsidR="00540255" w:rsidRPr="00796115">
              <w:rPr>
                <w:rFonts w:ascii="Times New Roman" w:eastAsia="Times New Roman" w:hAnsi="Times New Roman" w:cs="Times New Roman"/>
                <w:sz w:val="24"/>
                <w:szCs w:val="24"/>
                <w:lang w:eastAsia="lv-LV"/>
              </w:rPr>
              <w:t xml:space="preserve">tā </w:t>
            </w:r>
            <w:r w:rsidR="007F77B8" w:rsidRPr="00796115">
              <w:rPr>
                <w:rFonts w:ascii="Times New Roman" w:eastAsia="Times New Roman" w:hAnsi="Times New Roman" w:cs="Times New Roman"/>
                <w:sz w:val="24"/>
                <w:szCs w:val="24"/>
                <w:lang w:eastAsia="lv-LV"/>
              </w:rPr>
              <w:t xml:space="preserve">varētu veikt </w:t>
            </w:r>
            <w:r w:rsidR="009D033B" w:rsidRPr="00796115">
              <w:rPr>
                <w:rFonts w:ascii="Times New Roman" w:eastAsia="Times New Roman" w:hAnsi="Times New Roman" w:cs="Times New Roman"/>
                <w:sz w:val="24"/>
                <w:szCs w:val="24"/>
                <w:lang w:eastAsia="lv-LV"/>
              </w:rPr>
              <w:t>ar darījumu saistītā kredītriska novērtēšanu;</w:t>
            </w:r>
          </w:p>
          <w:p w14:paraId="0992133F" w14:textId="1F4C460F" w:rsidR="00AA6728" w:rsidRPr="00796115" w:rsidRDefault="00A01570"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796115">
              <w:rPr>
                <w:rFonts w:ascii="Times New Roman" w:eastAsia="Times New Roman" w:hAnsi="Times New Roman" w:cs="Times New Roman"/>
                <w:sz w:val="24"/>
                <w:szCs w:val="24"/>
                <w:lang w:eastAsia="lv-LV"/>
              </w:rPr>
              <w:t>n</w:t>
            </w:r>
            <w:r w:rsidR="67D7BBDA" w:rsidRPr="00796115">
              <w:rPr>
                <w:rFonts w:ascii="Times New Roman" w:eastAsia="Times New Roman" w:hAnsi="Times New Roman" w:cs="Times New Roman"/>
                <w:sz w:val="24"/>
                <w:szCs w:val="24"/>
                <w:lang w:eastAsia="lv-LV"/>
              </w:rPr>
              <w:t>oteiku</w:t>
            </w:r>
            <w:r w:rsidR="145B576E" w:rsidRPr="00796115">
              <w:rPr>
                <w:rFonts w:ascii="Times New Roman" w:eastAsia="Times New Roman" w:hAnsi="Times New Roman" w:cs="Times New Roman"/>
                <w:sz w:val="24"/>
                <w:szCs w:val="24"/>
                <w:lang w:eastAsia="lv-LV"/>
              </w:rPr>
              <w:t>mu projekta 16</w:t>
            </w:r>
            <w:r w:rsidR="007D70C5" w:rsidRPr="00796115">
              <w:rPr>
                <w:rFonts w:ascii="Times New Roman" w:eastAsia="Times New Roman" w:hAnsi="Times New Roman" w:cs="Times New Roman"/>
                <w:sz w:val="24"/>
                <w:szCs w:val="24"/>
                <w:lang w:eastAsia="lv-LV"/>
              </w:rPr>
              <w:t>5</w:t>
            </w:r>
            <w:r w:rsidR="145B576E"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145B576E" w:rsidRPr="00796115">
              <w:rPr>
                <w:rFonts w:ascii="Times New Roman" w:eastAsia="Times New Roman" w:hAnsi="Times New Roman" w:cs="Times New Roman"/>
                <w:sz w:val="24"/>
                <w:szCs w:val="24"/>
                <w:lang w:eastAsia="lv-LV"/>
              </w:rPr>
              <w:t xml:space="preserve">punktā </w:t>
            </w:r>
            <w:r w:rsidR="0B9359AA" w:rsidRPr="00796115">
              <w:rPr>
                <w:rFonts w:ascii="Times New Roman" w:eastAsia="Times New Roman" w:hAnsi="Times New Roman" w:cs="Times New Roman"/>
                <w:sz w:val="24"/>
                <w:szCs w:val="24"/>
                <w:lang w:eastAsia="lv-LV"/>
              </w:rPr>
              <w:t>izslēgts</w:t>
            </w:r>
            <w:r w:rsidR="1448B108" w:rsidRPr="00796115">
              <w:rPr>
                <w:rFonts w:ascii="Times New Roman" w:eastAsia="Times New Roman" w:hAnsi="Times New Roman" w:cs="Times New Roman"/>
                <w:sz w:val="24"/>
                <w:szCs w:val="24"/>
                <w:lang w:eastAsia="lv-LV"/>
              </w:rPr>
              <w:t xml:space="preserve"> </w:t>
            </w:r>
            <w:r w:rsidR="0B9359AA" w:rsidRPr="00796115">
              <w:rPr>
                <w:rFonts w:ascii="Times New Roman" w:eastAsia="Times New Roman" w:hAnsi="Times New Roman" w:cs="Times New Roman"/>
                <w:sz w:val="24"/>
                <w:szCs w:val="24"/>
                <w:lang w:eastAsia="lv-LV"/>
              </w:rPr>
              <w:t>precīzs laika nogrieznis, kas pārskatīšanas pasākumu piemērošanas kontekstā ir uzskatāms par īslaicīgu, tādējādi padarot normu elastīgāku;</w:t>
            </w:r>
          </w:p>
          <w:p w14:paraId="010B6B80" w14:textId="682D8339" w:rsidR="00D62F80" w:rsidRDefault="00A01570"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796115">
              <w:rPr>
                <w:rFonts w:ascii="Times New Roman" w:eastAsia="Times New Roman" w:hAnsi="Times New Roman" w:cs="Times New Roman"/>
                <w:sz w:val="24"/>
                <w:szCs w:val="24"/>
                <w:lang w:eastAsia="lv-LV"/>
              </w:rPr>
              <w:t>n</w:t>
            </w:r>
            <w:r w:rsidR="75FDF7C0" w:rsidRPr="00796115">
              <w:rPr>
                <w:rFonts w:ascii="Times New Roman" w:eastAsia="Times New Roman" w:hAnsi="Times New Roman" w:cs="Times New Roman"/>
                <w:sz w:val="24"/>
                <w:szCs w:val="24"/>
                <w:lang w:eastAsia="lv-LV"/>
              </w:rPr>
              <w:t>oteikumu projekta 21</w:t>
            </w:r>
            <w:r w:rsidR="00870E48" w:rsidRPr="00796115">
              <w:rPr>
                <w:rFonts w:ascii="Times New Roman" w:eastAsia="Times New Roman" w:hAnsi="Times New Roman" w:cs="Times New Roman"/>
                <w:sz w:val="24"/>
                <w:szCs w:val="24"/>
                <w:lang w:eastAsia="lv-LV"/>
              </w:rPr>
              <w:t>8</w:t>
            </w:r>
            <w:r w:rsidR="75FDF7C0"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75FDF7C0" w:rsidRPr="00796115">
              <w:rPr>
                <w:rFonts w:ascii="Times New Roman" w:eastAsia="Times New Roman" w:hAnsi="Times New Roman" w:cs="Times New Roman"/>
                <w:sz w:val="24"/>
                <w:szCs w:val="24"/>
                <w:lang w:eastAsia="lv-LV"/>
              </w:rPr>
              <w:t>punktā izslēgta</w:t>
            </w:r>
            <w:r w:rsidR="75FDF7C0" w:rsidRPr="536E3942">
              <w:rPr>
                <w:rFonts w:ascii="Times New Roman" w:eastAsia="Times New Roman" w:hAnsi="Times New Roman" w:cs="Times New Roman"/>
                <w:sz w:val="24"/>
                <w:szCs w:val="24"/>
                <w:lang w:eastAsia="lv-LV"/>
              </w:rPr>
              <w:t xml:space="preserve"> prasība sniegt pārņemto aktīvu realizācijas plānu, jo </w:t>
            </w:r>
            <w:r w:rsidR="2D509B31" w:rsidRPr="536E3942">
              <w:rPr>
                <w:rFonts w:ascii="Times New Roman" w:eastAsia="Times New Roman" w:hAnsi="Times New Roman" w:cs="Times New Roman"/>
                <w:sz w:val="24"/>
                <w:szCs w:val="24"/>
                <w:lang w:eastAsia="lv-LV"/>
              </w:rPr>
              <w:t>Noteikum</w:t>
            </w:r>
            <w:r w:rsidR="00BE790E">
              <w:rPr>
                <w:rFonts w:ascii="Times New Roman" w:eastAsia="Times New Roman" w:hAnsi="Times New Roman" w:cs="Times New Roman"/>
                <w:sz w:val="24"/>
                <w:szCs w:val="24"/>
                <w:lang w:eastAsia="lv-LV"/>
              </w:rPr>
              <w:t>os</w:t>
            </w:r>
            <w:r w:rsidR="2D509B31" w:rsidRPr="536E3942">
              <w:rPr>
                <w:rFonts w:ascii="Times New Roman" w:eastAsia="Times New Roman" w:hAnsi="Times New Roman" w:cs="Times New Roman"/>
                <w:sz w:val="24"/>
                <w:szCs w:val="24"/>
                <w:lang w:eastAsia="lv-LV"/>
              </w:rPr>
              <w:t xml:space="preserve"> Nr.</w:t>
            </w:r>
            <w:r w:rsidR="00753511">
              <w:rPr>
                <w:rFonts w:ascii="Times New Roman" w:eastAsia="Times New Roman" w:hAnsi="Times New Roman" w:cs="Times New Roman"/>
                <w:sz w:val="24"/>
                <w:szCs w:val="24"/>
                <w:lang w:eastAsia="lv-LV"/>
              </w:rPr>
              <w:t> </w:t>
            </w:r>
            <w:r w:rsidR="2D509B31" w:rsidRPr="536E3942">
              <w:rPr>
                <w:rFonts w:ascii="Times New Roman" w:eastAsia="Times New Roman" w:hAnsi="Times New Roman" w:cs="Times New Roman"/>
                <w:sz w:val="24"/>
                <w:szCs w:val="24"/>
                <w:lang w:eastAsia="lv-LV"/>
              </w:rPr>
              <w:t xml:space="preserve">242 paredzētais pārejas periods ir noslēdzies, turklāt ziņošanas par pārņemtajiem nekustamajiem īpašumiem </w:t>
            </w:r>
            <w:r w:rsidR="00BE790E" w:rsidRPr="536E3942">
              <w:rPr>
                <w:rFonts w:ascii="Times New Roman" w:eastAsia="Times New Roman" w:hAnsi="Times New Roman" w:cs="Times New Roman"/>
                <w:sz w:val="24"/>
                <w:szCs w:val="24"/>
                <w:lang w:eastAsia="lv-LV"/>
              </w:rPr>
              <w:t xml:space="preserve">prasības </w:t>
            </w:r>
            <w:r w:rsidR="2D509B31" w:rsidRPr="536E3942">
              <w:rPr>
                <w:rFonts w:ascii="Times New Roman" w:eastAsia="Times New Roman" w:hAnsi="Times New Roman" w:cs="Times New Roman"/>
                <w:sz w:val="24"/>
                <w:szCs w:val="24"/>
                <w:lang w:eastAsia="lv-LV"/>
              </w:rPr>
              <w:t xml:space="preserve">tiek pārceltas uz </w:t>
            </w:r>
            <w:r w:rsidR="003E48A9">
              <w:rPr>
                <w:rFonts w:ascii="Times New Roman" w:eastAsia="Times New Roman" w:hAnsi="Times New Roman" w:cs="Times New Roman"/>
                <w:sz w:val="24"/>
                <w:szCs w:val="24"/>
                <w:lang w:eastAsia="lv-LV"/>
              </w:rPr>
              <w:t>n</w:t>
            </w:r>
            <w:r w:rsidR="2D509B31" w:rsidRPr="536E3942">
              <w:rPr>
                <w:rFonts w:ascii="Times New Roman" w:eastAsia="Times New Roman" w:hAnsi="Times New Roman" w:cs="Times New Roman"/>
                <w:sz w:val="24"/>
                <w:szCs w:val="24"/>
                <w:lang w:eastAsia="lv-LV"/>
              </w:rPr>
              <w:t>oteikumu projekta 9.</w:t>
            </w:r>
            <w:r w:rsidR="00753511">
              <w:rPr>
                <w:rFonts w:ascii="Times New Roman" w:eastAsia="Times New Roman" w:hAnsi="Times New Roman" w:cs="Times New Roman"/>
                <w:sz w:val="24"/>
                <w:szCs w:val="24"/>
                <w:lang w:eastAsia="lv-LV"/>
              </w:rPr>
              <w:t> </w:t>
            </w:r>
            <w:r w:rsidR="2D509B31" w:rsidRPr="536E3942">
              <w:rPr>
                <w:rFonts w:ascii="Times New Roman" w:eastAsia="Times New Roman" w:hAnsi="Times New Roman" w:cs="Times New Roman"/>
                <w:sz w:val="24"/>
                <w:szCs w:val="24"/>
                <w:lang w:eastAsia="lv-LV"/>
              </w:rPr>
              <w:t>nodaļu;</w:t>
            </w:r>
          </w:p>
          <w:p w14:paraId="198697F0" w14:textId="08A4FFBB" w:rsidR="004E43BA" w:rsidRDefault="003E48A9"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1E540C5F" w:rsidRPr="536E3942">
              <w:rPr>
                <w:rFonts w:ascii="Times New Roman" w:eastAsia="Times New Roman" w:hAnsi="Times New Roman" w:cs="Times New Roman"/>
                <w:sz w:val="24"/>
                <w:szCs w:val="24"/>
                <w:lang w:eastAsia="lv-LV"/>
              </w:rPr>
              <w:t xml:space="preserve">oteikumu projekta </w:t>
            </w:r>
            <w:r w:rsidR="1E540C5F" w:rsidRPr="00796115">
              <w:rPr>
                <w:rFonts w:ascii="Times New Roman" w:eastAsia="Times New Roman" w:hAnsi="Times New Roman" w:cs="Times New Roman"/>
                <w:sz w:val="24"/>
                <w:szCs w:val="24"/>
                <w:lang w:eastAsia="lv-LV"/>
              </w:rPr>
              <w:t>22</w:t>
            </w:r>
            <w:r w:rsidR="002E2189" w:rsidRPr="00796115">
              <w:rPr>
                <w:rFonts w:ascii="Times New Roman" w:eastAsia="Times New Roman" w:hAnsi="Times New Roman" w:cs="Times New Roman"/>
                <w:sz w:val="24"/>
                <w:szCs w:val="24"/>
                <w:lang w:eastAsia="lv-LV"/>
              </w:rPr>
              <w:t>2</w:t>
            </w:r>
            <w:r w:rsidR="1E540C5F"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1E540C5F" w:rsidRPr="00796115">
              <w:rPr>
                <w:rFonts w:ascii="Times New Roman" w:eastAsia="Times New Roman" w:hAnsi="Times New Roman" w:cs="Times New Roman"/>
                <w:sz w:val="24"/>
                <w:szCs w:val="24"/>
                <w:lang w:eastAsia="lv-LV"/>
              </w:rPr>
              <w:t>punktā tiek mainītas minimāl</w:t>
            </w:r>
            <w:r w:rsidR="00BE790E">
              <w:rPr>
                <w:rFonts w:ascii="Times New Roman" w:eastAsia="Times New Roman" w:hAnsi="Times New Roman" w:cs="Times New Roman"/>
                <w:sz w:val="24"/>
                <w:szCs w:val="24"/>
                <w:lang w:eastAsia="lv-LV"/>
              </w:rPr>
              <w:t>ā</w:t>
            </w:r>
            <w:r w:rsidR="1E540C5F" w:rsidRPr="00796115">
              <w:rPr>
                <w:rFonts w:ascii="Times New Roman" w:eastAsia="Times New Roman" w:hAnsi="Times New Roman" w:cs="Times New Roman"/>
                <w:sz w:val="24"/>
                <w:szCs w:val="24"/>
                <w:lang w:eastAsia="lv-LV"/>
              </w:rPr>
              <w:t xml:space="preserve"> uzkrājumu līme</w:t>
            </w:r>
            <w:r w:rsidR="00BE790E">
              <w:rPr>
                <w:rFonts w:ascii="Times New Roman" w:eastAsia="Times New Roman" w:hAnsi="Times New Roman" w:cs="Times New Roman"/>
                <w:sz w:val="24"/>
                <w:szCs w:val="24"/>
                <w:lang w:eastAsia="lv-LV"/>
              </w:rPr>
              <w:t>ņa</w:t>
            </w:r>
            <w:r w:rsidR="1E540C5F" w:rsidRPr="00796115">
              <w:rPr>
                <w:rFonts w:ascii="Times New Roman" w:eastAsia="Times New Roman" w:hAnsi="Times New Roman" w:cs="Times New Roman"/>
                <w:sz w:val="24"/>
                <w:szCs w:val="24"/>
                <w:lang w:eastAsia="lv-LV"/>
              </w:rPr>
              <w:t xml:space="preserve"> </w:t>
            </w:r>
            <w:proofErr w:type="spellStart"/>
            <w:r w:rsidR="1E540C5F" w:rsidRPr="00796115">
              <w:rPr>
                <w:rFonts w:ascii="Times New Roman" w:eastAsia="Times New Roman" w:hAnsi="Times New Roman" w:cs="Times New Roman"/>
                <w:sz w:val="24"/>
                <w:szCs w:val="24"/>
                <w:lang w:eastAsia="lv-LV"/>
              </w:rPr>
              <w:t>prudenciā</w:t>
            </w:r>
            <w:r w:rsidR="1A4B01F1" w:rsidRPr="00796115">
              <w:rPr>
                <w:rFonts w:ascii="Times New Roman" w:eastAsia="Times New Roman" w:hAnsi="Times New Roman" w:cs="Times New Roman"/>
                <w:sz w:val="24"/>
                <w:szCs w:val="24"/>
                <w:lang w:eastAsia="lv-LV"/>
              </w:rPr>
              <w:t>lie</w:t>
            </w:r>
            <w:r w:rsidR="1E540C5F" w:rsidRPr="00796115">
              <w:rPr>
                <w:rFonts w:ascii="Times New Roman" w:eastAsia="Times New Roman" w:hAnsi="Times New Roman" w:cs="Times New Roman"/>
                <w:sz w:val="24"/>
                <w:szCs w:val="24"/>
                <w:lang w:eastAsia="lv-LV"/>
              </w:rPr>
              <w:t>m</w:t>
            </w:r>
            <w:proofErr w:type="spellEnd"/>
            <w:r w:rsidR="1E540C5F" w:rsidRPr="00796115">
              <w:rPr>
                <w:rFonts w:ascii="Times New Roman" w:eastAsia="Times New Roman" w:hAnsi="Times New Roman" w:cs="Times New Roman"/>
                <w:sz w:val="24"/>
                <w:szCs w:val="24"/>
                <w:lang w:eastAsia="lv-LV"/>
              </w:rPr>
              <w:t xml:space="preserve"> </w:t>
            </w:r>
            <w:r w:rsidR="1A4B01F1" w:rsidRPr="00796115">
              <w:rPr>
                <w:rFonts w:ascii="Times New Roman" w:eastAsia="Times New Roman" w:hAnsi="Times New Roman" w:cs="Times New Roman"/>
                <w:sz w:val="24"/>
                <w:szCs w:val="24"/>
                <w:lang w:eastAsia="lv-LV"/>
              </w:rPr>
              <w:t>mērķiem</w:t>
            </w:r>
            <w:r w:rsidR="4635AC7C" w:rsidRPr="00796115">
              <w:rPr>
                <w:rFonts w:ascii="Times New Roman" w:eastAsia="Times New Roman" w:hAnsi="Times New Roman" w:cs="Times New Roman"/>
                <w:sz w:val="24"/>
                <w:szCs w:val="24"/>
                <w:lang w:eastAsia="lv-LV"/>
              </w:rPr>
              <w:t xml:space="preserve"> </w:t>
            </w:r>
            <w:r w:rsidR="00BE790E" w:rsidRPr="00796115">
              <w:rPr>
                <w:rFonts w:ascii="Times New Roman" w:eastAsia="Times New Roman" w:hAnsi="Times New Roman" w:cs="Times New Roman"/>
                <w:sz w:val="24"/>
                <w:szCs w:val="24"/>
                <w:lang w:eastAsia="lv-LV"/>
              </w:rPr>
              <w:t xml:space="preserve">prasības </w:t>
            </w:r>
            <w:r w:rsidR="4635AC7C" w:rsidRPr="00796115">
              <w:rPr>
                <w:rFonts w:ascii="Times New Roman" w:eastAsia="Times New Roman" w:hAnsi="Times New Roman" w:cs="Times New Roman"/>
                <w:sz w:val="24"/>
                <w:szCs w:val="24"/>
                <w:lang w:eastAsia="lv-LV"/>
              </w:rPr>
              <w:t>tā, lai visiem kredītiem neatkarīgi no piešķiršanas brīža būtu piemērojami vienādi minimāl</w:t>
            </w:r>
            <w:r w:rsidR="00BE790E">
              <w:rPr>
                <w:rFonts w:ascii="Times New Roman" w:eastAsia="Times New Roman" w:hAnsi="Times New Roman" w:cs="Times New Roman"/>
                <w:sz w:val="24"/>
                <w:szCs w:val="24"/>
                <w:lang w:eastAsia="lv-LV"/>
              </w:rPr>
              <w:t>ā</w:t>
            </w:r>
            <w:r w:rsidR="4635AC7C" w:rsidRPr="00796115">
              <w:rPr>
                <w:rFonts w:ascii="Times New Roman" w:eastAsia="Times New Roman" w:hAnsi="Times New Roman" w:cs="Times New Roman"/>
                <w:sz w:val="24"/>
                <w:szCs w:val="24"/>
                <w:lang w:eastAsia="lv-LV"/>
              </w:rPr>
              <w:t xml:space="preserve"> uzkrājumu līme</w:t>
            </w:r>
            <w:r w:rsidR="00BE790E">
              <w:rPr>
                <w:rFonts w:ascii="Times New Roman" w:eastAsia="Times New Roman" w:hAnsi="Times New Roman" w:cs="Times New Roman"/>
                <w:sz w:val="24"/>
                <w:szCs w:val="24"/>
                <w:lang w:eastAsia="lv-LV"/>
              </w:rPr>
              <w:t>ņa</w:t>
            </w:r>
            <w:r w:rsidR="4635AC7C" w:rsidRPr="00796115">
              <w:rPr>
                <w:rFonts w:ascii="Times New Roman" w:eastAsia="Times New Roman" w:hAnsi="Times New Roman" w:cs="Times New Roman"/>
                <w:sz w:val="24"/>
                <w:szCs w:val="24"/>
                <w:lang w:eastAsia="lv-LV"/>
              </w:rPr>
              <w:t xml:space="preserve"> </w:t>
            </w:r>
            <w:r w:rsidR="00BE790E" w:rsidRPr="00796115">
              <w:rPr>
                <w:rFonts w:ascii="Times New Roman" w:eastAsia="Times New Roman" w:hAnsi="Times New Roman" w:cs="Times New Roman"/>
                <w:sz w:val="24"/>
                <w:szCs w:val="24"/>
                <w:lang w:eastAsia="lv-LV"/>
              </w:rPr>
              <w:t xml:space="preserve">nosacījumi </w:t>
            </w:r>
            <w:r w:rsidR="4635AC7C" w:rsidRPr="00796115">
              <w:rPr>
                <w:rFonts w:ascii="Times New Roman" w:eastAsia="Times New Roman" w:hAnsi="Times New Roman" w:cs="Times New Roman"/>
                <w:sz w:val="24"/>
                <w:szCs w:val="24"/>
                <w:lang w:eastAsia="lv-LV"/>
              </w:rPr>
              <w:t>atbilstoši Regulas Nr.</w:t>
            </w:r>
            <w:r w:rsidR="00753511">
              <w:rPr>
                <w:rFonts w:ascii="Times New Roman" w:eastAsia="Times New Roman" w:hAnsi="Times New Roman" w:cs="Times New Roman"/>
                <w:sz w:val="24"/>
                <w:szCs w:val="24"/>
                <w:lang w:eastAsia="lv-LV"/>
              </w:rPr>
              <w:t> </w:t>
            </w:r>
            <w:r w:rsidR="4635AC7C" w:rsidRPr="00796115">
              <w:rPr>
                <w:rFonts w:ascii="Times New Roman" w:eastAsia="Times New Roman" w:hAnsi="Times New Roman" w:cs="Times New Roman"/>
                <w:sz w:val="24"/>
                <w:szCs w:val="24"/>
                <w:lang w:eastAsia="lv-LV"/>
              </w:rPr>
              <w:t>575/2013 47.c</w:t>
            </w:r>
            <w:r w:rsidR="00753511">
              <w:rPr>
                <w:rFonts w:ascii="Times New Roman" w:eastAsia="Times New Roman" w:hAnsi="Times New Roman" w:cs="Times New Roman"/>
                <w:sz w:val="24"/>
                <w:szCs w:val="24"/>
                <w:lang w:eastAsia="lv-LV"/>
              </w:rPr>
              <w:t> </w:t>
            </w:r>
            <w:r w:rsidR="4635AC7C" w:rsidRPr="00796115">
              <w:rPr>
                <w:rFonts w:ascii="Times New Roman" w:eastAsia="Times New Roman" w:hAnsi="Times New Roman" w:cs="Times New Roman"/>
                <w:sz w:val="24"/>
                <w:szCs w:val="24"/>
                <w:lang w:eastAsia="lv-LV"/>
              </w:rPr>
              <w:t xml:space="preserve">pantā noteiktajam </w:t>
            </w:r>
            <w:r w:rsidR="1A4B01F1" w:rsidRPr="00796115">
              <w:rPr>
                <w:rFonts w:ascii="Times New Roman" w:eastAsia="Times New Roman" w:hAnsi="Times New Roman" w:cs="Times New Roman"/>
                <w:sz w:val="24"/>
                <w:szCs w:val="24"/>
                <w:lang w:eastAsia="lv-LV"/>
              </w:rPr>
              <w:t xml:space="preserve">uzkrājumu </w:t>
            </w:r>
            <w:r w:rsidR="4635AC7C" w:rsidRPr="00796115">
              <w:rPr>
                <w:rFonts w:ascii="Times New Roman" w:eastAsia="Times New Roman" w:hAnsi="Times New Roman" w:cs="Times New Roman"/>
                <w:sz w:val="24"/>
                <w:szCs w:val="24"/>
                <w:lang w:eastAsia="lv-LV"/>
              </w:rPr>
              <w:t xml:space="preserve">apmēram. Šāda pieeja sakrīt ar Eiropas </w:t>
            </w:r>
            <w:r w:rsidR="1E540C5F" w:rsidRPr="00796115">
              <w:rPr>
                <w:rFonts w:ascii="Times New Roman" w:eastAsia="Times New Roman" w:hAnsi="Times New Roman" w:cs="Times New Roman"/>
                <w:sz w:val="24"/>
                <w:szCs w:val="24"/>
                <w:lang w:eastAsia="lv-LV"/>
              </w:rPr>
              <w:t xml:space="preserve">Centrālās bankas Vienotā uzraudzības mehānisma </w:t>
            </w:r>
            <w:r w:rsidR="4635AC7C" w:rsidRPr="00796115">
              <w:rPr>
                <w:rFonts w:ascii="Times New Roman" w:eastAsia="Times New Roman" w:hAnsi="Times New Roman" w:cs="Times New Roman"/>
                <w:sz w:val="24"/>
                <w:szCs w:val="24"/>
                <w:lang w:eastAsia="lv-LV"/>
              </w:rPr>
              <w:t>piemēroto pieeju</w:t>
            </w:r>
            <w:r w:rsidR="1A4B01F1" w:rsidRPr="00796115">
              <w:rPr>
                <w:rFonts w:ascii="Times New Roman" w:eastAsia="Times New Roman" w:hAnsi="Times New Roman" w:cs="Times New Roman"/>
                <w:sz w:val="24"/>
                <w:szCs w:val="24"/>
                <w:lang w:eastAsia="lv-LV"/>
              </w:rPr>
              <w:t xml:space="preserve"> nozīmīg</w:t>
            </w:r>
            <w:r w:rsidR="00D525C7">
              <w:rPr>
                <w:rFonts w:ascii="Times New Roman" w:eastAsia="Times New Roman" w:hAnsi="Times New Roman" w:cs="Times New Roman"/>
                <w:sz w:val="24"/>
                <w:szCs w:val="24"/>
                <w:lang w:eastAsia="lv-LV"/>
              </w:rPr>
              <w:t>aj</w:t>
            </w:r>
            <w:r w:rsidR="1A4B01F1" w:rsidRPr="00796115">
              <w:rPr>
                <w:rFonts w:ascii="Times New Roman" w:eastAsia="Times New Roman" w:hAnsi="Times New Roman" w:cs="Times New Roman"/>
                <w:sz w:val="24"/>
                <w:szCs w:val="24"/>
                <w:lang w:eastAsia="lv-LV"/>
              </w:rPr>
              <w:t xml:space="preserve">ām uzraudzītajām iestādēm. </w:t>
            </w:r>
            <w:r w:rsidR="244C3B52" w:rsidRPr="00796115">
              <w:rPr>
                <w:rFonts w:ascii="Times New Roman" w:eastAsia="Times New Roman" w:hAnsi="Times New Roman" w:cs="Times New Roman"/>
                <w:sz w:val="24"/>
                <w:szCs w:val="24"/>
                <w:lang w:eastAsia="lv-LV"/>
              </w:rPr>
              <w:t>Tiek saglabāta prasība veikt 1. līmeņa kapitāla korekcij</w:t>
            </w:r>
            <w:r w:rsidR="16169585" w:rsidRPr="00796115">
              <w:rPr>
                <w:rFonts w:ascii="Times New Roman" w:eastAsia="Times New Roman" w:hAnsi="Times New Roman" w:cs="Times New Roman"/>
                <w:sz w:val="24"/>
                <w:szCs w:val="24"/>
                <w:lang w:eastAsia="lv-LV"/>
              </w:rPr>
              <w:t xml:space="preserve">u uzraudzības pārskatos, ja </w:t>
            </w:r>
            <w:r w:rsidR="00BE790E" w:rsidRPr="00796115">
              <w:rPr>
                <w:rFonts w:ascii="Times New Roman" w:eastAsia="Times New Roman" w:hAnsi="Times New Roman" w:cs="Times New Roman"/>
                <w:sz w:val="24"/>
                <w:szCs w:val="24"/>
                <w:lang w:eastAsia="lv-LV"/>
              </w:rPr>
              <w:t xml:space="preserve">finanšu pārskatos </w:t>
            </w:r>
            <w:r w:rsidR="16169585" w:rsidRPr="00796115">
              <w:rPr>
                <w:rFonts w:ascii="Times New Roman" w:eastAsia="Times New Roman" w:hAnsi="Times New Roman" w:cs="Times New Roman"/>
                <w:sz w:val="24"/>
                <w:szCs w:val="24"/>
                <w:lang w:eastAsia="lv-LV"/>
              </w:rPr>
              <w:t xml:space="preserve">nav iespējams veidot </w:t>
            </w:r>
            <w:r w:rsidR="5877F4DD" w:rsidRPr="00796115">
              <w:rPr>
                <w:rFonts w:ascii="Times New Roman" w:eastAsia="Times New Roman" w:hAnsi="Times New Roman" w:cs="Times New Roman"/>
                <w:sz w:val="24"/>
                <w:szCs w:val="24"/>
                <w:lang w:eastAsia="lv-LV"/>
              </w:rPr>
              <w:t xml:space="preserve">nepieciešamos </w:t>
            </w:r>
            <w:r w:rsidR="16169585" w:rsidRPr="00796115">
              <w:rPr>
                <w:rFonts w:ascii="Times New Roman" w:eastAsia="Times New Roman" w:hAnsi="Times New Roman" w:cs="Times New Roman"/>
                <w:sz w:val="24"/>
                <w:szCs w:val="24"/>
                <w:lang w:eastAsia="lv-LV"/>
              </w:rPr>
              <w:t>uzkrājumus</w:t>
            </w:r>
            <w:r w:rsidR="5877F4DD" w:rsidRPr="00796115">
              <w:rPr>
                <w:rFonts w:ascii="Times New Roman" w:eastAsia="Times New Roman" w:hAnsi="Times New Roman" w:cs="Times New Roman"/>
                <w:sz w:val="24"/>
                <w:szCs w:val="24"/>
                <w:lang w:eastAsia="lv-LV"/>
              </w:rPr>
              <w:t xml:space="preserve"> paredzamajiem zaudējumiem saskaņā ar </w:t>
            </w:r>
            <w:r w:rsidRPr="00796115">
              <w:rPr>
                <w:rFonts w:ascii="Times New Roman" w:eastAsia="Times New Roman" w:hAnsi="Times New Roman" w:cs="Times New Roman"/>
                <w:sz w:val="24"/>
                <w:szCs w:val="24"/>
                <w:lang w:eastAsia="lv-LV"/>
              </w:rPr>
              <w:t>n</w:t>
            </w:r>
            <w:r w:rsidR="5877F4DD" w:rsidRPr="00796115">
              <w:rPr>
                <w:rFonts w:ascii="Times New Roman" w:eastAsia="Times New Roman" w:hAnsi="Times New Roman" w:cs="Times New Roman"/>
                <w:sz w:val="24"/>
                <w:szCs w:val="24"/>
                <w:lang w:eastAsia="lv-LV"/>
              </w:rPr>
              <w:t>oteikumu projekta 22</w:t>
            </w:r>
            <w:r w:rsidR="002E2189" w:rsidRPr="00796115">
              <w:rPr>
                <w:rFonts w:ascii="Times New Roman" w:eastAsia="Times New Roman" w:hAnsi="Times New Roman" w:cs="Times New Roman"/>
                <w:sz w:val="24"/>
                <w:szCs w:val="24"/>
                <w:lang w:eastAsia="lv-LV"/>
              </w:rPr>
              <w:t>2</w:t>
            </w:r>
            <w:r w:rsidR="5877F4DD"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5877F4DD" w:rsidRPr="00796115">
              <w:rPr>
                <w:rFonts w:ascii="Times New Roman" w:eastAsia="Times New Roman" w:hAnsi="Times New Roman" w:cs="Times New Roman"/>
                <w:sz w:val="24"/>
                <w:szCs w:val="24"/>
                <w:lang w:eastAsia="lv-LV"/>
              </w:rPr>
              <w:t xml:space="preserve">punktu, taču šādu korekciju piemērošanai </w:t>
            </w:r>
            <w:r w:rsidR="00B73EF0">
              <w:rPr>
                <w:rFonts w:ascii="Times New Roman" w:eastAsia="Times New Roman" w:hAnsi="Times New Roman" w:cs="Times New Roman"/>
                <w:sz w:val="24"/>
                <w:szCs w:val="24"/>
                <w:lang w:eastAsia="lv-LV"/>
              </w:rPr>
              <w:t>vajadzētu būt</w:t>
            </w:r>
            <w:r w:rsidR="5877F4DD" w:rsidRPr="00796115">
              <w:rPr>
                <w:rFonts w:ascii="Times New Roman" w:eastAsia="Times New Roman" w:hAnsi="Times New Roman" w:cs="Times New Roman"/>
                <w:sz w:val="24"/>
                <w:szCs w:val="24"/>
                <w:lang w:eastAsia="lv-LV"/>
              </w:rPr>
              <w:t xml:space="preserve"> pagaidu risinājumam (līdz plānoto pasākumu īstenošanai, piemēram, plānotai nodrošinājuma realizācijai noteiktā termiņā) un atbilstoši pamatotai</w:t>
            </w:r>
            <w:r w:rsidR="006F7BC1" w:rsidRPr="00796115">
              <w:rPr>
                <w:rFonts w:ascii="Times New Roman" w:eastAsia="Times New Roman" w:hAnsi="Times New Roman" w:cs="Times New Roman"/>
                <w:sz w:val="24"/>
                <w:szCs w:val="24"/>
                <w:lang w:eastAsia="lv-LV"/>
              </w:rPr>
              <w:t xml:space="preserve">. </w:t>
            </w:r>
            <w:r w:rsidR="00696DD6">
              <w:rPr>
                <w:rFonts w:ascii="Times New Roman" w:eastAsia="Times New Roman" w:hAnsi="Times New Roman" w:cs="Times New Roman"/>
                <w:sz w:val="24"/>
                <w:szCs w:val="24"/>
                <w:lang w:eastAsia="lv-LV"/>
              </w:rPr>
              <w:t>Iz</w:t>
            </w:r>
            <w:r w:rsidR="006F7BC1" w:rsidRPr="00796115">
              <w:rPr>
                <w:rFonts w:ascii="Times New Roman" w:eastAsia="Times New Roman" w:hAnsi="Times New Roman" w:cs="Times New Roman"/>
                <w:sz w:val="24"/>
                <w:szCs w:val="24"/>
                <w:lang w:eastAsia="lv-LV"/>
              </w:rPr>
              <w:t>maiņām n</w:t>
            </w:r>
            <w:r w:rsidR="00D100A6" w:rsidRPr="00796115">
              <w:rPr>
                <w:rFonts w:ascii="Times New Roman" w:eastAsia="Times New Roman" w:hAnsi="Times New Roman" w:cs="Times New Roman"/>
                <w:sz w:val="24"/>
                <w:szCs w:val="24"/>
                <w:lang w:eastAsia="lv-LV"/>
              </w:rPr>
              <w:t>av būtiskas ietekmes uz nepieciešamo uzkrājumu apmēru uzraudzības mērķiem</w:t>
            </w:r>
            <w:r w:rsidR="5877F4DD" w:rsidRPr="00796115">
              <w:rPr>
                <w:rFonts w:ascii="Times New Roman" w:eastAsia="Times New Roman" w:hAnsi="Times New Roman" w:cs="Times New Roman"/>
                <w:sz w:val="24"/>
                <w:szCs w:val="24"/>
                <w:lang w:eastAsia="lv-LV"/>
              </w:rPr>
              <w:t>;</w:t>
            </w:r>
          </w:p>
          <w:p w14:paraId="2808222D" w14:textId="0BA3394F" w:rsidR="00BE790E" w:rsidRDefault="00BE790E" w:rsidP="00ED637C">
            <w:pPr>
              <w:pStyle w:val="ListParagraph"/>
              <w:numPr>
                <w:ilvl w:val="0"/>
                <w:numId w:val="7"/>
              </w:numPr>
              <w:tabs>
                <w:tab w:val="left" w:pos="378"/>
                <w:tab w:val="left" w:pos="480"/>
              </w:tabs>
              <w:spacing w:after="0" w:line="240" w:lineRule="auto"/>
              <w:jc w:val="both"/>
              <w:rPr>
                <w:rFonts w:ascii="Times New Roman" w:eastAsia="Times New Roman" w:hAnsi="Times New Roman" w:cs="Times New Roman"/>
                <w:sz w:val="24"/>
                <w:szCs w:val="24"/>
                <w:lang w:eastAsia="lv-LV"/>
              </w:rPr>
            </w:pPr>
            <w:r w:rsidRPr="00B24DC6">
              <w:rPr>
                <w:rFonts w:ascii="Times New Roman" w:eastAsia="Times New Roman" w:hAnsi="Times New Roman" w:cs="Times New Roman"/>
                <w:sz w:val="24"/>
                <w:szCs w:val="24"/>
                <w:lang w:eastAsia="lv-LV"/>
              </w:rPr>
              <w:t>noteikumu projekta</w:t>
            </w:r>
            <w:r w:rsidRPr="00796115">
              <w:rPr>
                <w:rFonts w:ascii="Times New Roman" w:eastAsia="Times New Roman" w:hAnsi="Times New Roman" w:cs="Times New Roman"/>
                <w:sz w:val="24"/>
                <w:szCs w:val="24"/>
                <w:lang w:eastAsia="lv-LV"/>
              </w:rPr>
              <w:t xml:space="preserve"> 225.</w:t>
            </w:r>
            <w:r>
              <w:rPr>
                <w:rFonts w:ascii="Times New Roman" w:eastAsia="Times New Roman" w:hAnsi="Times New Roman" w:cs="Times New Roman"/>
                <w:sz w:val="24"/>
                <w:szCs w:val="24"/>
                <w:lang w:eastAsia="lv-LV"/>
              </w:rPr>
              <w:t> </w:t>
            </w:r>
            <w:r w:rsidRPr="00796115">
              <w:rPr>
                <w:rFonts w:ascii="Times New Roman" w:eastAsia="Times New Roman" w:hAnsi="Times New Roman" w:cs="Times New Roman"/>
                <w:sz w:val="24"/>
                <w:szCs w:val="24"/>
                <w:lang w:eastAsia="lv-LV"/>
              </w:rPr>
              <w:t>punktā ieviesta prasība iestādēm, kurām ir paaugstināts ienākumus nenesoš</w:t>
            </w:r>
            <w:r w:rsidR="00D56483">
              <w:rPr>
                <w:rFonts w:ascii="Times New Roman" w:eastAsia="Times New Roman" w:hAnsi="Times New Roman" w:cs="Times New Roman"/>
                <w:sz w:val="24"/>
                <w:szCs w:val="24"/>
                <w:lang w:eastAsia="lv-LV"/>
              </w:rPr>
              <w:t>u</w:t>
            </w:r>
            <w:r w:rsidRPr="00796115">
              <w:rPr>
                <w:rFonts w:ascii="Times New Roman" w:eastAsia="Times New Roman" w:hAnsi="Times New Roman" w:cs="Times New Roman"/>
                <w:sz w:val="24"/>
                <w:szCs w:val="24"/>
                <w:lang w:eastAsia="lv-LV"/>
              </w:rPr>
              <w:t xml:space="preserve"> kredītu īpatsvars, sniegt pārskatu par pārņemtajiem nekustamajiem īpašumiem. Pārējās iestādes turpmāk būs atbrīvotas no šāda pārskata sniegšanas. Šī norma stāsies spēkā Latvijas Ba</w:t>
            </w:r>
            <w:r w:rsidRPr="0074441F">
              <w:rPr>
                <w:rFonts w:ascii="Times New Roman" w:eastAsia="Times New Roman" w:hAnsi="Times New Roman" w:cs="Times New Roman"/>
                <w:sz w:val="24"/>
                <w:szCs w:val="24"/>
                <w:lang w:eastAsia="lv-LV"/>
              </w:rPr>
              <w:t>nkas noteikum</w:t>
            </w:r>
            <w:r w:rsidRPr="00144F8F">
              <w:rPr>
                <w:rFonts w:ascii="Times New Roman" w:eastAsia="Times New Roman" w:hAnsi="Times New Roman" w:cs="Times New Roman"/>
                <w:sz w:val="24"/>
                <w:szCs w:val="24"/>
                <w:lang w:eastAsia="lv-LV"/>
              </w:rPr>
              <w:t>u</w:t>
            </w:r>
            <w:r w:rsidRPr="0074441F">
              <w:rPr>
                <w:rFonts w:ascii="Times New Roman" w:eastAsia="Times New Roman" w:hAnsi="Times New Roman" w:cs="Times New Roman"/>
                <w:sz w:val="24"/>
                <w:szCs w:val="24"/>
                <w:lang w:eastAsia="lv-LV"/>
              </w:rPr>
              <w:t>, kas noteiks kredītiestāžu uzraudzībai nepieciešamās informācijas sagatavošanu un iesniegšanu</w:t>
            </w:r>
            <w:r w:rsidRPr="00144F8F">
              <w:rPr>
                <w:rFonts w:ascii="Times New Roman" w:eastAsia="Times New Roman" w:hAnsi="Times New Roman" w:cs="Times New Roman"/>
                <w:sz w:val="24"/>
                <w:szCs w:val="24"/>
                <w:lang w:eastAsia="lv-LV"/>
              </w:rPr>
              <w:t>,</w:t>
            </w:r>
            <w:r w:rsidRPr="0074441F">
              <w:rPr>
                <w:rFonts w:ascii="Times New Roman" w:eastAsia="Times New Roman" w:hAnsi="Times New Roman" w:cs="Times New Roman"/>
                <w:sz w:val="24"/>
                <w:szCs w:val="24"/>
                <w:lang w:eastAsia="lv-LV"/>
              </w:rPr>
              <w:t xml:space="preserve"> spēkā stāšanās brī</w:t>
            </w:r>
            <w:r w:rsidR="00B73EF0">
              <w:rPr>
                <w:rFonts w:ascii="Times New Roman" w:eastAsia="Times New Roman" w:hAnsi="Times New Roman" w:cs="Times New Roman"/>
                <w:sz w:val="24"/>
                <w:szCs w:val="24"/>
                <w:lang w:eastAsia="lv-LV"/>
              </w:rPr>
              <w:t>dī</w:t>
            </w:r>
            <w:r>
              <w:rPr>
                <w:rFonts w:ascii="Times New Roman" w:eastAsia="Times New Roman" w:hAnsi="Times New Roman" w:cs="Times New Roman"/>
                <w:sz w:val="24"/>
                <w:szCs w:val="24"/>
                <w:lang w:eastAsia="lv-LV"/>
              </w:rPr>
              <w:t>.</w:t>
            </w:r>
          </w:p>
          <w:p w14:paraId="5E256711" w14:textId="77777777" w:rsidR="00890BBD" w:rsidRDefault="00890BBD" w:rsidP="00ED637C">
            <w:pPr>
              <w:pStyle w:val="ListParagraph"/>
              <w:spacing w:after="0" w:line="240" w:lineRule="auto"/>
              <w:jc w:val="both"/>
              <w:rPr>
                <w:rFonts w:ascii="Times New Roman" w:eastAsia="Times New Roman" w:hAnsi="Times New Roman" w:cs="Times New Roman"/>
                <w:sz w:val="24"/>
                <w:szCs w:val="24"/>
                <w:lang w:eastAsia="lv-LV"/>
              </w:rPr>
            </w:pPr>
          </w:p>
          <w:p w14:paraId="5BEFDCA1" w14:textId="3CF3596A" w:rsidR="00890BBD" w:rsidRDefault="00890BBD" w:rsidP="00CF5E3B">
            <w:pPr>
              <w:spacing w:after="0" w:line="240" w:lineRule="auto"/>
              <w:jc w:val="both"/>
              <w:rPr>
                <w:rFonts w:ascii="Times New Roman" w:eastAsia="Times New Roman" w:hAnsi="Times New Roman" w:cs="Times New Roman"/>
                <w:sz w:val="24"/>
                <w:szCs w:val="24"/>
                <w:lang w:eastAsia="lv-LV"/>
              </w:rPr>
            </w:pPr>
            <w:r w:rsidRPr="005D4B04">
              <w:rPr>
                <w:rFonts w:ascii="Times New Roman" w:eastAsia="Times New Roman" w:hAnsi="Times New Roman" w:cs="Times New Roman"/>
                <w:sz w:val="24"/>
                <w:szCs w:val="24"/>
                <w:lang w:eastAsia="lv-LV"/>
              </w:rPr>
              <w:t>Pārēj</w:t>
            </w:r>
            <w:r w:rsidR="00662242" w:rsidRPr="005D4B04">
              <w:rPr>
                <w:rFonts w:ascii="Times New Roman" w:eastAsia="Times New Roman" w:hAnsi="Times New Roman" w:cs="Times New Roman"/>
                <w:sz w:val="24"/>
                <w:szCs w:val="24"/>
                <w:lang w:eastAsia="lv-LV"/>
              </w:rPr>
              <w:t xml:space="preserve">ās </w:t>
            </w:r>
            <w:r w:rsidR="003E48A9" w:rsidRPr="005D4B04">
              <w:rPr>
                <w:rFonts w:ascii="Times New Roman" w:eastAsia="Times New Roman" w:hAnsi="Times New Roman" w:cs="Times New Roman"/>
                <w:sz w:val="24"/>
                <w:szCs w:val="24"/>
                <w:lang w:eastAsia="lv-LV"/>
              </w:rPr>
              <w:t>n</w:t>
            </w:r>
            <w:r w:rsidR="00662242" w:rsidRPr="005D4B04">
              <w:rPr>
                <w:rFonts w:ascii="Times New Roman" w:eastAsia="Times New Roman" w:hAnsi="Times New Roman" w:cs="Times New Roman"/>
                <w:sz w:val="24"/>
                <w:szCs w:val="24"/>
                <w:lang w:eastAsia="lv-LV"/>
              </w:rPr>
              <w:t>oteikumu projekta norm</w:t>
            </w:r>
            <w:r w:rsidR="00D56483" w:rsidRPr="005D4B04">
              <w:rPr>
                <w:rFonts w:ascii="Times New Roman" w:eastAsia="Times New Roman" w:hAnsi="Times New Roman" w:cs="Times New Roman"/>
                <w:sz w:val="24"/>
                <w:szCs w:val="24"/>
                <w:lang w:eastAsia="lv-LV"/>
              </w:rPr>
              <w:t xml:space="preserve">u </w:t>
            </w:r>
            <w:r w:rsidR="00696DD6">
              <w:rPr>
                <w:rFonts w:ascii="Times New Roman" w:eastAsia="Times New Roman" w:hAnsi="Times New Roman" w:cs="Times New Roman"/>
                <w:sz w:val="24"/>
                <w:szCs w:val="24"/>
                <w:lang w:eastAsia="lv-LV"/>
              </w:rPr>
              <w:t>iz</w:t>
            </w:r>
            <w:r w:rsidR="00D56483" w:rsidRPr="005D4B04">
              <w:rPr>
                <w:rFonts w:ascii="Times New Roman" w:eastAsia="Times New Roman" w:hAnsi="Times New Roman" w:cs="Times New Roman"/>
                <w:sz w:val="24"/>
                <w:szCs w:val="24"/>
                <w:lang w:eastAsia="lv-LV"/>
              </w:rPr>
              <w:t>maiņas salīdzinājumā</w:t>
            </w:r>
            <w:r w:rsidR="00662242" w:rsidRPr="005D4B04">
              <w:rPr>
                <w:rFonts w:ascii="Times New Roman" w:eastAsia="Times New Roman" w:hAnsi="Times New Roman" w:cs="Times New Roman"/>
                <w:sz w:val="24"/>
                <w:szCs w:val="24"/>
                <w:lang w:eastAsia="lv-LV"/>
              </w:rPr>
              <w:t xml:space="preserve"> </w:t>
            </w:r>
            <w:r w:rsidR="00D56483" w:rsidRPr="005D4B04">
              <w:rPr>
                <w:rFonts w:ascii="Times New Roman" w:eastAsia="Times New Roman" w:hAnsi="Times New Roman" w:cs="Times New Roman"/>
                <w:sz w:val="24"/>
                <w:szCs w:val="24"/>
                <w:lang w:eastAsia="lv-LV"/>
              </w:rPr>
              <w:t>ar</w:t>
            </w:r>
            <w:r w:rsidR="00662242" w:rsidRPr="005D4B04">
              <w:rPr>
                <w:rFonts w:ascii="Times New Roman" w:eastAsia="Times New Roman" w:hAnsi="Times New Roman" w:cs="Times New Roman"/>
                <w:sz w:val="24"/>
                <w:szCs w:val="24"/>
                <w:lang w:eastAsia="lv-LV"/>
              </w:rPr>
              <w:t xml:space="preserve"> </w:t>
            </w:r>
            <w:r w:rsidR="00BE790E" w:rsidRPr="005D4B04">
              <w:rPr>
                <w:rFonts w:ascii="Times New Roman" w:eastAsia="Times New Roman" w:hAnsi="Times New Roman" w:cs="Times New Roman"/>
                <w:sz w:val="24"/>
                <w:szCs w:val="24"/>
                <w:lang w:eastAsia="lv-LV"/>
              </w:rPr>
              <w:t xml:space="preserve">atbilstošajām </w:t>
            </w:r>
            <w:r w:rsidR="00662242" w:rsidRPr="005D4B04">
              <w:rPr>
                <w:rFonts w:ascii="Times New Roman" w:eastAsia="Times New Roman" w:hAnsi="Times New Roman" w:cs="Times New Roman"/>
                <w:sz w:val="24"/>
                <w:szCs w:val="24"/>
                <w:lang w:eastAsia="lv-LV"/>
              </w:rPr>
              <w:t>Noteikumu Nr.</w:t>
            </w:r>
            <w:r w:rsidR="00753511" w:rsidRPr="005D4B04">
              <w:rPr>
                <w:rFonts w:ascii="Times New Roman" w:eastAsia="Times New Roman" w:hAnsi="Times New Roman" w:cs="Times New Roman"/>
                <w:sz w:val="24"/>
                <w:szCs w:val="24"/>
                <w:lang w:eastAsia="lv-LV"/>
              </w:rPr>
              <w:t> </w:t>
            </w:r>
            <w:r w:rsidR="00662242" w:rsidRPr="005D4B04">
              <w:rPr>
                <w:rFonts w:ascii="Times New Roman" w:eastAsia="Times New Roman" w:hAnsi="Times New Roman" w:cs="Times New Roman"/>
                <w:sz w:val="24"/>
                <w:szCs w:val="24"/>
                <w:lang w:eastAsia="lv-LV"/>
              </w:rPr>
              <w:t xml:space="preserve">242 normām </w:t>
            </w:r>
            <w:r w:rsidR="00D56483" w:rsidRPr="00ED637C">
              <w:rPr>
                <w:rFonts w:ascii="Times New Roman" w:eastAsia="Times New Roman" w:hAnsi="Times New Roman" w:cs="Times New Roman"/>
                <w:sz w:val="24"/>
                <w:szCs w:val="24"/>
                <w:lang w:eastAsia="lv-LV"/>
              </w:rPr>
              <w:t>ir saistītas ar</w:t>
            </w:r>
            <w:r w:rsidR="00662242" w:rsidRPr="005D4B04">
              <w:rPr>
                <w:rFonts w:ascii="Times New Roman" w:eastAsia="Times New Roman" w:hAnsi="Times New Roman" w:cs="Times New Roman"/>
                <w:sz w:val="24"/>
                <w:szCs w:val="24"/>
                <w:lang w:eastAsia="lv-LV"/>
              </w:rPr>
              <w:t xml:space="preserve"> </w:t>
            </w:r>
            <w:r w:rsidRPr="005D4B04">
              <w:rPr>
                <w:rFonts w:ascii="Times New Roman" w:eastAsia="Times New Roman" w:hAnsi="Times New Roman" w:cs="Times New Roman"/>
                <w:sz w:val="24"/>
                <w:szCs w:val="24"/>
                <w:lang w:eastAsia="lv-LV"/>
              </w:rPr>
              <w:t>tehnisk</w:t>
            </w:r>
            <w:r w:rsidR="00662242" w:rsidRPr="005D4B04">
              <w:rPr>
                <w:rFonts w:ascii="Times New Roman" w:eastAsia="Times New Roman" w:hAnsi="Times New Roman" w:cs="Times New Roman"/>
                <w:sz w:val="24"/>
                <w:szCs w:val="24"/>
                <w:lang w:eastAsia="lv-LV"/>
              </w:rPr>
              <w:t>a rakstura precizējum</w:t>
            </w:r>
            <w:r w:rsidR="00D56483" w:rsidRPr="005D4B04">
              <w:rPr>
                <w:rFonts w:ascii="Times New Roman" w:eastAsia="Times New Roman" w:hAnsi="Times New Roman" w:cs="Times New Roman"/>
                <w:sz w:val="24"/>
                <w:szCs w:val="24"/>
                <w:lang w:eastAsia="lv-LV"/>
              </w:rPr>
              <w:t>iem</w:t>
            </w:r>
            <w:r w:rsidRPr="005D4B04">
              <w:rPr>
                <w:rFonts w:ascii="Times New Roman" w:eastAsia="Times New Roman" w:hAnsi="Times New Roman" w:cs="Times New Roman"/>
                <w:sz w:val="24"/>
                <w:szCs w:val="24"/>
                <w:lang w:eastAsia="lv-LV"/>
              </w:rPr>
              <w:t xml:space="preserve"> </w:t>
            </w:r>
            <w:r w:rsidR="00D56483" w:rsidRPr="005D4B04">
              <w:rPr>
                <w:rFonts w:ascii="Times New Roman" w:eastAsia="Times New Roman" w:hAnsi="Times New Roman" w:cs="Times New Roman"/>
                <w:sz w:val="24"/>
                <w:szCs w:val="24"/>
                <w:lang w:eastAsia="lv-LV"/>
              </w:rPr>
              <w:t xml:space="preserve">– </w:t>
            </w:r>
            <w:r w:rsidR="00662242" w:rsidRPr="005D4B04">
              <w:rPr>
                <w:rFonts w:ascii="Times New Roman" w:eastAsia="Times New Roman" w:hAnsi="Times New Roman" w:cs="Times New Roman"/>
                <w:sz w:val="24"/>
                <w:szCs w:val="24"/>
                <w:lang w:eastAsia="lv-LV"/>
              </w:rPr>
              <w:t xml:space="preserve">pamatā </w:t>
            </w:r>
            <w:r w:rsidRPr="005D4B04">
              <w:rPr>
                <w:rFonts w:ascii="Times New Roman" w:eastAsia="Times New Roman" w:hAnsi="Times New Roman" w:cs="Times New Roman"/>
                <w:sz w:val="24"/>
                <w:szCs w:val="24"/>
                <w:lang w:eastAsia="lv-LV"/>
              </w:rPr>
              <w:t>ar numerācijas maiņu un ar to saistīto atsauču precizēšanu</w:t>
            </w:r>
            <w:r w:rsidR="00DE6BA8" w:rsidRPr="005D4B04">
              <w:rPr>
                <w:rFonts w:ascii="Times New Roman" w:eastAsia="Times New Roman" w:hAnsi="Times New Roman" w:cs="Times New Roman"/>
                <w:sz w:val="24"/>
                <w:szCs w:val="24"/>
                <w:lang w:eastAsia="lv-LV"/>
              </w:rPr>
              <w:t xml:space="preserve"> </w:t>
            </w:r>
            <w:r w:rsidR="00D56483" w:rsidRPr="005D4B04">
              <w:rPr>
                <w:rFonts w:ascii="Times New Roman" w:eastAsia="Times New Roman" w:hAnsi="Times New Roman" w:cs="Times New Roman"/>
                <w:sz w:val="24"/>
                <w:szCs w:val="24"/>
                <w:lang w:eastAsia="lv-LV"/>
              </w:rPr>
              <w:t xml:space="preserve">– </w:t>
            </w:r>
            <w:r w:rsidR="00DE6BA8" w:rsidRPr="005D4B04">
              <w:rPr>
                <w:rFonts w:ascii="Times New Roman" w:eastAsia="Times New Roman" w:hAnsi="Times New Roman" w:cs="Times New Roman"/>
                <w:sz w:val="24"/>
                <w:szCs w:val="24"/>
                <w:lang w:eastAsia="lv-LV"/>
              </w:rPr>
              <w:t>un</w:t>
            </w:r>
            <w:r w:rsidRPr="009D61FF">
              <w:rPr>
                <w:rFonts w:ascii="Times New Roman" w:eastAsia="Times New Roman" w:hAnsi="Times New Roman" w:cs="Times New Roman"/>
                <w:sz w:val="24"/>
                <w:szCs w:val="24"/>
                <w:lang w:eastAsia="lv-LV"/>
              </w:rPr>
              <w:t xml:space="preserve"> terminu aktualizēšanu</w:t>
            </w:r>
            <w:r>
              <w:rPr>
                <w:rFonts w:ascii="Times New Roman" w:eastAsia="Times New Roman" w:hAnsi="Times New Roman" w:cs="Times New Roman"/>
                <w:sz w:val="24"/>
                <w:szCs w:val="24"/>
                <w:lang w:eastAsia="lv-LV"/>
              </w:rPr>
              <w:t>.</w:t>
            </w:r>
          </w:p>
          <w:p w14:paraId="08035414" w14:textId="3FFF704B" w:rsidR="00312C6D" w:rsidRPr="00DF05DD" w:rsidRDefault="00312C6D" w:rsidP="00CF5E3B">
            <w:pPr>
              <w:spacing w:after="0" w:line="240" w:lineRule="auto"/>
              <w:jc w:val="both"/>
              <w:rPr>
                <w:rFonts w:ascii="Times New Roman" w:eastAsia="Times New Roman" w:hAnsi="Times New Roman" w:cs="Times New Roman"/>
                <w:sz w:val="24"/>
                <w:szCs w:val="24"/>
                <w:highlight w:val="yellow"/>
                <w:lang w:eastAsia="lv-LV"/>
              </w:rPr>
            </w:pPr>
          </w:p>
        </w:tc>
      </w:tr>
      <w:tr w:rsidR="000B4E0A" w:rsidRPr="003E1B46" w14:paraId="69D4500F" w14:textId="77777777" w:rsidTr="536E3942">
        <w:trPr>
          <w:trHeight w:val="567"/>
        </w:trPr>
        <w:tc>
          <w:tcPr>
            <w:tcW w:w="987" w:type="pct"/>
            <w:shd w:val="clear" w:color="auto" w:fill="auto"/>
            <w:hideMark/>
          </w:tcPr>
          <w:p w14:paraId="30F25CCC"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lastRenderedPageBreak/>
              <w:t>Leģitīmais mērķis</w:t>
            </w:r>
          </w:p>
          <w:p w14:paraId="5CDEDBFF"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18AD225" w14:textId="77777777" w:rsidR="00A77D2B" w:rsidRDefault="00A77D2B" w:rsidP="00CF5E3B">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72A9C6FD" w14:textId="77777777" w:rsidR="00BE790E" w:rsidRPr="00EF6F40" w:rsidRDefault="00BE790E" w:rsidP="00CF5E3B">
            <w:pPr>
              <w:spacing w:after="0" w:line="240" w:lineRule="auto"/>
              <w:jc w:val="both"/>
              <w:rPr>
                <w:rFonts w:ascii="Times New Roman" w:eastAsia="Times New Roman" w:hAnsi="Times New Roman" w:cs="Times New Roman"/>
                <w:sz w:val="24"/>
                <w:szCs w:val="24"/>
                <w:lang w:eastAsia="lv-LV"/>
              </w:rPr>
            </w:pPr>
          </w:p>
          <w:p w14:paraId="65ACA3E4" w14:textId="64788DA7" w:rsidR="00A77D2B" w:rsidRDefault="00A77D2B" w:rsidP="00CF5E3B">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Šo pamattiesību aizsardzību Latvijas Banka īsteno, nodrošinot finanšu tirgus uzraudzību, kurai ir vitāla nozīme finanšu sistēmas un ekonomiskajā attīstībā, iespējami pilnīgākajā veidā, lai veicinātu </w:t>
            </w:r>
            <w:r w:rsidRPr="00EF6F40">
              <w:rPr>
                <w:rFonts w:ascii="Times New Roman" w:eastAsia="Times New Roman" w:hAnsi="Times New Roman" w:cs="Times New Roman"/>
                <w:sz w:val="24"/>
                <w:szCs w:val="24"/>
                <w:lang w:eastAsia="lv-LV"/>
              </w:rPr>
              <w:lastRenderedPageBreak/>
              <w:t xml:space="preserve">sabiedrības uzticēšanos finanšu tirgum </w:t>
            </w:r>
            <w:r w:rsidR="00662242">
              <w:rPr>
                <w:rFonts w:ascii="Times New Roman" w:eastAsia="Times New Roman" w:hAnsi="Times New Roman" w:cs="Times New Roman"/>
                <w:sz w:val="24"/>
                <w:szCs w:val="24"/>
                <w:lang w:eastAsia="lv-LV"/>
              </w:rPr>
              <w:t xml:space="preserve">un tā dalībniekiem </w:t>
            </w:r>
            <w:r w:rsidRPr="00EF6F40">
              <w:rPr>
                <w:rFonts w:ascii="Times New Roman" w:eastAsia="Times New Roman" w:hAnsi="Times New Roman" w:cs="Times New Roman"/>
                <w:sz w:val="24"/>
                <w:szCs w:val="24"/>
                <w:lang w:eastAsia="lv-LV"/>
              </w:rPr>
              <w:t xml:space="preserve">un Latvijas Bankai kā konkrēto finanšu tirgus dalībnieku uzraugam, kas nodrošina </w:t>
            </w:r>
            <w:r w:rsidR="00662242">
              <w:rPr>
                <w:rFonts w:ascii="Times New Roman" w:eastAsia="Times New Roman" w:hAnsi="Times New Roman" w:cs="Times New Roman"/>
                <w:sz w:val="24"/>
                <w:szCs w:val="24"/>
                <w:lang w:eastAsia="lv-LV"/>
              </w:rPr>
              <w:t>to</w:t>
            </w:r>
            <w:r w:rsidRPr="00EF6F40">
              <w:rPr>
                <w:rFonts w:ascii="Times New Roman" w:eastAsia="Times New Roman" w:hAnsi="Times New Roman" w:cs="Times New Roman"/>
                <w:sz w:val="24"/>
                <w:szCs w:val="24"/>
                <w:lang w:eastAsia="lv-LV"/>
              </w:rPr>
              <w:t xml:space="preserve"> tiesisku un sabiedrības interesēm atbilstošu darbību.</w:t>
            </w:r>
          </w:p>
          <w:p w14:paraId="4341350E" w14:textId="77777777" w:rsidR="00BE790E" w:rsidRPr="00EF6F40" w:rsidRDefault="00BE790E" w:rsidP="00CF5E3B">
            <w:pPr>
              <w:spacing w:after="0" w:line="240" w:lineRule="auto"/>
              <w:jc w:val="both"/>
              <w:rPr>
                <w:rFonts w:ascii="Times New Roman" w:eastAsia="Times New Roman" w:hAnsi="Times New Roman" w:cs="Times New Roman"/>
                <w:sz w:val="24"/>
                <w:szCs w:val="24"/>
                <w:lang w:eastAsia="lv-LV"/>
              </w:rPr>
            </w:pPr>
          </w:p>
          <w:p w14:paraId="2B18427D" w14:textId="6369488B" w:rsidR="00A77D2B" w:rsidRDefault="00A77D2B" w:rsidP="00CF5E3B">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Indivīdam kā finanšu tirgus sistēmas </w:t>
            </w:r>
            <w:r w:rsidR="001D0634" w:rsidRPr="00EF6F40">
              <w:rPr>
                <w:rFonts w:ascii="Times New Roman" w:eastAsia="Times New Roman" w:hAnsi="Times New Roman" w:cs="Times New Roman"/>
                <w:sz w:val="24"/>
                <w:szCs w:val="24"/>
                <w:lang w:eastAsia="lv-LV"/>
              </w:rPr>
              <w:t xml:space="preserve">daļai </w:t>
            </w:r>
            <w:r w:rsidRPr="00EF6F40">
              <w:rPr>
                <w:rFonts w:ascii="Times New Roman" w:eastAsia="Times New Roman" w:hAnsi="Times New Roman" w:cs="Times New Roman"/>
                <w:sz w:val="24"/>
                <w:szCs w:val="24"/>
                <w:lang w:eastAsia="lv-LV"/>
              </w:rPr>
              <w:t>ir būtiski apzināties un saņemt to aizsardzības līmeni, kuru tam nodrošina finanšu tirgus</w:t>
            </w:r>
            <w:r w:rsidR="00662242">
              <w:rPr>
                <w:rFonts w:ascii="Times New Roman" w:eastAsia="Times New Roman" w:hAnsi="Times New Roman" w:cs="Times New Roman"/>
                <w:sz w:val="24"/>
                <w:szCs w:val="24"/>
                <w:lang w:eastAsia="lv-LV"/>
              </w:rPr>
              <w:t xml:space="preserve"> un tā dalībnieku</w:t>
            </w:r>
            <w:r w:rsidRPr="00EF6F40">
              <w:rPr>
                <w:rFonts w:ascii="Times New Roman" w:eastAsia="Times New Roman" w:hAnsi="Times New Roman" w:cs="Times New Roman"/>
                <w:sz w:val="24"/>
                <w:szCs w:val="24"/>
                <w:lang w:eastAsia="lv-LV"/>
              </w:rPr>
              <w:t xml:space="preserve"> </w:t>
            </w:r>
            <w:r w:rsidR="00662242">
              <w:rPr>
                <w:rFonts w:ascii="Times New Roman" w:eastAsia="Times New Roman" w:hAnsi="Times New Roman" w:cs="Times New Roman"/>
                <w:sz w:val="24"/>
                <w:szCs w:val="24"/>
                <w:lang w:eastAsia="lv-LV"/>
              </w:rPr>
              <w:t xml:space="preserve">darbības </w:t>
            </w:r>
            <w:r w:rsidRPr="00EF6F40">
              <w:rPr>
                <w:rFonts w:ascii="Times New Roman" w:eastAsia="Times New Roman" w:hAnsi="Times New Roman" w:cs="Times New Roman"/>
                <w:sz w:val="24"/>
                <w:szCs w:val="24"/>
                <w:lang w:eastAsia="lv-LV"/>
              </w:rPr>
              <w:t xml:space="preserve">uzraugs </w:t>
            </w:r>
            <w:r w:rsidR="00662242">
              <w:rPr>
                <w:rFonts w:ascii="Times New Roman" w:eastAsia="Times New Roman" w:hAnsi="Times New Roman" w:cs="Times New Roman"/>
                <w:sz w:val="24"/>
                <w:szCs w:val="24"/>
                <w:lang w:eastAsia="lv-LV"/>
              </w:rPr>
              <w:t>(</w:t>
            </w:r>
            <w:r w:rsidRPr="00EF6F40">
              <w:rPr>
                <w:rFonts w:ascii="Times New Roman" w:eastAsia="Times New Roman" w:hAnsi="Times New Roman" w:cs="Times New Roman"/>
                <w:sz w:val="24"/>
                <w:szCs w:val="24"/>
                <w:lang w:eastAsia="lv-LV"/>
              </w:rPr>
              <w:t>Latvijas Banka</w:t>
            </w:r>
            <w:r w:rsidR="00662242">
              <w:rPr>
                <w:rFonts w:ascii="Times New Roman" w:eastAsia="Times New Roman" w:hAnsi="Times New Roman" w:cs="Times New Roman"/>
                <w:sz w:val="24"/>
                <w:szCs w:val="24"/>
                <w:lang w:eastAsia="lv-LV"/>
              </w:rPr>
              <w:t>)</w:t>
            </w:r>
            <w:r w:rsidRPr="00EF6F40">
              <w:rPr>
                <w:rFonts w:ascii="Times New Roman" w:eastAsia="Times New Roman" w:hAnsi="Times New Roman" w:cs="Times New Roman"/>
                <w:sz w:val="24"/>
                <w:szCs w:val="24"/>
                <w:lang w:eastAsia="lv-LV"/>
              </w:rPr>
              <w:t>, un attiecīgi Latvijas Banka finanšu tirgus</w:t>
            </w:r>
            <w:r w:rsidR="00662242">
              <w:rPr>
                <w:rFonts w:ascii="Times New Roman" w:eastAsia="Times New Roman" w:hAnsi="Times New Roman" w:cs="Times New Roman"/>
                <w:sz w:val="24"/>
                <w:szCs w:val="24"/>
                <w:lang w:eastAsia="lv-LV"/>
              </w:rPr>
              <w:t xml:space="preserve"> un tā dalībnieku darbības</w:t>
            </w:r>
            <w:r w:rsidRPr="00EF6F40">
              <w:rPr>
                <w:rFonts w:ascii="Times New Roman" w:eastAsia="Times New Roman" w:hAnsi="Times New Roman" w:cs="Times New Roman"/>
                <w:sz w:val="24"/>
                <w:szCs w:val="24"/>
                <w:lang w:eastAsia="lv-LV"/>
              </w:rPr>
              <w:t xml:space="preserve">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w:t>
            </w:r>
            <w:r w:rsidR="00BE7824" w:rsidRPr="00EF6F40">
              <w:rPr>
                <w:rFonts w:ascii="Times New Roman" w:eastAsia="Times New Roman" w:hAnsi="Times New Roman" w:cs="Times New Roman"/>
                <w:sz w:val="24"/>
                <w:szCs w:val="24"/>
                <w:lang w:eastAsia="lv-LV"/>
              </w:rPr>
              <w:t>a</w:t>
            </w:r>
            <w:r w:rsidRPr="00EF6F40">
              <w:rPr>
                <w:rFonts w:ascii="Times New Roman" w:eastAsia="Times New Roman" w:hAnsi="Times New Roman" w:cs="Times New Roman"/>
                <w:sz w:val="24"/>
                <w:szCs w:val="24"/>
                <w:lang w:eastAsia="lv-LV"/>
              </w:rPr>
              <w:t>m.</w:t>
            </w:r>
          </w:p>
          <w:p w14:paraId="38281BB4" w14:textId="77777777" w:rsidR="00BE790E" w:rsidRPr="00EF6F40" w:rsidRDefault="00BE790E" w:rsidP="00CF5E3B">
            <w:pPr>
              <w:spacing w:after="0" w:line="240" w:lineRule="auto"/>
              <w:jc w:val="both"/>
              <w:rPr>
                <w:rFonts w:ascii="Times New Roman" w:eastAsia="Times New Roman" w:hAnsi="Times New Roman" w:cs="Times New Roman"/>
                <w:sz w:val="24"/>
                <w:szCs w:val="24"/>
                <w:lang w:eastAsia="lv-LV"/>
              </w:rPr>
            </w:pPr>
          </w:p>
          <w:p w14:paraId="6CAAA6F7" w14:textId="488B7C8D" w:rsidR="00E53DE9" w:rsidRPr="00EF6F40" w:rsidRDefault="00A77D2B" w:rsidP="00CF5E3B">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Nosakot </w:t>
            </w:r>
            <w:r w:rsidR="00662242">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 xml:space="preserve">tirgus dalībniekiem prasības un veicot </w:t>
            </w:r>
            <w:r w:rsidR="00662242">
              <w:rPr>
                <w:rFonts w:ascii="Times New Roman" w:eastAsia="Times New Roman" w:hAnsi="Times New Roman" w:cs="Times New Roman"/>
                <w:sz w:val="24"/>
                <w:szCs w:val="24"/>
                <w:lang w:eastAsia="lv-LV"/>
              </w:rPr>
              <w:t>to</w:t>
            </w:r>
            <w:r w:rsidR="00662242" w:rsidRPr="00EF6F40">
              <w:rPr>
                <w:rFonts w:ascii="Times New Roman" w:eastAsia="Times New Roman" w:hAnsi="Times New Roman" w:cs="Times New Roman"/>
                <w:sz w:val="24"/>
                <w:szCs w:val="24"/>
                <w:lang w:eastAsia="lv-LV"/>
              </w:rPr>
              <w:t xml:space="preserve"> </w:t>
            </w:r>
            <w:r w:rsidRPr="00EF6F40">
              <w:rPr>
                <w:rFonts w:ascii="Times New Roman" w:eastAsia="Times New Roman" w:hAnsi="Times New Roman" w:cs="Times New Roman"/>
                <w:sz w:val="24"/>
                <w:szCs w:val="24"/>
                <w:lang w:eastAsia="lv-LV"/>
              </w:rPr>
              <w:t>ievērošanas pārbaudes, Latvijas Banka nodrošina tai Latvijas Bankas likumā noteikto pienākumu</w:t>
            </w:r>
            <w:r w:rsidR="00BE790E">
              <w:rPr>
                <w:rFonts w:ascii="Times New Roman" w:eastAsia="Times New Roman" w:hAnsi="Times New Roman" w:cs="Times New Roman"/>
                <w:sz w:val="24"/>
                <w:szCs w:val="24"/>
                <w:lang w:eastAsia="lv-LV"/>
              </w:rPr>
              <w:t xml:space="preserve"> – </w:t>
            </w:r>
            <w:r w:rsidRPr="00EF6F40">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BE790E">
              <w:rPr>
                <w:rFonts w:ascii="Times New Roman" w:eastAsia="Times New Roman" w:hAnsi="Times New Roman" w:cs="Times New Roman"/>
                <w:sz w:val="24"/>
                <w:szCs w:val="24"/>
                <w:lang w:eastAsia="lv-LV"/>
              </w:rPr>
              <w:t xml:space="preserve"> – </w:t>
            </w:r>
            <w:r w:rsidRPr="00EF6F40">
              <w:rPr>
                <w:rFonts w:ascii="Times New Roman" w:eastAsia="Times New Roman" w:hAnsi="Times New Roman" w:cs="Times New Roman"/>
                <w:sz w:val="24"/>
                <w:szCs w:val="24"/>
                <w:lang w:eastAsia="lv-LV"/>
              </w:rPr>
              <w:t xml:space="preserve">izpildi. Respektīvi, atbilstoši veikta </w:t>
            </w:r>
            <w:r w:rsidR="00DF05DD">
              <w:rPr>
                <w:rFonts w:ascii="Times New Roman" w:eastAsia="Times New Roman" w:hAnsi="Times New Roman" w:cs="Times New Roman"/>
                <w:sz w:val="24"/>
                <w:szCs w:val="24"/>
                <w:lang w:eastAsia="lv-LV"/>
              </w:rPr>
              <w:t>kredītriska pārvaldīšana</w:t>
            </w:r>
            <w:r w:rsidRPr="00EF6F40">
              <w:rPr>
                <w:rFonts w:ascii="Times New Roman" w:eastAsia="Times New Roman" w:hAnsi="Times New Roman" w:cs="Times New Roman"/>
                <w:sz w:val="24"/>
                <w:szCs w:val="24"/>
                <w:lang w:eastAsia="lv-LV"/>
              </w:rPr>
              <w:t xml:space="preserve"> nodrošina, ka </w:t>
            </w:r>
            <w:r w:rsidR="00662242">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 xml:space="preserve">tirgus dalībnieks izprot un adekvāti novērtē </w:t>
            </w:r>
            <w:r w:rsidR="00DF05DD">
              <w:rPr>
                <w:rFonts w:ascii="Times New Roman" w:eastAsia="Times New Roman" w:hAnsi="Times New Roman" w:cs="Times New Roman"/>
                <w:sz w:val="24"/>
                <w:szCs w:val="24"/>
                <w:lang w:eastAsia="lv-LV"/>
              </w:rPr>
              <w:t>kredīt</w:t>
            </w:r>
            <w:r w:rsidRPr="00EF6F40">
              <w:rPr>
                <w:rFonts w:ascii="Times New Roman" w:eastAsia="Times New Roman" w:hAnsi="Times New Roman" w:cs="Times New Roman"/>
                <w:sz w:val="24"/>
                <w:szCs w:val="24"/>
                <w:lang w:eastAsia="lv-LV"/>
              </w:rPr>
              <w:t xml:space="preserve">riska līmeni un atbilstoši reaģē uz </w:t>
            </w:r>
            <w:r w:rsidR="006F5FD1" w:rsidRPr="00EF6F40">
              <w:rPr>
                <w:rFonts w:ascii="Times New Roman" w:eastAsia="Times New Roman" w:hAnsi="Times New Roman" w:cs="Times New Roman"/>
                <w:sz w:val="24"/>
                <w:szCs w:val="24"/>
                <w:lang w:eastAsia="lv-LV"/>
              </w:rPr>
              <w:t>pār</w:t>
            </w:r>
            <w:r w:rsidRPr="00EF6F40">
              <w:rPr>
                <w:rFonts w:ascii="Times New Roman" w:eastAsia="Times New Roman" w:hAnsi="Times New Roman" w:cs="Times New Roman"/>
                <w:sz w:val="24"/>
                <w:szCs w:val="24"/>
                <w:lang w:eastAsia="lv-LV"/>
              </w:rPr>
              <w:t xml:space="preserve">maiņām uzņēmējdarbības vides apstākļos, pareizi uzrāda kapitāla pietiekamības un citus regulējošajās prasībās noteiktos rādītājus, kā arī </w:t>
            </w:r>
            <w:r w:rsidR="004F7B37" w:rsidRPr="00EF6F40">
              <w:rPr>
                <w:rFonts w:ascii="Times New Roman" w:eastAsia="Times New Roman" w:hAnsi="Times New Roman" w:cs="Times New Roman"/>
                <w:sz w:val="24"/>
                <w:szCs w:val="24"/>
                <w:lang w:eastAsia="lv-LV"/>
              </w:rPr>
              <w:t xml:space="preserve">atbilstoši veikta </w:t>
            </w:r>
            <w:r w:rsidR="004F7B37">
              <w:rPr>
                <w:rFonts w:ascii="Times New Roman" w:eastAsia="Times New Roman" w:hAnsi="Times New Roman" w:cs="Times New Roman"/>
                <w:sz w:val="24"/>
                <w:szCs w:val="24"/>
                <w:lang w:eastAsia="lv-LV"/>
              </w:rPr>
              <w:t>kredītriska pārvaldīšana</w:t>
            </w:r>
            <w:r w:rsidR="004F7B37" w:rsidRPr="00EF6F40">
              <w:rPr>
                <w:rFonts w:ascii="Times New Roman" w:eastAsia="Times New Roman" w:hAnsi="Times New Roman" w:cs="Times New Roman"/>
                <w:sz w:val="24"/>
                <w:szCs w:val="24"/>
                <w:lang w:eastAsia="lv-LV"/>
              </w:rPr>
              <w:t xml:space="preserve"> </w:t>
            </w:r>
            <w:r w:rsidRPr="00EF6F40">
              <w:rPr>
                <w:rFonts w:ascii="Times New Roman" w:eastAsia="Times New Roman" w:hAnsi="Times New Roman" w:cs="Times New Roman"/>
                <w:sz w:val="24"/>
                <w:szCs w:val="24"/>
                <w:lang w:eastAsia="lv-LV"/>
              </w:rPr>
              <w:t xml:space="preserve">veicina tirgus dalībnieka darbības efektivitāti, orientēšanos uz ilgtspējīgu </w:t>
            </w:r>
            <w:r w:rsidR="001D0634" w:rsidRPr="00EF6F40">
              <w:rPr>
                <w:rFonts w:ascii="Times New Roman" w:eastAsia="Times New Roman" w:hAnsi="Times New Roman" w:cs="Times New Roman"/>
                <w:sz w:val="24"/>
                <w:szCs w:val="24"/>
                <w:lang w:eastAsia="lv-LV"/>
              </w:rPr>
              <w:t xml:space="preserve">ilgtermiņa </w:t>
            </w:r>
            <w:r w:rsidRPr="00EF6F40">
              <w:rPr>
                <w:rFonts w:ascii="Times New Roman" w:eastAsia="Times New Roman" w:hAnsi="Times New Roman" w:cs="Times New Roman"/>
                <w:sz w:val="24"/>
                <w:szCs w:val="24"/>
                <w:lang w:eastAsia="lv-LV"/>
              </w:rPr>
              <w:t>attīstību, piesardzīgu risku pārvaldīšanu un neatkarīgu lēmumu pieņemšanu.</w:t>
            </w:r>
          </w:p>
        </w:tc>
      </w:tr>
      <w:tr w:rsidR="000B4E0A" w:rsidRPr="003E1B46" w14:paraId="71E5F3FF" w14:textId="77777777" w:rsidTr="536E3942">
        <w:trPr>
          <w:trHeight w:val="567"/>
        </w:trPr>
        <w:tc>
          <w:tcPr>
            <w:tcW w:w="987" w:type="pct"/>
            <w:shd w:val="clear" w:color="auto" w:fill="auto"/>
            <w:hideMark/>
          </w:tcPr>
          <w:p w14:paraId="111032E2"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lastRenderedPageBreak/>
              <w:t>Samērīgums</w:t>
            </w:r>
          </w:p>
          <w:p w14:paraId="357CBD00"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579732C6" w14:textId="0D3EA92F" w:rsidR="007D273D" w:rsidRDefault="007D273D" w:rsidP="00CF5E3B">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Lai izvērtētu, vai pieņemtā tiesību norma atbilst samērīguma principam, jānoskaidro: pirmkārt, vai lietotie līdzekļi ir piemēroti leģitīm</w:t>
            </w:r>
            <w:r w:rsidR="004F7B37">
              <w:rPr>
                <w:rFonts w:ascii="Times New Roman" w:eastAsia="Times New Roman" w:hAnsi="Times New Roman" w:cs="Times New Roman"/>
                <w:sz w:val="24"/>
                <w:szCs w:val="24"/>
                <w:lang w:eastAsia="lv-LV"/>
              </w:rPr>
              <w:t>ā</w:t>
            </w:r>
            <w:r w:rsidRPr="00EF6F40">
              <w:rPr>
                <w:rFonts w:ascii="Times New Roman" w:eastAsia="Times New Roman" w:hAnsi="Times New Roman" w:cs="Times New Roman"/>
                <w:sz w:val="24"/>
                <w:szCs w:val="24"/>
                <w:lang w:eastAsia="lv-LV"/>
              </w:rPr>
              <w:t xml:space="preserve"> mērķa sasniegšanai; otrkārt, vai šāda rīcība ir nepieciešama, t.</w:t>
            </w:r>
            <w:r w:rsidR="001D0634"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i., vai mērķi nevar sasniegt ar citiem, indivīda tiesības un likumiskās intereses mazāk ierobežojošiem līdzekļiem; treškārt, vai prasības ir samērīgas jeb atbilstošas, t.</w:t>
            </w:r>
            <w:r w:rsidR="001D0634"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i., vai labums, ko iegūs sabiedrība, ir lielāks par indivīda tiesībām un likumiskajām interesēm nodarīto zaudējumu. Ja, izvērtējot tiesību normu, tiek atzīts, ka tā neatbilst kaut vienam no šiem kritērijiem, tad tā neatbilst arī samērīguma principam un ir prettiesiska.</w:t>
            </w:r>
          </w:p>
          <w:p w14:paraId="76E85CDC" w14:textId="77777777" w:rsidR="004F7B37" w:rsidRPr="00EF6F40" w:rsidRDefault="004F7B37" w:rsidP="007D273D">
            <w:pPr>
              <w:spacing w:after="0" w:line="240" w:lineRule="auto"/>
              <w:jc w:val="both"/>
              <w:rPr>
                <w:rFonts w:ascii="Times New Roman" w:eastAsia="Times New Roman" w:hAnsi="Times New Roman" w:cs="Times New Roman"/>
                <w:sz w:val="24"/>
                <w:szCs w:val="24"/>
                <w:lang w:eastAsia="lv-LV"/>
              </w:rPr>
            </w:pPr>
          </w:p>
          <w:p w14:paraId="5E83C32C" w14:textId="5C6621F4" w:rsidR="007D273D" w:rsidRDefault="007D273D" w:rsidP="007D273D">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Nosakot </w:t>
            </w:r>
            <w:r w:rsidR="00662242">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 xml:space="preserve">tirgus dalībniekiem vienotas prasības </w:t>
            </w:r>
            <w:r w:rsidRPr="0081495C">
              <w:rPr>
                <w:rFonts w:ascii="Times New Roman" w:eastAsia="Times New Roman" w:hAnsi="Times New Roman" w:cs="Times New Roman"/>
                <w:sz w:val="24"/>
                <w:szCs w:val="24"/>
                <w:lang w:eastAsia="lv-LV"/>
              </w:rPr>
              <w:t>kredītriska</w:t>
            </w:r>
            <w:r w:rsidR="0076405D" w:rsidRPr="0081495C">
              <w:rPr>
                <w:rFonts w:ascii="Times New Roman" w:eastAsia="Times New Roman" w:hAnsi="Times New Roman" w:cs="Times New Roman"/>
                <w:sz w:val="24"/>
                <w:szCs w:val="24"/>
                <w:lang w:eastAsia="lv-LV"/>
              </w:rPr>
              <w:t xml:space="preserve"> </w:t>
            </w:r>
            <w:r w:rsidR="00DF05DD">
              <w:rPr>
                <w:rFonts w:ascii="Times New Roman" w:eastAsia="Times New Roman" w:hAnsi="Times New Roman" w:cs="Times New Roman"/>
                <w:sz w:val="24"/>
                <w:szCs w:val="24"/>
                <w:lang w:eastAsia="lv-LV"/>
              </w:rPr>
              <w:t>pārvaldīšanai,</w:t>
            </w:r>
            <w:r w:rsidRPr="00EF6F40">
              <w:rPr>
                <w:rFonts w:ascii="Times New Roman" w:eastAsia="Times New Roman" w:hAnsi="Times New Roman" w:cs="Times New Roman"/>
                <w:sz w:val="24"/>
                <w:szCs w:val="24"/>
                <w:lang w:eastAsia="lv-LV"/>
              </w:rPr>
              <w:t xml:space="preserve"> tiek nodrošināta vienota </w:t>
            </w:r>
            <w:r w:rsidR="00835B1F">
              <w:rPr>
                <w:rFonts w:ascii="Times New Roman" w:eastAsia="Times New Roman" w:hAnsi="Times New Roman" w:cs="Times New Roman"/>
                <w:sz w:val="24"/>
                <w:szCs w:val="24"/>
                <w:lang w:eastAsia="lv-LV"/>
              </w:rPr>
              <w:t>to</w:t>
            </w:r>
            <w:r w:rsidRPr="00EF6F40">
              <w:rPr>
                <w:rFonts w:ascii="Times New Roman" w:eastAsia="Times New Roman" w:hAnsi="Times New Roman" w:cs="Times New Roman"/>
                <w:sz w:val="24"/>
                <w:szCs w:val="24"/>
                <w:lang w:eastAsia="lv-LV"/>
              </w:rPr>
              <w:t xml:space="preserve"> izpratne un pieeja regulējošo prasību interpretācijai un piemērošanai. Ja </w:t>
            </w:r>
            <w:r w:rsidR="00835B1F">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 xml:space="preserve">tirgus dalībnieki neveic </w:t>
            </w:r>
            <w:r w:rsidR="00DF05DD">
              <w:rPr>
                <w:rFonts w:ascii="Times New Roman" w:eastAsia="Times New Roman" w:hAnsi="Times New Roman" w:cs="Times New Roman"/>
                <w:sz w:val="24"/>
                <w:szCs w:val="24"/>
                <w:lang w:eastAsia="lv-LV"/>
              </w:rPr>
              <w:t>kredītriska pārvaldīšanu</w:t>
            </w:r>
            <w:r w:rsidRPr="00EF6F40">
              <w:rPr>
                <w:rFonts w:ascii="Times New Roman" w:eastAsia="Times New Roman" w:hAnsi="Times New Roman" w:cs="Times New Roman"/>
                <w:sz w:val="24"/>
                <w:szCs w:val="24"/>
                <w:lang w:eastAsia="lv-LV"/>
              </w:rPr>
              <w:t xml:space="preserve"> atbilstoši normatīvo aktu prasībām, tas var ietekmēt </w:t>
            </w:r>
            <w:r w:rsidR="00BF4FFD">
              <w:rPr>
                <w:rFonts w:ascii="Times New Roman" w:eastAsia="Times New Roman" w:hAnsi="Times New Roman" w:cs="Times New Roman"/>
                <w:sz w:val="24"/>
                <w:szCs w:val="24"/>
                <w:lang w:eastAsia="lv-LV"/>
              </w:rPr>
              <w:t>to</w:t>
            </w:r>
            <w:r w:rsidRPr="00EF6F40">
              <w:rPr>
                <w:rFonts w:ascii="Times New Roman" w:eastAsia="Times New Roman" w:hAnsi="Times New Roman" w:cs="Times New Roman"/>
                <w:sz w:val="24"/>
                <w:szCs w:val="24"/>
                <w:lang w:eastAsia="lv-LV"/>
              </w:rPr>
              <w:t xml:space="preserve"> kapitāla pietiekamības rādītāju aprēķina pareizību, kā arī citu regulējošajās prasībās noteikto darbības rādītāju pareizību un izpildi</w:t>
            </w:r>
            <w:r w:rsidR="001D0634" w:rsidRPr="00EF6F40">
              <w:rPr>
                <w:rFonts w:ascii="Times New Roman" w:eastAsia="Times New Roman" w:hAnsi="Times New Roman" w:cs="Times New Roman"/>
                <w:sz w:val="24"/>
                <w:szCs w:val="24"/>
                <w:lang w:eastAsia="lv-LV"/>
              </w:rPr>
              <w:t xml:space="preserve"> un</w:t>
            </w:r>
            <w:r w:rsidRPr="00EF6F40">
              <w:rPr>
                <w:rFonts w:ascii="Times New Roman" w:eastAsia="Times New Roman" w:hAnsi="Times New Roman" w:cs="Times New Roman"/>
                <w:sz w:val="24"/>
                <w:szCs w:val="24"/>
                <w:lang w:eastAsia="lv-LV"/>
              </w:rPr>
              <w:t xml:space="preserve"> radīt operacionālos un reputācijas riskus. Lai nodrošinātu ieguldītāju un noguldītāju interešu aizsardzību un finanšu tirgus stabilitāti, ir būtiski pēc iespējas mazināt un novērst minētos riskus. Līdz ar to atbilstošākais veids, kā noteikt</w:t>
            </w:r>
            <w:r w:rsidR="00BF4FFD">
              <w:rPr>
                <w:rFonts w:ascii="Times New Roman" w:eastAsia="Times New Roman" w:hAnsi="Times New Roman" w:cs="Times New Roman"/>
                <w:sz w:val="24"/>
                <w:szCs w:val="24"/>
                <w:lang w:eastAsia="lv-LV"/>
              </w:rPr>
              <w:t xml:space="preserve"> finanšu</w:t>
            </w:r>
            <w:r w:rsidRPr="00EF6F40">
              <w:rPr>
                <w:rFonts w:ascii="Times New Roman" w:eastAsia="Times New Roman" w:hAnsi="Times New Roman" w:cs="Times New Roman"/>
                <w:sz w:val="24"/>
                <w:szCs w:val="24"/>
                <w:lang w:eastAsia="lv-LV"/>
              </w:rPr>
              <w:t xml:space="preserve"> tirgus dalībniekiem vienotas prasības </w:t>
            </w:r>
            <w:r w:rsidR="00D2738F">
              <w:rPr>
                <w:rFonts w:ascii="Times New Roman" w:eastAsia="Times New Roman" w:hAnsi="Times New Roman" w:cs="Times New Roman"/>
                <w:sz w:val="24"/>
                <w:szCs w:val="24"/>
                <w:lang w:eastAsia="lv-LV"/>
              </w:rPr>
              <w:t>kredīt</w:t>
            </w:r>
            <w:r w:rsidRPr="00EF6F40">
              <w:rPr>
                <w:rFonts w:ascii="Times New Roman" w:eastAsia="Times New Roman" w:hAnsi="Times New Roman" w:cs="Times New Roman"/>
                <w:sz w:val="24"/>
                <w:szCs w:val="24"/>
                <w:lang w:eastAsia="lv-LV"/>
              </w:rPr>
              <w:t xml:space="preserve">riska </w:t>
            </w:r>
            <w:r w:rsidR="00D2738F">
              <w:rPr>
                <w:rFonts w:ascii="Times New Roman" w:eastAsia="Times New Roman" w:hAnsi="Times New Roman" w:cs="Times New Roman"/>
                <w:sz w:val="24"/>
                <w:szCs w:val="24"/>
                <w:lang w:eastAsia="lv-LV"/>
              </w:rPr>
              <w:t>pārvaldīšanai</w:t>
            </w:r>
            <w:r w:rsidRPr="00EF6F40">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0E256775" w14:textId="77777777" w:rsidR="004F7B37" w:rsidRPr="00EF6F40" w:rsidRDefault="004F7B37" w:rsidP="007D273D">
            <w:pPr>
              <w:spacing w:after="0" w:line="240" w:lineRule="auto"/>
              <w:jc w:val="both"/>
              <w:rPr>
                <w:rFonts w:ascii="Times New Roman" w:eastAsia="Times New Roman" w:hAnsi="Times New Roman" w:cs="Times New Roman"/>
                <w:sz w:val="24"/>
                <w:szCs w:val="24"/>
                <w:lang w:eastAsia="lv-LV"/>
              </w:rPr>
            </w:pPr>
          </w:p>
          <w:p w14:paraId="4D68F619" w14:textId="0991D553" w:rsidR="007D273D" w:rsidRDefault="007D273D" w:rsidP="007D273D">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lastRenderedPageBreak/>
              <w:t xml:space="preserve">Izraugoties piemērotāko līdzekli leģitīmā mērķa sasniegšanai, Latvijas Banka izvērtēja, ka nebūtu atbilstoši izdot </w:t>
            </w:r>
            <w:r w:rsidR="612DFE0C" w:rsidRPr="5929E423">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 xml:space="preserve">tirgus dalībniekam juridiski </w:t>
            </w:r>
            <w:r w:rsidR="00574150">
              <w:rPr>
                <w:rFonts w:ascii="Times New Roman" w:eastAsia="Times New Roman" w:hAnsi="Times New Roman" w:cs="Times New Roman"/>
                <w:sz w:val="24"/>
                <w:szCs w:val="24"/>
                <w:lang w:eastAsia="lv-LV"/>
              </w:rPr>
              <w:t>ne</w:t>
            </w:r>
            <w:r w:rsidRPr="5929E423">
              <w:rPr>
                <w:rFonts w:ascii="Times New Roman" w:eastAsia="Times New Roman" w:hAnsi="Times New Roman" w:cs="Times New Roman"/>
                <w:sz w:val="24"/>
                <w:szCs w:val="24"/>
                <w:lang w:eastAsia="lv-LV"/>
              </w:rPr>
              <w:t>saistoš</w:t>
            </w:r>
            <w:r w:rsidR="69627089" w:rsidRPr="5929E423">
              <w:rPr>
                <w:rFonts w:ascii="Times New Roman" w:eastAsia="Times New Roman" w:hAnsi="Times New Roman" w:cs="Times New Roman"/>
                <w:sz w:val="24"/>
                <w:szCs w:val="24"/>
                <w:lang w:eastAsia="lv-LV"/>
              </w:rPr>
              <w:t>as prasības kredītriska pārvaldīšanai</w:t>
            </w:r>
            <w:r w:rsidR="3C316FE8" w:rsidRPr="5929E423">
              <w:rPr>
                <w:rFonts w:ascii="Times New Roman" w:eastAsia="Times New Roman" w:hAnsi="Times New Roman" w:cs="Times New Roman"/>
                <w:sz w:val="24"/>
                <w:szCs w:val="24"/>
                <w:lang w:eastAsia="lv-LV"/>
              </w:rPr>
              <w:t>, jo tā nebūtu iespējams nodrošināt noteikumu projekta mērķa sasniegšanu</w:t>
            </w:r>
            <w:r w:rsidRPr="5929E423">
              <w:rPr>
                <w:rFonts w:ascii="Times New Roman" w:eastAsia="Times New Roman" w:hAnsi="Times New Roman" w:cs="Times New Roman"/>
                <w:sz w:val="24"/>
                <w:szCs w:val="24"/>
                <w:lang w:eastAsia="lv-LV"/>
              </w:rPr>
              <w:t>.</w:t>
            </w:r>
            <w:r w:rsidRPr="00EF6F40">
              <w:rPr>
                <w:rFonts w:ascii="Times New Roman" w:eastAsia="Times New Roman" w:hAnsi="Times New Roman" w:cs="Times New Roman"/>
                <w:sz w:val="24"/>
                <w:szCs w:val="24"/>
                <w:lang w:eastAsia="lv-LV"/>
              </w:rPr>
              <w:t xml:space="preserve"> Vienlaikus ar </w:t>
            </w:r>
            <w:r w:rsidR="00C525C8"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oteikumu projektu tiek noteiktas prasības, kuras Latvijas Banka uzraudzības ietvaros var konkrēti kontrolēt un nepieciešamības gadījumā par konkrētu prasību pārkāpumu piemērot</w:t>
            </w:r>
            <w:r w:rsidR="00BF4FFD">
              <w:rPr>
                <w:rFonts w:ascii="Times New Roman" w:eastAsia="Times New Roman" w:hAnsi="Times New Roman" w:cs="Times New Roman"/>
                <w:sz w:val="24"/>
                <w:szCs w:val="24"/>
                <w:lang w:eastAsia="lv-LV"/>
              </w:rPr>
              <w:t xml:space="preserve"> finanšu</w:t>
            </w:r>
            <w:r w:rsidRPr="00EF6F40">
              <w:rPr>
                <w:rFonts w:ascii="Times New Roman" w:eastAsia="Times New Roman" w:hAnsi="Times New Roman" w:cs="Times New Roman"/>
                <w:sz w:val="24"/>
                <w:szCs w:val="24"/>
                <w:lang w:eastAsia="lv-LV"/>
              </w:rPr>
              <w:t xml:space="preserve"> </w:t>
            </w:r>
            <w:r w:rsidR="0021635F" w:rsidRPr="00EF6F40">
              <w:rPr>
                <w:rFonts w:ascii="Times New Roman" w:eastAsia="Times New Roman" w:hAnsi="Times New Roman" w:cs="Times New Roman"/>
                <w:sz w:val="24"/>
                <w:szCs w:val="24"/>
                <w:lang w:eastAsia="lv-LV"/>
              </w:rPr>
              <w:t xml:space="preserve">tirgus dalībniekam </w:t>
            </w:r>
            <w:r w:rsidRPr="00EF6F40">
              <w:rPr>
                <w:rFonts w:ascii="Times New Roman" w:eastAsia="Times New Roman" w:hAnsi="Times New Roman" w:cs="Times New Roman"/>
                <w:sz w:val="24"/>
                <w:szCs w:val="24"/>
                <w:lang w:eastAsia="lv-LV"/>
              </w:rPr>
              <w:t>korektīvos pasākumus vai sankcijas.</w:t>
            </w:r>
          </w:p>
          <w:p w14:paraId="1CED843F" w14:textId="77777777" w:rsidR="004F7B37" w:rsidRPr="00EF6F40" w:rsidRDefault="004F7B37" w:rsidP="007D273D">
            <w:pPr>
              <w:spacing w:after="0" w:line="240" w:lineRule="auto"/>
              <w:jc w:val="both"/>
              <w:rPr>
                <w:rFonts w:ascii="Times New Roman" w:eastAsia="Times New Roman" w:hAnsi="Times New Roman" w:cs="Times New Roman"/>
                <w:sz w:val="24"/>
                <w:szCs w:val="24"/>
                <w:lang w:eastAsia="lv-LV"/>
              </w:rPr>
            </w:pPr>
          </w:p>
          <w:p w14:paraId="0D6B8BFC" w14:textId="4576B356" w:rsidR="00E53DE9" w:rsidRPr="00EF6F40" w:rsidRDefault="007D273D" w:rsidP="00380C87">
            <w:pPr>
              <w:spacing w:after="12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Ņemot vērā iepriekš minētos apstākļus, sabiedrības ieguvums būs lielāks par papildu slogu un resursu ieguldījumu (ņemot vērā jau esošās prasības), kas konkrētajam </w:t>
            </w:r>
            <w:r w:rsidR="00BF4FFD">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tirgus dalībniekam varētu rasties ar uzliktajiem pienākumiem, un tos atsver gaidāmie ilgtermiņa ieguvumi stabilāka finanšu sektora veidā.</w:t>
            </w:r>
            <w:r w:rsidR="0050024C" w:rsidRPr="00EF6F40">
              <w:rPr>
                <w:rFonts w:ascii="Times New Roman" w:eastAsia="Times New Roman" w:hAnsi="Times New Roman" w:cs="Times New Roman"/>
                <w:sz w:val="24"/>
                <w:szCs w:val="24"/>
                <w:lang w:eastAsia="lv-LV"/>
              </w:rPr>
              <w:t xml:space="preserve"> </w:t>
            </w:r>
            <w:r w:rsidRPr="00EF6F40">
              <w:rPr>
                <w:rFonts w:ascii="Times New Roman" w:eastAsia="Times New Roman" w:hAnsi="Times New Roman" w:cs="Times New Roman"/>
                <w:sz w:val="24"/>
                <w:szCs w:val="24"/>
                <w:lang w:eastAsia="lv-LV"/>
              </w:rPr>
              <w:t xml:space="preserve">Respektīvi, normatīvais akts kopumā un tajā ietvertās tiesību normas atbilst samērīguma principam, jo, pirmkārt, ar </w:t>
            </w:r>
            <w:r w:rsidR="00C525C8"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oteikumu projekta ieviešanu tiek sasniegts leģitīmais mērķis (citu personu tiesību un sabiedrības labklājības aizsardzība)</w:t>
            </w:r>
            <w:r w:rsidR="0021635F" w:rsidRPr="00EF6F40">
              <w:rPr>
                <w:rFonts w:ascii="Times New Roman" w:eastAsia="Times New Roman" w:hAnsi="Times New Roman" w:cs="Times New Roman"/>
                <w:sz w:val="24"/>
                <w:szCs w:val="24"/>
                <w:lang w:eastAsia="lv-LV"/>
              </w:rPr>
              <w:t xml:space="preserve"> un,</w:t>
            </w:r>
            <w:r w:rsidRPr="00EF6F40">
              <w:rPr>
                <w:rFonts w:ascii="Times New Roman" w:eastAsia="Times New Roman" w:hAnsi="Times New Roman" w:cs="Times New Roman"/>
                <w:sz w:val="24"/>
                <w:szCs w:val="24"/>
                <w:lang w:eastAsia="lv-LV"/>
              </w:rPr>
              <w:t xml:space="preserve"> </w:t>
            </w:r>
            <w:r w:rsidR="0021635F" w:rsidRPr="00EF6F40">
              <w:rPr>
                <w:rFonts w:ascii="Times New Roman" w:eastAsia="Times New Roman" w:hAnsi="Times New Roman" w:cs="Times New Roman"/>
                <w:sz w:val="24"/>
                <w:szCs w:val="24"/>
                <w:lang w:eastAsia="lv-LV"/>
              </w:rPr>
              <w:t>o</w:t>
            </w:r>
            <w:r w:rsidRPr="00EF6F40">
              <w:rPr>
                <w:rFonts w:ascii="Times New Roman" w:eastAsia="Times New Roman" w:hAnsi="Times New Roman" w:cs="Times New Roman"/>
                <w:sz w:val="24"/>
                <w:szCs w:val="24"/>
                <w:lang w:eastAsia="lv-LV"/>
              </w:rPr>
              <w:t>trkārt, nav iespējams pēc būtības īstenot citu personu tiesību un sabiedrības labklājības aizsardzību ar citiem līdzekļiem, kā arī nepastāv tādi alternatīvi līdzekļi, kas sasniegtu leģitīmo mērķi tādā pašā kvalitātē.</w:t>
            </w:r>
          </w:p>
        </w:tc>
      </w:tr>
      <w:tr w:rsidR="000B4E0A" w:rsidRPr="003E1B46" w14:paraId="321E4686" w14:textId="77777777" w:rsidTr="536E3942">
        <w:trPr>
          <w:trHeight w:val="567"/>
        </w:trPr>
        <w:tc>
          <w:tcPr>
            <w:tcW w:w="987" w:type="pct"/>
            <w:shd w:val="clear" w:color="auto" w:fill="auto"/>
            <w:hideMark/>
          </w:tcPr>
          <w:p w14:paraId="1DCE7959"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bookmarkStart w:id="1" w:name="_Hlk129966404"/>
            <w:r w:rsidRPr="003E1B46">
              <w:rPr>
                <w:rFonts w:ascii="Times New Roman" w:eastAsia="Times New Roman" w:hAnsi="Times New Roman" w:cs="Times New Roman"/>
                <w:b/>
                <w:bCs/>
                <w:sz w:val="24"/>
                <w:szCs w:val="24"/>
                <w:lang w:eastAsia="lv-LV"/>
              </w:rPr>
              <w:lastRenderedPageBreak/>
              <w:t>Spēkā stāšanās</w:t>
            </w:r>
          </w:p>
          <w:bookmarkEnd w:id="1"/>
          <w:p w14:paraId="1511FA9D"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DC8241C" w14:textId="577AA92A" w:rsidR="00393ABD" w:rsidRPr="00EF6F40" w:rsidRDefault="00C525C8" w:rsidP="00D2738F">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w:t>
            </w:r>
            <w:r w:rsidR="0021635F" w:rsidRPr="00EF6F40">
              <w:rPr>
                <w:rFonts w:ascii="Times New Roman" w:eastAsia="Times New Roman" w:hAnsi="Times New Roman" w:cs="Times New Roman"/>
                <w:sz w:val="24"/>
                <w:szCs w:val="24"/>
                <w:lang w:eastAsia="lv-LV"/>
              </w:rPr>
              <w:t>u</w:t>
            </w:r>
            <w:r w:rsidRPr="00EF6F40">
              <w:rPr>
                <w:rFonts w:ascii="Times New Roman" w:eastAsia="Times New Roman" w:hAnsi="Times New Roman" w:cs="Times New Roman"/>
                <w:sz w:val="24"/>
                <w:szCs w:val="24"/>
                <w:lang w:eastAsia="lv-LV"/>
              </w:rPr>
              <w:t xml:space="preserve"> projekts stā</w:t>
            </w:r>
            <w:r w:rsidR="006053B8" w:rsidRPr="00EF6F40">
              <w:rPr>
                <w:rFonts w:ascii="Times New Roman" w:eastAsia="Times New Roman" w:hAnsi="Times New Roman" w:cs="Times New Roman"/>
                <w:sz w:val="24"/>
                <w:szCs w:val="24"/>
                <w:lang w:eastAsia="lv-LV"/>
              </w:rPr>
              <w:t>sie</w:t>
            </w:r>
            <w:r w:rsidRPr="00EF6F40">
              <w:rPr>
                <w:rFonts w:ascii="Times New Roman" w:eastAsia="Times New Roman" w:hAnsi="Times New Roman" w:cs="Times New Roman"/>
                <w:sz w:val="24"/>
                <w:szCs w:val="24"/>
                <w:lang w:eastAsia="lv-LV"/>
              </w:rPr>
              <w:t xml:space="preserve">s spēkā </w:t>
            </w:r>
            <w:r w:rsidRPr="00796115">
              <w:rPr>
                <w:rFonts w:ascii="Times New Roman" w:eastAsia="Times New Roman" w:hAnsi="Times New Roman" w:cs="Times New Roman"/>
                <w:sz w:val="24"/>
                <w:szCs w:val="24"/>
                <w:lang w:eastAsia="lv-LV"/>
              </w:rPr>
              <w:t>202</w:t>
            </w:r>
            <w:r w:rsidR="00CD2F35" w:rsidRPr="00796115">
              <w:rPr>
                <w:rFonts w:ascii="Times New Roman" w:eastAsia="Times New Roman" w:hAnsi="Times New Roman" w:cs="Times New Roman"/>
                <w:sz w:val="24"/>
                <w:szCs w:val="24"/>
                <w:lang w:eastAsia="lv-LV"/>
              </w:rPr>
              <w:t>4</w:t>
            </w:r>
            <w:r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Pr="00796115">
              <w:rPr>
                <w:rFonts w:ascii="Times New Roman" w:eastAsia="Times New Roman" w:hAnsi="Times New Roman" w:cs="Times New Roman"/>
                <w:sz w:val="24"/>
                <w:szCs w:val="24"/>
                <w:lang w:eastAsia="lv-LV"/>
              </w:rPr>
              <w:t xml:space="preserve">gada </w:t>
            </w:r>
            <w:r w:rsidR="00D2738F" w:rsidRPr="00796115">
              <w:rPr>
                <w:rFonts w:ascii="Times New Roman" w:eastAsia="Times New Roman" w:hAnsi="Times New Roman" w:cs="Times New Roman"/>
                <w:sz w:val="24"/>
                <w:szCs w:val="24"/>
                <w:lang w:eastAsia="lv-LV"/>
              </w:rPr>
              <w:t>1</w:t>
            </w:r>
            <w:r w:rsidRPr="00796115">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00CD2F35" w:rsidRPr="00796115">
              <w:rPr>
                <w:rFonts w:ascii="Times New Roman" w:eastAsia="Times New Roman" w:hAnsi="Times New Roman" w:cs="Times New Roman"/>
                <w:sz w:val="24"/>
                <w:szCs w:val="24"/>
                <w:lang w:eastAsia="lv-LV"/>
              </w:rPr>
              <w:t>janvārī</w:t>
            </w:r>
            <w:r w:rsidRPr="00796115">
              <w:rPr>
                <w:rFonts w:ascii="Times New Roman" w:eastAsia="Times New Roman" w:hAnsi="Times New Roman" w:cs="Times New Roman"/>
                <w:sz w:val="24"/>
                <w:szCs w:val="24"/>
                <w:lang w:eastAsia="lv-LV"/>
              </w:rPr>
              <w:t>.</w:t>
            </w:r>
            <w:r w:rsidR="00393ABD" w:rsidRPr="00EF6F40">
              <w:rPr>
                <w:rFonts w:ascii="Times New Roman" w:eastAsia="Times New Roman" w:hAnsi="Times New Roman" w:cs="Times New Roman"/>
                <w:sz w:val="24"/>
                <w:szCs w:val="24"/>
                <w:lang w:eastAsia="lv-LV"/>
              </w:rPr>
              <w:t xml:space="preserve"> </w:t>
            </w:r>
          </w:p>
        </w:tc>
      </w:tr>
      <w:tr w:rsidR="000B4E0A" w:rsidRPr="003E1B46" w14:paraId="45EA6203" w14:textId="77777777" w:rsidTr="536E3942">
        <w:trPr>
          <w:trHeight w:val="567"/>
        </w:trPr>
        <w:tc>
          <w:tcPr>
            <w:tcW w:w="987" w:type="pct"/>
            <w:shd w:val="clear" w:color="auto" w:fill="auto"/>
            <w:hideMark/>
          </w:tcPr>
          <w:p w14:paraId="4E84625D"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t>Ietekme uz Latvijas Bankas budžetu</w:t>
            </w:r>
          </w:p>
          <w:p w14:paraId="47BE61E7"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6DBEA5C5" w14:textId="659E00F9" w:rsidR="00E53DE9" w:rsidRPr="00EF6F40" w:rsidRDefault="00C525C8" w:rsidP="00C525C8">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Normatīvā akta izdošana neietekmēs Latvijas Bankas budžeta ieņēmumus un izdevumus.</w:t>
            </w:r>
          </w:p>
        </w:tc>
      </w:tr>
      <w:tr w:rsidR="000B4E0A" w:rsidRPr="003E1B46" w14:paraId="18381FCD" w14:textId="77777777" w:rsidTr="536E3942">
        <w:trPr>
          <w:trHeight w:val="567"/>
        </w:trPr>
        <w:tc>
          <w:tcPr>
            <w:tcW w:w="987" w:type="pct"/>
            <w:shd w:val="clear" w:color="auto" w:fill="auto"/>
            <w:hideMark/>
          </w:tcPr>
          <w:p w14:paraId="4BBEF936"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bookmarkStart w:id="2" w:name="_Hlk129966385"/>
            <w:r w:rsidRPr="003E1B46">
              <w:rPr>
                <w:rFonts w:ascii="Times New Roman" w:eastAsia="Times New Roman" w:hAnsi="Times New Roman" w:cs="Times New Roman"/>
                <w:b/>
                <w:bCs/>
                <w:sz w:val="24"/>
                <w:szCs w:val="24"/>
                <w:lang w:eastAsia="lv-LV"/>
              </w:rPr>
              <w:t xml:space="preserve">Administratīvā sloga un izmaksu novērtējums </w:t>
            </w:r>
            <w:r w:rsidR="00C85C34" w:rsidRPr="003E1B46">
              <w:rPr>
                <w:rFonts w:ascii="Times New Roman" w:eastAsia="Times New Roman" w:hAnsi="Times New Roman" w:cs="Times New Roman"/>
                <w:b/>
                <w:bCs/>
                <w:sz w:val="24"/>
                <w:szCs w:val="24"/>
                <w:lang w:eastAsia="lv-LV"/>
              </w:rPr>
              <w:t>(</w:t>
            </w:r>
            <w:r w:rsidRPr="003E1B46">
              <w:rPr>
                <w:rFonts w:ascii="Times New Roman" w:eastAsia="Times New Roman" w:hAnsi="Times New Roman" w:cs="Times New Roman"/>
                <w:b/>
                <w:bCs/>
                <w:sz w:val="24"/>
                <w:szCs w:val="24"/>
                <w:lang w:eastAsia="lv-LV"/>
              </w:rPr>
              <w:t>tirgus dalībniekiem</w:t>
            </w:r>
            <w:r w:rsidR="00C85C34" w:rsidRPr="003E1B46">
              <w:rPr>
                <w:rFonts w:ascii="Times New Roman" w:eastAsia="Times New Roman" w:hAnsi="Times New Roman" w:cs="Times New Roman"/>
                <w:b/>
                <w:bCs/>
                <w:sz w:val="24"/>
                <w:szCs w:val="24"/>
                <w:lang w:eastAsia="lv-LV"/>
              </w:rPr>
              <w:t>)</w:t>
            </w:r>
          </w:p>
          <w:bookmarkEnd w:id="2"/>
          <w:p w14:paraId="786B6A93"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765CACB7" w14:textId="5EB9FEFD" w:rsidR="00C525C8" w:rsidRDefault="00C525C8" w:rsidP="00C525C8">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projektā ietvertās prasības, t</w:t>
            </w:r>
            <w:r w:rsidR="0021635F"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sk</w:t>
            </w:r>
            <w:r w:rsidR="0021635F" w:rsidRPr="00EF6F40">
              <w:rPr>
                <w:rFonts w:ascii="Times New Roman" w:eastAsia="Times New Roman" w:hAnsi="Times New Roman" w:cs="Times New Roman"/>
                <w:sz w:val="24"/>
                <w:szCs w:val="24"/>
                <w:lang w:eastAsia="lv-LV"/>
              </w:rPr>
              <w:t>.</w:t>
            </w:r>
            <w:r w:rsidRPr="00EF6F40">
              <w:rPr>
                <w:rFonts w:ascii="Times New Roman" w:eastAsia="Times New Roman" w:hAnsi="Times New Roman" w:cs="Times New Roman"/>
                <w:sz w:val="24"/>
                <w:szCs w:val="24"/>
                <w:lang w:eastAsia="lv-LV"/>
              </w:rPr>
              <w:t xml:space="preserve"> </w:t>
            </w:r>
            <w:r w:rsidR="0050024C" w:rsidRPr="00EF6F40">
              <w:rPr>
                <w:rFonts w:ascii="Times New Roman" w:eastAsia="Times New Roman" w:hAnsi="Times New Roman" w:cs="Times New Roman"/>
                <w:sz w:val="24"/>
                <w:szCs w:val="24"/>
                <w:lang w:eastAsia="lv-LV"/>
              </w:rPr>
              <w:t xml:space="preserve">prasības saistībā ar </w:t>
            </w:r>
            <w:r w:rsidR="00DB50FF">
              <w:rPr>
                <w:rFonts w:ascii="Times New Roman" w:eastAsia="Times New Roman" w:hAnsi="Times New Roman" w:cs="Times New Roman"/>
                <w:sz w:val="24"/>
                <w:szCs w:val="24"/>
                <w:lang w:eastAsia="lv-LV"/>
              </w:rPr>
              <w:t>iz</w:t>
            </w:r>
            <w:r w:rsidRPr="00EF6F40">
              <w:rPr>
                <w:rFonts w:ascii="Times New Roman" w:eastAsia="Times New Roman" w:hAnsi="Times New Roman" w:cs="Times New Roman"/>
                <w:sz w:val="24"/>
                <w:szCs w:val="24"/>
                <w:lang w:eastAsia="lv-LV"/>
              </w:rPr>
              <w:t>maiņ</w:t>
            </w:r>
            <w:r w:rsidR="0050024C" w:rsidRPr="00EF6F40">
              <w:rPr>
                <w:rFonts w:ascii="Times New Roman" w:eastAsia="Times New Roman" w:hAnsi="Times New Roman" w:cs="Times New Roman"/>
                <w:sz w:val="24"/>
                <w:szCs w:val="24"/>
                <w:lang w:eastAsia="lv-LV"/>
              </w:rPr>
              <w:t>ām</w:t>
            </w:r>
            <w:r w:rsidRPr="00EF6F40">
              <w:rPr>
                <w:rFonts w:ascii="Times New Roman" w:eastAsia="Times New Roman" w:hAnsi="Times New Roman" w:cs="Times New Roman"/>
                <w:sz w:val="24"/>
                <w:szCs w:val="24"/>
                <w:lang w:eastAsia="lv-LV"/>
              </w:rPr>
              <w:t xml:space="preserve"> iekšējos procesos, </w:t>
            </w:r>
            <w:r w:rsidR="0021635F" w:rsidRPr="00EF6F40">
              <w:rPr>
                <w:rFonts w:ascii="Times New Roman" w:eastAsia="Times New Roman" w:hAnsi="Times New Roman" w:cs="Times New Roman"/>
                <w:sz w:val="24"/>
                <w:szCs w:val="24"/>
                <w:lang w:eastAsia="lv-LV"/>
              </w:rPr>
              <w:t xml:space="preserve">radīs </w:t>
            </w:r>
            <w:r w:rsidRPr="00EF6F40">
              <w:rPr>
                <w:rFonts w:ascii="Times New Roman" w:eastAsia="Times New Roman" w:hAnsi="Times New Roman" w:cs="Times New Roman"/>
                <w:sz w:val="24"/>
                <w:szCs w:val="24"/>
                <w:lang w:eastAsia="lv-LV"/>
              </w:rPr>
              <w:t xml:space="preserve">papildu administratīvo slogu </w:t>
            </w:r>
            <w:r w:rsidR="00BF4FFD">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tirgus dalībniekiem, uz kuriem ir attiecināmas noteikumu projekta prasības.</w:t>
            </w:r>
          </w:p>
          <w:p w14:paraId="7B399331" w14:textId="77777777" w:rsidR="004F7B37" w:rsidRPr="00EF6F40" w:rsidRDefault="004F7B37" w:rsidP="00C525C8">
            <w:pPr>
              <w:spacing w:after="0" w:line="240" w:lineRule="auto"/>
              <w:jc w:val="both"/>
              <w:rPr>
                <w:rFonts w:ascii="Times New Roman" w:eastAsia="Times New Roman" w:hAnsi="Times New Roman" w:cs="Times New Roman"/>
                <w:sz w:val="24"/>
                <w:szCs w:val="24"/>
                <w:lang w:eastAsia="lv-LV"/>
              </w:rPr>
            </w:pPr>
          </w:p>
          <w:p w14:paraId="5D727C6D" w14:textId="65BDBB66" w:rsidR="00FB1F38" w:rsidRDefault="00C73EE1" w:rsidP="00C525C8">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Administratīvās izmaksas precīzi nav aprēķināmas, jo </w:t>
            </w:r>
            <w:r w:rsidR="00BF4FFD">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t</w:t>
            </w:r>
            <w:r w:rsidR="00FB1F38" w:rsidRPr="00EF6F40">
              <w:rPr>
                <w:rFonts w:ascii="Times New Roman" w:eastAsia="Times New Roman" w:hAnsi="Times New Roman" w:cs="Times New Roman"/>
                <w:sz w:val="24"/>
                <w:szCs w:val="24"/>
                <w:lang w:eastAsia="lv-LV"/>
              </w:rPr>
              <w:t xml:space="preserve">irgus dalībnieku administratīvās izmaksas </w:t>
            </w:r>
            <w:r w:rsidRPr="00EF6F40">
              <w:rPr>
                <w:rFonts w:ascii="Times New Roman" w:eastAsia="Times New Roman" w:hAnsi="Times New Roman" w:cs="Times New Roman"/>
                <w:sz w:val="24"/>
                <w:szCs w:val="24"/>
                <w:lang w:eastAsia="lv-LV"/>
              </w:rPr>
              <w:t xml:space="preserve">šajā gadījumā atkarīgas no vairākiem faktoriem, piemēram, </w:t>
            </w:r>
            <w:r w:rsidR="00533C12" w:rsidRPr="00EF6F40">
              <w:rPr>
                <w:rFonts w:ascii="Times New Roman" w:eastAsia="Times New Roman" w:hAnsi="Times New Roman" w:cs="Times New Roman"/>
                <w:sz w:val="24"/>
                <w:szCs w:val="24"/>
                <w:lang w:eastAsia="lv-LV"/>
              </w:rPr>
              <w:t xml:space="preserve">no tā, </w:t>
            </w:r>
            <w:r w:rsidRPr="00EF6F40">
              <w:rPr>
                <w:rFonts w:ascii="Times New Roman" w:eastAsia="Times New Roman" w:hAnsi="Times New Roman" w:cs="Times New Roman"/>
                <w:sz w:val="24"/>
                <w:szCs w:val="24"/>
                <w:lang w:eastAsia="lv-LV"/>
              </w:rPr>
              <w:t xml:space="preserve">vai noteikumu </w:t>
            </w:r>
            <w:r w:rsidR="00BF4FFD">
              <w:rPr>
                <w:rFonts w:ascii="Times New Roman" w:eastAsia="Times New Roman" w:hAnsi="Times New Roman" w:cs="Times New Roman"/>
                <w:sz w:val="24"/>
                <w:szCs w:val="24"/>
                <w:lang w:eastAsia="lv-LV"/>
              </w:rPr>
              <w:t xml:space="preserve">projektā ietverto </w:t>
            </w:r>
            <w:r w:rsidRPr="00EF6F40">
              <w:rPr>
                <w:rFonts w:ascii="Times New Roman" w:eastAsia="Times New Roman" w:hAnsi="Times New Roman" w:cs="Times New Roman"/>
                <w:sz w:val="24"/>
                <w:szCs w:val="24"/>
                <w:lang w:eastAsia="lv-LV"/>
              </w:rPr>
              <w:t xml:space="preserve">prasību ieviešanai </w:t>
            </w:r>
            <w:r w:rsidR="00BF4FFD">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tirgus dalībnieks izmantos iekšējos vai ārējos resursus.</w:t>
            </w:r>
          </w:p>
          <w:p w14:paraId="54FC2452" w14:textId="77777777" w:rsidR="004F7B37" w:rsidRPr="00EF6F40" w:rsidRDefault="004F7B37" w:rsidP="00C525C8">
            <w:pPr>
              <w:spacing w:after="0" w:line="240" w:lineRule="auto"/>
              <w:jc w:val="both"/>
              <w:rPr>
                <w:rFonts w:ascii="Times New Roman" w:eastAsia="Times New Roman" w:hAnsi="Times New Roman" w:cs="Times New Roman"/>
                <w:sz w:val="24"/>
                <w:szCs w:val="24"/>
                <w:lang w:eastAsia="lv-LV"/>
              </w:rPr>
            </w:pPr>
          </w:p>
          <w:p w14:paraId="4BE48110" w14:textId="12B856B9" w:rsidR="00A42788" w:rsidRPr="00EF6F40" w:rsidRDefault="00C73EE1" w:rsidP="00C525C8">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Prognozējams, ka </w:t>
            </w:r>
            <w:r w:rsidR="00BF4FFD">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 xml:space="preserve">tirgus dalībnieku administratīvās izmaksas būs samērojamas ar </w:t>
            </w:r>
            <w:r w:rsidR="00BF4FFD">
              <w:rPr>
                <w:rFonts w:ascii="Times New Roman" w:eastAsia="Times New Roman" w:hAnsi="Times New Roman" w:cs="Times New Roman"/>
                <w:sz w:val="24"/>
                <w:szCs w:val="24"/>
                <w:lang w:eastAsia="lv-LV"/>
              </w:rPr>
              <w:t>to</w:t>
            </w:r>
            <w:r w:rsidRPr="00EF6F40">
              <w:rPr>
                <w:rFonts w:ascii="Times New Roman" w:eastAsia="Times New Roman" w:hAnsi="Times New Roman" w:cs="Times New Roman"/>
                <w:sz w:val="24"/>
                <w:szCs w:val="24"/>
                <w:lang w:eastAsia="lv-LV"/>
              </w:rPr>
              <w:t xml:space="preserve"> </w:t>
            </w:r>
            <w:r w:rsidR="00D2738F">
              <w:rPr>
                <w:rFonts w:ascii="Times New Roman" w:eastAsia="Times New Roman" w:hAnsi="Times New Roman" w:cs="Times New Roman"/>
                <w:sz w:val="24"/>
                <w:szCs w:val="24"/>
                <w:lang w:eastAsia="lv-LV"/>
              </w:rPr>
              <w:t>kredītriska pārvaldīšanas</w:t>
            </w:r>
            <w:r w:rsidRPr="00EF6F40">
              <w:rPr>
                <w:rFonts w:ascii="Times New Roman" w:eastAsia="Times New Roman" w:hAnsi="Times New Roman" w:cs="Times New Roman"/>
                <w:sz w:val="24"/>
                <w:szCs w:val="24"/>
                <w:lang w:eastAsia="lv-LV"/>
              </w:rPr>
              <w:t xml:space="preserve"> procesa izvēli, kā arī būs proporcionālas </w:t>
            </w:r>
            <w:r w:rsidR="00BF4FFD">
              <w:rPr>
                <w:rFonts w:ascii="Times New Roman" w:eastAsia="Times New Roman" w:hAnsi="Times New Roman" w:cs="Times New Roman"/>
                <w:sz w:val="24"/>
                <w:szCs w:val="24"/>
                <w:lang w:eastAsia="lv-LV"/>
              </w:rPr>
              <w:t>to</w:t>
            </w:r>
            <w:r w:rsidR="003B1842" w:rsidRPr="00EF6F40">
              <w:rPr>
                <w:rFonts w:ascii="Times New Roman" w:eastAsia="Times New Roman" w:hAnsi="Times New Roman" w:cs="Times New Roman"/>
                <w:sz w:val="24"/>
                <w:szCs w:val="24"/>
                <w:lang w:eastAsia="lv-LV"/>
              </w:rPr>
              <w:t xml:space="preserve"> </w:t>
            </w:r>
            <w:r w:rsidRPr="00EF6F40">
              <w:rPr>
                <w:rFonts w:ascii="Times New Roman" w:eastAsia="Times New Roman" w:hAnsi="Times New Roman" w:cs="Times New Roman"/>
                <w:sz w:val="24"/>
                <w:szCs w:val="24"/>
                <w:lang w:eastAsia="lv-LV"/>
              </w:rPr>
              <w:t>iespējām</w:t>
            </w:r>
            <w:r w:rsidR="003B1842" w:rsidRPr="00EF6F40">
              <w:rPr>
                <w:rFonts w:ascii="Times New Roman" w:eastAsia="Times New Roman" w:hAnsi="Times New Roman" w:cs="Times New Roman"/>
                <w:sz w:val="24"/>
                <w:szCs w:val="24"/>
                <w:lang w:eastAsia="lv-LV"/>
              </w:rPr>
              <w:t xml:space="preserve"> un ieguvumiem no </w:t>
            </w:r>
            <w:r w:rsidR="00D2738F">
              <w:rPr>
                <w:rFonts w:ascii="Times New Roman" w:eastAsia="Times New Roman" w:hAnsi="Times New Roman" w:cs="Times New Roman"/>
                <w:sz w:val="24"/>
                <w:szCs w:val="24"/>
                <w:lang w:eastAsia="lv-LV"/>
              </w:rPr>
              <w:t>kredīt</w:t>
            </w:r>
            <w:r w:rsidR="003B1842" w:rsidRPr="00EF6F40">
              <w:rPr>
                <w:rFonts w:ascii="Times New Roman" w:eastAsia="Times New Roman" w:hAnsi="Times New Roman" w:cs="Times New Roman"/>
                <w:sz w:val="24"/>
                <w:szCs w:val="24"/>
                <w:lang w:eastAsia="lv-LV"/>
              </w:rPr>
              <w:t xml:space="preserve">riska </w:t>
            </w:r>
            <w:r w:rsidR="00D2738F">
              <w:rPr>
                <w:rFonts w:ascii="Times New Roman" w:eastAsia="Times New Roman" w:hAnsi="Times New Roman" w:cs="Times New Roman"/>
                <w:sz w:val="24"/>
                <w:szCs w:val="24"/>
                <w:lang w:eastAsia="lv-LV"/>
              </w:rPr>
              <w:t>pārvaldīšanas</w:t>
            </w:r>
            <w:r w:rsidR="003B1842" w:rsidRPr="00EF6F40">
              <w:rPr>
                <w:rFonts w:ascii="Times New Roman" w:eastAsia="Times New Roman" w:hAnsi="Times New Roman" w:cs="Times New Roman"/>
                <w:sz w:val="24"/>
                <w:szCs w:val="24"/>
                <w:lang w:eastAsia="lv-LV"/>
              </w:rPr>
              <w:t>.</w:t>
            </w:r>
          </w:p>
        </w:tc>
      </w:tr>
      <w:tr w:rsidR="000B4E0A" w:rsidRPr="003E1B46" w14:paraId="206E398A" w14:textId="77777777" w:rsidTr="536E3942">
        <w:trPr>
          <w:trHeight w:val="567"/>
        </w:trPr>
        <w:tc>
          <w:tcPr>
            <w:tcW w:w="987" w:type="pct"/>
            <w:shd w:val="clear" w:color="auto" w:fill="auto"/>
            <w:hideMark/>
          </w:tcPr>
          <w:p w14:paraId="3C28BEE9"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t>Saistītie dokumenti</w:t>
            </w:r>
          </w:p>
          <w:p w14:paraId="0230B668"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10D163C8" w14:textId="75C752B8" w:rsidR="00C525C8" w:rsidRDefault="00C525C8" w:rsidP="00C525C8">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 xml:space="preserve">Pēc </w:t>
            </w:r>
            <w:r w:rsidR="0021635F" w:rsidRPr="00EF6F40">
              <w:rPr>
                <w:rFonts w:ascii="Times New Roman" w:eastAsia="Times New Roman" w:hAnsi="Times New Roman" w:cs="Times New Roman"/>
                <w:sz w:val="24"/>
                <w:szCs w:val="24"/>
                <w:lang w:eastAsia="lv-LV"/>
              </w:rPr>
              <w:t>n</w:t>
            </w:r>
            <w:r w:rsidRPr="00EF6F40">
              <w:rPr>
                <w:rFonts w:ascii="Times New Roman" w:eastAsia="Times New Roman" w:hAnsi="Times New Roman" w:cs="Times New Roman"/>
                <w:sz w:val="24"/>
                <w:szCs w:val="24"/>
                <w:lang w:eastAsia="lv-LV"/>
              </w:rPr>
              <w:t>oteikumu projekta stāšanās spēkā spēku zaudēs Finanšu un kapitāla tirgus komisijas 202</w:t>
            </w:r>
            <w:r w:rsidR="00B4640C">
              <w:rPr>
                <w:rFonts w:ascii="Times New Roman" w:eastAsia="Times New Roman" w:hAnsi="Times New Roman" w:cs="Times New Roman"/>
                <w:sz w:val="24"/>
                <w:szCs w:val="24"/>
                <w:lang w:eastAsia="lv-LV"/>
              </w:rPr>
              <w:t>0</w:t>
            </w:r>
            <w:r w:rsidRPr="00EF6F40">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0021635F" w:rsidRPr="00EF6F40">
              <w:rPr>
                <w:rFonts w:ascii="Times New Roman" w:eastAsia="Times New Roman" w:hAnsi="Times New Roman" w:cs="Times New Roman"/>
                <w:sz w:val="24"/>
                <w:szCs w:val="24"/>
                <w:lang w:eastAsia="lv-LV"/>
              </w:rPr>
              <w:t xml:space="preserve">gada </w:t>
            </w:r>
            <w:r w:rsidR="00B4640C">
              <w:rPr>
                <w:rFonts w:ascii="Times New Roman" w:eastAsia="Times New Roman" w:hAnsi="Times New Roman" w:cs="Times New Roman"/>
                <w:sz w:val="24"/>
                <w:szCs w:val="24"/>
                <w:lang w:eastAsia="lv-LV"/>
              </w:rPr>
              <w:t>22</w:t>
            </w:r>
            <w:r w:rsidR="0021635F" w:rsidRPr="00EF6F40">
              <w:rPr>
                <w:rFonts w:ascii="Times New Roman" w:eastAsia="Times New Roman" w:hAnsi="Times New Roman" w:cs="Times New Roman"/>
                <w:sz w:val="24"/>
                <w:szCs w:val="24"/>
                <w:lang w:eastAsia="lv-LV"/>
              </w:rPr>
              <w:t>.</w:t>
            </w:r>
            <w:r w:rsidR="00753511">
              <w:rPr>
                <w:rFonts w:ascii="Times New Roman" w:eastAsia="Times New Roman" w:hAnsi="Times New Roman" w:cs="Times New Roman"/>
                <w:sz w:val="24"/>
                <w:szCs w:val="24"/>
                <w:lang w:eastAsia="lv-LV"/>
              </w:rPr>
              <w:t> </w:t>
            </w:r>
            <w:r w:rsidR="00B4640C">
              <w:rPr>
                <w:rFonts w:ascii="Times New Roman" w:eastAsia="Times New Roman" w:hAnsi="Times New Roman" w:cs="Times New Roman"/>
                <w:sz w:val="24"/>
                <w:szCs w:val="24"/>
                <w:lang w:eastAsia="lv-LV"/>
              </w:rPr>
              <w:t>decembra</w:t>
            </w:r>
            <w:r w:rsidRPr="00EF6F40">
              <w:rPr>
                <w:rFonts w:ascii="Times New Roman" w:eastAsia="Times New Roman" w:hAnsi="Times New Roman" w:cs="Times New Roman"/>
                <w:sz w:val="24"/>
                <w:szCs w:val="24"/>
                <w:lang w:eastAsia="lv-LV"/>
              </w:rPr>
              <w:t xml:space="preserve"> normatīvie noteikumi Nr.</w:t>
            </w:r>
            <w:r w:rsidR="00753511">
              <w:rPr>
                <w:rFonts w:ascii="Times New Roman" w:eastAsia="Times New Roman" w:hAnsi="Times New Roman" w:cs="Times New Roman"/>
                <w:sz w:val="24"/>
                <w:szCs w:val="24"/>
                <w:lang w:eastAsia="lv-LV"/>
              </w:rPr>
              <w:t> </w:t>
            </w:r>
            <w:r w:rsidR="00B4640C">
              <w:rPr>
                <w:rFonts w:ascii="Times New Roman" w:eastAsia="Times New Roman" w:hAnsi="Times New Roman" w:cs="Times New Roman"/>
                <w:sz w:val="24"/>
                <w:szCs w:val="24"/>
                <w:lang w:eastAsia="lv-LV"/>
              </w:rPr>
              <w:t>242</w:t>
            </w:r>
            <w:r w:rsidRPr="00EF6F40">
              <w:rPr>
                <w:rFonts w:ascii="Times New Roman" w:eastAsia="Times New Roman" w:hAnsi="Times New Roman" w:cs="Times New Roman"/>
                <w:sz w:val="24"/>
                <w:szCs w:val="24"/>
                <w:lang w:eastAsia="lv-LV"/>
              </w:rPr>
              <w:t xml:space="preserve"> "</w:t>
            </w:r>
            <w:r w:rsidR="00B4640C">
              <w:rPr>
                <w:rFonts w:ascii="Times New Roman" w:eastAsia="Times New Roman" w:hAnsi="Times New Roman" w:cs="Times New Roman"/>
                <w:sz w:val="24"/>
                <w:szCs w:val="24"/>
                <w:lang w:eastAsia="lv-LV"/>
              </w:rPr>
              <w:t>Kredītriska pārvaldīšanas</w:t>
            </w:r>
            <w:r w:rsidRPr="00EF6F40">
              <w:rPr>
                <w:rFonts w:ascii="Times New Roman" w:eastAsia="Times New Roman" w:hAnsi="Times New Roman" w:cs="Times New Roman"/>
                <w:sz w:val="24"/>
                <w:szCs w:val="24"/>
                <w:lang w:eastAsia="lv-LV"/>
              </w:rPr>
              <w:t xml:space="preserve"> normatīvie noteikumi"</w:t>
            </w:r>
            <w:r w:rsidR="004A7273">
              <w:rPr>
                <w:rFonts w:ascii="Times New Roman" w:eastAsia="Times New Roman" w:hAnsi="Times New Roman" w:cs="Times New Roman"/>
                <w:sz w:val="24"/>
                <w:szCs w:val="24"/>
                <w:lang w:eastAsia="lv-LV"/>
              </w:rPr>
              <w:t>.</w:t>
            </w:r>
          </w:p>
          <w:p w14:paraId="35CFECE0" w14:textId="77777777" w:rsidR="004F7B37" w:rsidRPr="00EF6F40" w:rsidRDefault="004F7B37" w:rsidP="00C525C8">
            <w:pPr>
              <w:spacing w:after="0" w:line="240" w:lineRule="auto"/>
              <w:jc w:val="both"/>
              <w:rPr>
                <w:rFonts w:ascii="Times New Roman" w:eastAsia="Times New Roman" w:hAnsi="Times New Roman" w:cs="Times New Roman"/>
                <w:sz w:val="24"/>
                <w:szCs w:val="24"/>
                <w:lang w:eastAsia="lv-LV"/>
              </w:rPr>
            </w:pPr>
          </w:p>
          <w:p w14:paraId="4BEDB497" w14:textId="26472804" w:rsidR="00C525C8" w:rsidRDefault="00C525C8" w:rsidP="00C525C8">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projekts papildus neskar citus procesus, bet t</w:t>
            </w:r>
            <w:r w:rsidR="0021635F" w:rsidRPr="00EF6F40">
              <w:rPr>
                <w:rFonts w:ascii="Times New Roman" w:eastAsia="Times New Roman" w:hAnsi="Times New Roman" w:cs="Times New Roman"/>
                <w:sz w:val="24"/>
                <w:szCs w:val="24"/>
                <w:lang w:eastAsia="lv-LV"/>
              </w:rPr>
              <w:t>a</w:t>
            </w:r>
            <w:r w:rsidRPr="00EF6F40">
              <w:rPr>
                <w:rFonts w:ascii="Times New Roman" w:eastAsia="Times New Roman" w:hAnsi="Times New Roman" w:cs="Times New Roman"/>
                <w:sz w:val="24"/>
                <w:szCs w:val="24"/>
                <w:lang w:eastAsia="lv-LV"/>
              </w:rPr>
              <w:t>m ir cieša saikne ar Finanšu un kapitāla tirgus komisijas 2020.</w:t>
            </w:r>
            <w:r w:rsidR="00753511">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gada 1.</w:t>
            </w:r>
            <w:r w:rsidR="00753511">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 xml:space="preserve">decembra </w:t>
            </w:r>
            <w:r w:rsidR="0021635F" w:rsidRPr="00EF6F40">
              <w:rPr>
                <w:rFonts w:ascii="Times New Roman" w:eastAsia="Times New Roman" w:hAnsi="Times New Roman" w:cs="Times New Roman"/>
                <w:sz w:val="24"/>
                <w:szCs w:val="24"/>
                <w:lang w:eastAsia="lv-LV"/>
              </w:rPr>
              <w:t xml:space="preserve">normatīvajos </w:t>
            </w:r>
            <w:r w:rsidRPr="00EF6F40">
              <w:rPr>
                <w:rFonts w:ascii="Times New Roman" w:eastAsia="Times New Roman" w:hAnsi="Times New Roman" w:cs="Times New Roman"/>
                <w:sz w:val="24"/>
                <w:szCs w:val="24"/>
                <w:lang w:eastAsia="lv-LV"/>
              </w:rPr>
              <w:t>noteikumos Nr.</w:t>
            </w:r>
            <w:r w:rsidR="00753511">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227 "Iekšējās kontroles sistēmas izveides normatīvie noteikumi" noteiktajiem principiem attiecībā uz vispārīgajiem</w:t>
            </w:r>
            <w:r w:rsidR="00BF4FFD">
              <w:rPr>
                <w:rFonts w:ascii="Times New Roman" w:eastAsia="Times New Roman" w:hAnsi="Times New Roman" w:cs="Times New Roman"/>
                <w:sz w:val="24"/>
                <w:szCs w:val="24"/>
                <w:lang w:eastAsia="lv-LV"/>
              </w:rPr>
              <w:t xml:space="preserve"> finanšu</w:t>
            </w:r>
            <w:r w:rsidRPr="00EF6F40">
              <w:rPr>
                <w:rFonts w:ascii="Times New Roman" w:eastAsia="Times New Roman" w:hAnsi="Times New Roman" w:cs="Times New Roman"/>
                <w:sz w:val="24"/>
                <w:szCs w:val="24"/>
                <w:lang w:eastAsia="lv-LV"/>
              </w:rPr>
              <w:t xml:space="preserve"> tirgus dalībnieka darbības risku identificēšanas </w:t>
            </w:r>
            <w:r w:rsidRPr="00EF6F40">
              <w:rPr>
                <w:rFonts w:ascii="Times New Roman" w:eastAsia="Times New Roman" w:hAnsi="Times New Roman" w:cs="Times New Roman"/>
                <w:sz w:val="24"/>
                <w:szCs w:val="24"/>
                <w:lang w:eastAsia="lv-LV"/>
              </w:rPr>
              <w:lastRenderedPageBreak/>
              <w:t>un pārvaldīšanas kritērijiem, kā arī attiecībā uz kapitāla pietiekamības novērtēšanas procesu.</w:t>
            </w:r>
          </w:p>
          <w:p w14:paraId="677E4EB9" w14:textId="77777777" w:rsidR="004F7B37" w:rsidRPr="00EF6F40" w:rsidRDefault="004F7B37" w:rsidP="00C525C8">
            <w:pPr>
              <w:spacing w:after="0" w:line="240" w:lineRule="auto"/>
              <w:jc w:val="both"/>
              <w:rPr>
                <w:rFonts w:ascii="Times New Roman" w:eastAsia="Times New Roman" w:hAnsi="Times New Roman" w:cs="Times New Roman"/>
                <w:sz w:val="24"/>
                <w:szCs w:val="24"/>
                <w:lang w:eastAsia="lv-LV"/>
              </w:rPr>
            </w:pPr>
          </w:p>
          <w:p w14:paraId="2FF96E38" w14:textId="6B111104" w:rsidR="00E53DE9" w:rsidRDefault="00C525C8" w:rsidP="004F7B37">
            <w:pPr>
              <w:spacing w:after="0"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Papildus</w:t>
            </w:r>
            <w:r w:rsidR="00BF4FFD">
              <w:rPr>
                <w:rFonts w:ascii="Times New Roman" w:eastAsia="Times New Roman" w:hAnsi="Times New Roman" w:cs="Times New Roman"/>
                <w:sz w:val="24"/>
                <w:szCs w:val="24"/>
                <w:lang w:eastAsia="lv-LV"/>
              </w:rPr>
              <w:t xml:space="preserve"> tam</w:t>
            </w:r>
            <w:r w:rsidRPr="00EF6F40">
              <w:rPr>
                <w:rFonts w:ascii="Times New Roman" w:eastAsia="Times New Roman" w:hAnsi="Times New Roman" w:cs="Times New Roman"/>
                <w:sz w:val="24"/>
                <w:szCs w:val="24"/>
                <w:lang w:eastAsia="lv-LV"/>
              </w:rPr>
              <w:t xml:space="preserve"> noteikumu projektam ir cieša saikne ar Finanšu un kapitāla tirgus komisijas 2020.</w:t>
            </w:r>
            <w:r w:rsidR="00753511">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gada 3.</w:t>
            </w:r>
            <w:r w:rsidR="00753511">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 xml:space="preserve">novembra </w:t>
            </w:r>
            <w:r w:rsidR="0021635F" w:rsidRPr="00EF6F40">
              <w:rPr>
                <w:rFonts w:ascii="Times New Roman" w:eastAsia="Times New Roman" w:hAnsi="Times New Roman" w:cs="Times New Roman"/>
                <w:sz w:val="24"/>
                <w:szCs w:val="24"/>
                <w:lang w:eastAsia="lv-LV"/>
              </w:rPr>
              <w:t xml:space="preserve">normatīvajos </w:t>
            </w:r>
            <w:r w:rsidRPr="00EF6F40">
              <w:rPr>
                <w:rFonts w:ascii="Times New Roman" w:eastAsia="Times New Roman" w:hAnsi="Times New Roman" w:cs="Times New Roman"/>
                <w:sz w:val="24"/>
                <w:szCs w:val="24"/>
                <w:lang w:eastAsia="lv-LV"/>
              </w:rPr>
              <w:t>noteikumos Nr.</w:t>
            </w:r>
            <w:r w:rsidR="0021635F" w:rsidRPr="00EF6F40">
              <w:rPr>
                <w:rFonts w:ascii="Times New Roman" w:eastAsia="Times New Roman" w:hAnsi="Times New Roman" w:cs="Times New Roman"/>
                <w:sz w:val="24"/>
                <w:szCs w:val="24"/>
                <w:lang w:eastAsia="lv-LV"/>
              </w:rPr>
              <w:t> </w:t>
            </w:r>
            <w:r w:rsidRPr="00EF6F40">
              <w:rPr>
                <w:rFonts w:ascii="Times New Roman" w:eastAsia="Times New Roman" w:hAnsi="Times New Roman" w:cs="Times New Roman"/>
                <w:sz w:val="24"/>
                <w:szCs w:val="24"/>
                <w:lang w:eastAsia="lv-LV"/>
              </w:rPr>
              <w:t xml:space="preserve">209 "Kapitāla un likviditātes pietiekamības novērtēšanas procesa izveides normatīvie noteikumi" noteiktajām prasībām, kas </w:t>
            </w:r>
            <w:r w:rsidR="00BF4FFD">
              <w:rPr>
                <w:rFonts w:ascii="Times New Roman" w:eastAsia="Times New Roman" w:hAnsi="Times New Roman" w:cs="Times New Roman"/>
                <w:sz w:val="24"/>
                <w:szCs w:val="24"/>
                <w:lang w:eastAsia="lv-LV"/>
              </w:rPr>
              <w:t xml:space="preserve">finanšu </w:t>
            </w:r>
            <w:r w:rsidRPr="00EF6F40">
              <w:rPr>
                <w:rFonts w:ascii="Times New Roman" w:eastAsia="Times New Roman" w:hAnsi="Times New Roman" w:cs="Times New Roman"/>
                <w:sz w:val="24"/>
                <w:szCs w:val="24"/>
                <w:lang w:eastAsia="lv-LV"/>
              </w:rPr>
              <w:t>tirgus dalībniekiem ir jāpiemēro kapitāla pietiekamības novērtēšanas proces</w:t>
            </w:r>
            <w:r w:rsidR="0021635F" w:rsidRPr="00EF6F40">
              <w:rPr>
                <w:rFonts w:ascii="Times New Roman" w:eastAsia="Times New Roman" w:hAnsi="Times New Roman" w:cs="Times New Roman"/>
                <w:sz w:val="24"/>
                <w:szCs w:val="24"/>
                <w:lang w:eastAsia="lv-LV"/>
              </w:rPr>
              <w:t>ā</w:t>
            </w:r>
            <w:r w:rsidRPr="00EF6F40">
              <w:rPr>
                <w:rFonts w:ascii="Times New Roman" w:eastAsia="Times New Roman" w:hAnsi="Times New Roman" w:cs="Times New Roman"/>
                <w:sz w:val="24"/>
                <w:szCs w:val="24"/>
                <w:lang w:eastAsia="lv-LV"/>
              </w:rPr>
              <w:t>.</w:t>
            </w:r>
          </w:p>
          <w:p w14:paraId="4037B889" w14:textId="77777777" w:rsidR="004F7B37" w:rsidRPr="00EF6F40" w:rsidRDefault="004F7B37" w:rsidP="00ED637C">
            <w:pPr>
              <w:spacing w:after="0" w:line="240" w:lineRule="auto"/>
              <w:jc w:val="both"/>
              <w:rPr>
                <w:rFonts w:ascii="Times New Roman" w:eastAsia="Times New Roman" w:hAnsi="Times New Roman" w:cs="Times New Roman"/>
                <w:sz w:val="24"/>
                <w:szCs w:val="24"/>
                <w:lang w:eastAsia="lv-LV"/>
              </w:rPr>
            </w:pPr>
          </w:p>
          <w:p w14:paraId="21D26B61" w14:textId="75CAB76A" w:rsidR="00E53DE9" w:rsidRPr="00EF6F40" w:rsidRDefault="0650B640" w:rsidP="00C525C8">
            <w:pPr>
              <w:spacing w:line="240" w:lineRule="auto"/>
              <w:jc w:val="both"/>
              <w:rPr>
                <w:rFonts w:ascii="Times New Roman" w:eastAsia="Times New Roman" w:hAnsi="Times New Roman" w:cs="Times New Roman"/>
                <w:sz w:val="24"/>
                <w:szCs w:val="24"/>
                <w:lang w:eastAsia="lv-LV"/>
              </w:rPr>
            </w:pPr>
            <w:r w:rsidRPr="5929E423">
              <w:rPr>
                <w:rFonts w:ascii="Times New Roman" w:eastAsia="Times New Roman" w:hAnsi="Times New Roman" w:cs="Times New Roman"/>
                <w:sz w:val="24"/>
                <w:szCs w:val="24"/>
                <w:lang w:eastAsia="lv-LV"/>
              </w:rPr>
              <w:t>Noteikumu projektā izmantot</w:t>
            </w:r>
            <w:r w:rsidR="284DE102" w:rsidRPr="5929E423">
              <w:rPr>
                <w:rFonts w:ascii="Times New Roman" w:eastAsia="Times New Roman" w:hAnsi="Times New Roman" w:cs="Times New Roman"/>
                <w:sz w:val="24"/>
                <w:szCs w:val="24"/>
                <w:lang w:eastAsia="lv-LV"/>
              </w:rPr>
              <w:t>ā</w:t>
            </w:r>
            <w:r w:rsidRPr="5929E423">
              <w:rPr>
                <w:rFonts w:ascii="Times New Roman" w:eastAsia="Times New Roman" w:hAnsi="Times New Roman" w:cs="Times New Roman"/>
                <w:sz w:val="24"/>
                <w:szCs w:val="24"/>
                <w:lang w:eastAsia="lv-LV"/>
              </w:rPr>
              <w:t xml:space="preserve"> termin</w:t>
            </w:r>
            <w:r w:rsidR="537ADA6B" w:rsidRPr="5929E423">
              <w:rPr>
                <w:rFonts w:ascii="Times New Roman" w:eastAsia="Times New Roman" w:hAnsi="Times New Roman" w:cs="Times New Roman"/>
                <w:sz w:val="24"/>
                <w:szCs w:val="24"/>
                <w:lang w:eastAsia="lv-LV"/>
              </w:rPr>
              <w:t>a</w:t>
            </w:r>
            <w:r w:rsidRPr="5929E423">
              <w:rPr>
                <w:rFonts w:ascii="Times New Roman" w:eastAsia="Times New Roman" w:hAnsi="Times New Roman" w:cs="Times New Roman"/>
                <w:sz w:val="24"/>
                <w:szCs w:val="24"/>
                <w:lang w:eastAsia="lv-LV"/>
              </w:rPr>
              <w:t xml:space="preserve"> "uz aizņēmējiem vērstie instrumenti"</w:t>
            </w:r>
            <w:r w:rsidR="2D555C3C" w:rsidRPr="5929E423">
              <w:rPr>
                <w:rFonts w:ascii="Times New Roman" w:eastAsia="Times New Roman" w:hAnsi="Times New Roman" w:cs="Times New Roman"/>
                <w:sz w:val="24"/>
                <w:szCs w:val="24"/>
                <w:lang w:eastAsia="lv-LV"/>
              </w:rPr>
              <w:t xml:space="preserve"> </w:t>
            </w:r>
            <w:r w:rsidR="7FF4544B" w:rsidRPr="5929E423">
              <w:rPr>
                <w:rFonts w:ascii="Times New Roman" w:eastAsia="Times New Roman" w:hAnsi="Times New Roman" w:cs="Times New Roman"/>
                <w:sz w:val="24"/>
                <w:szCs w:val="24"/>
                <w:lang w:eastAsia="lv-LV"/>
              </w:rPr>
              <w:t xml:space="preserve">saturs </w:t>
            </w:r>
            <w:r w:rsidR="32460A67" w:rsidRPr="5929E423">
              <w:rPr>
                <w:rFonts w:ascii="Times New Roman" w:eastAsia="Times New Roman" w:hAnsi="Times New Roman" w:cs="Times New Roman"/>
                <w:sz w:val="24"/>
                <w:szCs w:val="24"/>
                <w:lang w:eastAsia="lv-LV"/>
              </w:rPr>
              <w:t xml:space="preserve">un </w:t>
            </w:r>
            <w:r w:rsidR="56108441" w:rsidRPr="5929E423">
              <w:rPr>
                <w:rFonts w:ascii="Times New Roman" w:eastAsia="Times New Roman" w:hAnsi="Times New Roman" w:cs="Times New Roman"/>
                <w:sz w:val="24"/>
                <w:szCs w:val="24"/>
                <w:lang w:eastAsia="lv-LV"/>
              </w:rPr>
              <w:t>būtīb</w:t>
            </w:r>
            <w:r w:rsidR="71BB913D" w:rsidRPr="5929E423">
              <w:rPr>
                <w:rFonts w:ascii="Times New Roman" w:eastAsia="Times New Roman" w:hAnsi="Times New Roman" w:cs="Times New Roman"/>
                <w:sz w:val="24"/>
                <w:szCs w:val="24"/>
                <w:lang w:eastAsia="lv-LV"/>
              </w:rPr>
              <w:t>a</w:t>
            </w:r>
            <w:r w:rsidR="56108441" w:rsidRPr="5929E423">
              <w:rPr>
                <w:rFonts w:ascii="Times New Roman" w:eastAsia="Times New Roman" w:hAnsi="Times New Roman" w:cs="Times New Roman"/>
                <w:sz w:val="24"/>
                <w:szCs w:val="24"/>
                <w:lang w:eastAsia="lv-LV"/>
              </w:rPr>
              <w:t xml:space="preserve"> </w:t>
            </w:r>
            <w:r w:rsidR="658BF450" w:rsidRPr="5929E423">
              <w:rPr>
                <w:rFonts w:ascii="Times New Roman" w:eastAsia="Times New Roman" w:hAnsi="Times New Roman" w:cs="Times New Roman"/>
                <w:sz w:val="24"/>
                <w:szCs w:val="24"/>
                <w:lang w:eastAsia="lv-LV"/>
              </w:rPr>
              <w:t>ir skaidroti</w:t>
            </w:r>
            <w:r w:rsidR="56108441" w:rsidRPr="5929E423">
              <w:rPr>
                <w:rFonts w:ascii="Times New Roman" w:eastAsia="Times New Roman" w:hAnsi="Times New Roman" w:cs="Times New Roman"/>
                <w:sz w:val="24"/>
                <w:szCs w:val="24"/>
                <w:lang w:eastAsia="lv-LV"/>
              </w:rPr>
              <w:t xml:space="preserve"> </w:t>
            </w:r>
            <w:r w:rsidR="608C2FCF" w:rsidRPr="5929E423">
              <w:rPr>
                <w:rFonts w:ascii="Times New Roman" w:eastAsia="Times New Roman" w:hAnsi="Times New Roman" w:cs="Times New Roman"/>
                <w:sz w:val="24"/>
                <w:szCs w:val="24"/>
                <w:lang w:eastAsia="lv-LV"/>
              </w:rPr>
              <w:t xml:space="preserve">likuma </w:t>
            </w:r>
            <w:r w:rsidR="004F7B37">
              <w:rPr>
                <w:rFonts w:ascii="Times New Roman" w:eastAsia="Times New Roman" w:hAnsi="Times New Roman" w:cs="Times New Roman"/>
                <w:sz w:val="24"/>
                <w:szCs w:val="24"/>
                <w:lang w:eastAsia="lv-LV"/>
              </w:rPr>
              <w:t>"</w:t>
            </w:r>
            <w:r w:rsidR="608C2FCF" w:rsidRPr="5929E423">
              <w:rPr>
                <w:rFonts w:ascii="Times New Roman" w:eastAsia="Times New Roman" w:hAnsi="Times New Roman" w:cs="Times New Roman"/>
                <w:sz w:val="24"/>
                <w:szCs w:val="24"/>
                <w:lang w:eastAsia="lv-LV"/>
              </w:rPr>
              <w:t xml:space="preserve">Grozījumi </w:t>
            </w:r>
            <w:r w:rsidR="66433920" w:rsidRPr="5929E423">
              <w:rPr>
                <w:rFonts w:ascii="Times New Roman" w:eastAsia="Times New Roman" w:hAnsi="Times New Roman" w:cs="Times New Roman"/>
                <w:sz w:val="24"/>
                <w:szCs w:val="24"/>
                <w:lang w:eastAsia="lv-LV"/>
              </w:rPr>
              <w:t>Kredītiestāžu likum</w:t>
            </w:r>
            <w:r w:rsidR="2D84BF5E" w:rsidRPr="5929E423">
              <w:rPr>
                <w:rFonts w:ascii="Times New Roman" w:eastAsia="Times New Roman" w:hAnsi="Times New Roman" w:cs="Times New Roman"/>
                <w:sz w:val="24"/>
                <w:szCs w:val="24"/>
                <w:lang w:eastAsia="lv-LV"/>
              </w:rPr>
              <w:t>ā</w:t>
            </w:r>
            <w:r w:rsidR="004F7B37">
              <w:rPr>
                <w:rFonts w:ascii="Times New Roman" w:eastAsia="Times New Roman" w:hAnsi="Times New Roman" w:cs="Times New Roman"/>
                <w:sz w:val="24"/>
                <w:szCs w:val="24"/>
                <w:lang w:eastAsia="lv-LV"/>
              </w:rPr>
              <w:t>"</w:t>
            </w:r>
            <w:r w:rsidR="14A94F33" w:rsidRPr="5929E423">
              <w:rPr>
                <w:rFonts w:ascii="Times New Roman" w:eastAsia="Times New Roman" w:hAnsi="Times New Roman" w:cs="Times New Roman"/>
                <w:sz w:val="24"/>
                <w:szCs w:val="24"/>
                <w:lang w:eastAsia="lv-LV"/>
              </w:rPr>
              <w:t>, kas pieņemt</w:t>
            </w:r>
            <w:r w:rsidR="10E3DF99" w:rsidRPr="5929E423">
              <w:rPr>
                <w:rFonts w:ascii="Times New Roman" w:eastAsia="Times New Roman" w:hAnsi="Times New Roman" w:cs="Times New Roman"/>
                <w:sz w:val="24"/>
                <w:szCs w:val="24"/>
                <w:lang w:eastAsia="lv-LV"/>
              </w:rPr>
              <w:t>s</w:t>
            </w:r>
            <w:r w:rsidR="14A94F33" w:rsidRPr="5929E423">
              <w:rPr>
                <w:rFonts w:ascii="Times New Roman" w:eastAsia="Times New Roman" w:hAnsi="Times New Roman" w:cs="Times New Roman"/>
                <w:sz w:val="24"/>
                <w:szCs w:val="24"/>
                <w:lang w:eastAsia="lv-LV"/>
              </w:rPr>
              <w:t xml:space="preserve"> </w:t>
            </w:r>
            <w:r w:rsidR="2848D403" w:rsidRPr="5929E423">
              <w:rPr>
                <w:rFonts w:ascii="Times New Roman" w:eastAsia="Times New Roman" w:hAnsi="Times New Roman" w:cs="Times New Roman"/>
                <w:sz w:val="24"/>
                <w:szCs w:val="24"/>
                <w:lang w:eastAsia="lv-LV"/>
              </w:rPr>
              <w:t>2021.</w:t>
            </w:r>
            <w:r w:rsidR="00753511">
              <w:rPr>
                <w:rFonts w:ascii="Times New Roman" w:eastAsia="Times New Roman" w:hAnsi="Times New Roman" w:cs="Times New Roman"/>
                <w:sz w:val="24"/>
                <w:szCs w:val="24"/>
                <w:lang w:eastAsia="lv-LV"/>
              </w:rPr>
              <w:t> </w:t>
            </w:r>
            <w:r w:rsidR="455CF2C0" w:rsidRPr="5929E423">
              <w:rPr>
                <w:rFonts w:ascii="Times New Roman" w:eastAsia="Times New Roman" w:hAnsi="Times New Roman" w:cs="Times New Roman"/>
                <w:sz w:val="24"/>
                <w:szCs w:val="24"/>
                <w:lang w:eastAsia="lv-LV"/>
              </w:rPr>
              <w:t>gada 29.</w:t>
            </w:r>
            <w:r w:rsidR="00753511">
              <w:rPr>
                <w:rFonts w:ascii="Times New Roman" w:eastAsia="Times New Roman" w:hAnsi="Times New Roman" w:cs="Times New Roman"/>
                <w:sz w:val="24"/>
                <w:szCs w:val="24"/>
                <w:lang w:eastAsia="lv-LV"/>
              </w:rPr>
              <w:t> </w:t>
            </w:r>
            <w:r w:rsidR="455CF2C0" w:rsidRPr="5929E423">
              <w:rPr>
                <w:rFonts w:ascii="Times New Roman" w:eastAsia="Times New Roman" w:hAnsi="Times New Roman" w:cs="Times New Roman"/>
                <w:sz w:val="24"/>
                <w:szCs w:val="24"/>
                <w:lang w:eastAsia="lv-LV"/>
              </w:rPr>
              <w:t>aprīlī</w:t>
            </w:r>
            <w:r w:rsidR="2AC65C50" w:rsidRPr="5929E423">
              <w:rPr>
                <w:rFonts w:ascii="Times New Roman" w:eastAsia="Times New Roman" w:hAnsi="Times New Roman" w:cs="Times New Roman"/>
                <w:sz w:val="24"/>
                <w:szCs w:val="24"/>
                <w:lang w:eastAsia="lv-LV"/>
              </w:rPr>
              <w:t xml:space="preserve"> (https://likumi.lv/ta/id/322952)</w:t>
            </w:r>
            <w:r w:rsidR="2848D403" w:rsidRPr="5929E423">
              <w:rPr>
                <w:rFonts w:ascii="Times New Roman" w:eastAsia="Times New Roman" w:hAnsi="Times New Roman" w:cs="Times New Roman"/>
                <w:sz w:val="24"/>
                <w:szCs w:val="24"/>
                <w:lang w:eastAsia="lv-LV"/>
              </w:rPr>
              <w:t xml:space="preserve">, </w:t>
            </w:r>
            <w:r w:rsidR="66433920" w:rsidRPr="5929E423">
              <w:rPr>
                <w:rFonts w:ascii="Times New Roman" w:eastAsia="Times New Roman" w:hAnsi="Times New Roman" w:cs="Times New Roman"/>
                <w:sz w:val="24"/>
                <w:szCs w:val="24"/>
                <w:lang w:eastAsia="lv-LV"/>
              </w:rPr>
              <w:t>anotācijā</w:t>
            </w:r>
            <w:r w:rsidR="00C525C8" w:rsidRPr="454862D0">
              <w:rPr>
                <w:rStyle w:val="FootnoteReference"/>
                <w:rFonts w:ascii="Times New Roman" w:eastAsia="Times New Roman" w:hAnsi="Times New Roman" w:cs="Times New Roman"/>
                <w:sz w:val="24"/>
                <w:szCs w:val="24"/>
                <w:lang w:eastAsia="lv-LV"/>
              </w:rPr>
              <w:footnoteReference w:id="4"/>
            </w:r>
            <w:r w:rsidR="66433920" w:rsidRPr="5929E423">
              <w:rPr>
                <w:rFonts w:ascii="Times New Roman" w:eastAsia="Times New Roman" w:hAnsi="Times New Roman" w:cs="Times New Roman"/>
                <w:sz w:val="24"/>
                <w:szCs w:val="24"/>
                <w:lang w:eastAsia="lv-LV"/>
              </w:rPr>
              <w:t>.</w:t>
            </w:r>
            <w:r w:rsidR="5064382C" w:rsidRPr="5929E423">
              <w:rPr>
                <w:rFonts w:ascii="Times New Roman" w:eastAsia="Times New Roman" w:hAnsi="Times New Roman" w:cs="Times New Roman"/>
                <w:sz w:val="24"/>
                <w:szCs w:val="24"/>
                <w:lang w:eastAsia="lv-LV"/>
              </w:rPr>
              <w:t xml:space="preserve"> </w:t>
            </w:r>
          </w:p>
        </w:tc>
      </w:tr>
      <w:tr w:rsidR="000B4E0A" w:rsidRPr="003E1B46" w14:paraId="24529336" w14:textId="77777777" w:rsidTr="536E3942">
        <w:trPr>
          <w:trHeight w:val="567"/>
        </w:trPr>
        <w:tc>
          <w:tcPr>
            <w:tcW w:w="987" w:type="pct"/>
            <w:shd w:val="clear" w:color="auto" w:fill="auto"/>
            <w:hideMark/>
          </w:tcPr>
          <w:p w14:paraId="3FA230AF" w14:textId="77777777" w:rsidR="00A42788" w:rsidRPr="003E1B46" w:rsidRDefault="00A42788" w:rsidP="000B4E0A">
            <w:pPr>
              <w:spacing w:after="0" w:line="240" w:lineRule="auto"/>
              <w:rPr>
                <w:rFonts w:ascii="Times New Roman" w:eastAsia="Times New Roman" w:hAnsi="Times New Roman" w:cs="Times New Roman"/>
                <w:b/>
                <w:bCs/>
                <w:sz w:val="24"/>
                <w:szCs w:val="24"/>
                <w:lang w:eastAsia="lv-LV"/>
              </w:rPr>
            </w:pPr>
            <w:r w:rsidRPr="003E1B46">
              <w:rPr>
                <w:rFonts w:ascii="Times New Roman" w:eastAsia="Times New Roman" w:hAnsi="Times New Roman" w:cs="Times New Roman"/>
                <w:b/>
                <w:bCs/>
                <w:sz w:val="24"/>
                <w:szCs w:val="24"/>
                <w:lang w:eastAsia="lv-LV"/>
              </w:rPr>
              <w:lastRenderedPageBreak/>
              <w:t>Saskaņošana ar Eiropas Centrālo banku</w:t>
            </w:r>
          </w:p>
          <w:p w14:paraId="4C328357" w14:textId="77777777" w:rsidR="00CA28AB" w:rsidRPr="003E1B46"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48E56B4F" w14:textId="418FC4F2" w:rsidR="00A42788" w:rsidRPr="00EF6F40" w:rsidRDefault="00C525C8" w:rsidP="00C525C8">
            <w:pPr>
              <w:spacing w:line="240" w:lineRule="auto"/>
              <w:jc w:val="both"/>
              <w:rPr>
                <w:rFonts w:ascii="Times New Roman" w:eastAsia="Times New Roman" w:hAnsi="Times New Roman" w:cs="Times New Roman"/>
                <w:sz w:val="24"/>
                <w:szCs w:val="24"/>
                <w:lang w:eastAsia="lv-LV"/>
              </w:rPr>
            </w:pPr>
            <w:r w:rsidRPr="00EF6F40">
              <w:rPr>
                <w:rFonts w:ascii="Times New Roman" w:eastAsia="Times New Roman" w:hAnsi="Times New Roman" w:cs="Times New Roman"/>
                <w:sz w:val="24"/>
                <w:szCs w:val="24"/>
                <w:lang w:eastAsia="lv-LV"/>
              </w:rPr>
              <w:t>Noteikumu projektu nav nepieciešams saskaņot ar Eiropas Centrālo banku.</w:t>
            </w:r>
          </w:p>
        </w:tc>
      </w:tr>
      <w:tr w:rsidR="000B4E0A" w:rsidRPr="00D525C7" w14:paraId="6A853D71" w14:textId="77777777" w:rsidTr="536E3942">
        <w:trPr>
          <w:trHeight w:val="567"/>
        </w:trPr>
        <w:tc>
          <w:tcPr>
            <w:tcW w:w="987" w:type="pct"/>
            <w:shd w:val="clear" w:color="auto" w:fill="auto"/>
            <w:hideMark/>
          </w:tcPr>
          <w:p w14:paraId="0EE64C79" w14:textId="77777777" w:rsidR="00A42788" w:rsidRPr="00D525C7" w:rsidRDefault="00A42788" w:rsidP="000B4E0A">
            <w:pPr>
              <w:spacing w:after="0" w:line="240" w:lineRule="auto"/>
              <w:rPr>
                <w:rFonts w:ascii="Times New Roman" w:eastAsia="Times New Roman" w:hAnsi="Times New Roman" w:cs="Times New Roman"/>
                <w:b/>
                <w:bCs/>
                <w:sz w:val="24"/>
                <w:szCs w:val="24"/>
                <w:lang w:eastAsia="lv-LV"/>
              </w:rPr>
            </w:pPr>
            <w:r w:rsidRPr="00D525C7">
              <w:rPr>
                <w:rFonts w:ascii="Times New Roman" w:eastAsia="Times New Roman" w:hAnsi="Times New Roman" w:cs="Times New Roman"/>
                <w:b/>
                <w:bCs/>
                <w:sz w:val="24"/>
                <w:szCs w:val="24"/>
                <w:lang w:eastAsia="lv-LV"/>
              </w:rPr>
              <w:t>Saskaņošana ar citām publiskām un privātām personām</w:t>
            </w:r>
          </w:p>
          <w:p w14:paraId="341066DE" w14:textId="77777777" w:rsidR="00CA28AB" w:rsidRPr="00D525C7"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2F1BB2B7" w14:textId="39BE898A" w:rsidR="00C525C8" w:rsidRPr="00D525C7" w:rsidRDefault="00C525C8" w:rsidP="00C525C8">
            <w:pPr>
              <w:spacing w:after="0" w:line="240" w:lineRule="auto"/>
              <w:jc w:val="both"/>
              <w:rPr>
                <w:rFonts w:ascii="Times New Roman" w:eastAsia="Times New Roman" w:hAnsi="Times New Roman" w:cs="Times New Roman"/>
                <w:sz w:val="24"/>
                <w:szCs w:val="24"/>
                <w:lang w:eastAsia="lv-LV"/>
              </w:rPr>
            </w:pPr>
            <w:r w:rsidRPr="00D525C7">
              <w:rPr>
                <w:rFonts w:ascii="Times New Roman" w:eastAsia="Times New Roman" w:hAnsi="Times New Roman" w:cs="Times New Roman"/>
                <w:sz w:val="24"/>
                <w:szCs w:val="24"/>
                <w:lang w:eastAsia="lv-LV"/>
              </w:rPr>
              <w:t>Noteikumu projekts tik</w:t>
            </w:r>
            <w:r w:rsidR="00985B12" w:rsidRPr="00D525C7">
              <w:rPr>
                <w:rFonts w:ascii="Times New Roman" w:eastAsia="Times New Roman" w:hAnsi="Times New Roman" w:cs="Times New Roman"/>
                <w:sz w:val="24"/>
                <w:szCs w:val="24"/>
                <w:lang w:eastAsia="lv-LV"/>
              </w:rPr>
              <w:t>a</w:t>
            </w:r>
            <w:r w:rsidRPr="00D525C7">
              <w:rPr>
                <w:rFonts w:ascii="Times New Roman" w:eastAsia="Times New Roman" w:hAnsi="Times New Roman" w:cs="Times New Roman"/>
                <w:sz w:val="24"/>
                <w:szCs w:val="24"/>
                <w:lang w:eastAsia="lv-LV"/>
              </w:rPr>
              <w:t xml:space="preserve"> publicēts Latvijas Bankas tīmekļvietnes www.bank.lv sadaļā "Sabiedrības līdzdalība", un </w:t>
            </w:r>
            <w:r w:rsidR="0021635F" w:rsidRPr="00D525C7">
              <w:rPr>
                <w:rFonts w:ascii="Times New Roman" w:eastAsia="Times New Roman" w:hAnsi="Times New Roman" w:cs="Times New Roman"/>
                <w:sz w:val="24"/>
                <w:szCs w:val="24"/>
                <w:lang w:eastAsia="lv-LV"/>
              </w:rPr>
              <w:t>sabiedrībai</w:t>
            </w:r>
            <w:r w:rsidRPr="00D525C7">
              <w:rPr>
                <w:rFonts w:ascii="Times New Roman" w:eastAsia="Times New Roman" w:hAnsi="Times New Roman" w:cs="Times New Roman"/>
                <w:sz w:val="24"/>
                <w:szCs w:val="24"/>
                <w:lang w:eastAsia="lv-LV"/>
              </w:rPr>
              <w:t xml:space="preserve"> b</w:t>
            </w:r>
            <w:r w:rsidR="00985B12" w:rsidRPr="00D525C7">
              <w:rPr>
                <w:rFonts w:ascii="Times New Roman" w:eastAsia="Times New Roman" w:hAnsi="Times New Roman" w:cs="Times New Roman"/>
                <w:sz w:val="24"/>
                <w:szCs w:val="24"/>
                <w:lang w:eastAsia="lv-LV"/>
              </w:rPr>
              <w:t>ija</w:t>
            </w:r>
            <w:r w:rsidRPr="00D525C7">
              <w:rPr>
                <w:rFonts w:ascii="Times New Roman" w:eastAsia="Times New Roman" w:hAnsi="Times New Roman" w:cs="Times New Roman"/>
                <w:sz w:val="24"/>
                <w:szCs w:val="24"/>
                <w:lang w:eastAsia="lv-LV"/>
              </w:rPr>
              <w:t xml:space="preserve"> iespēja</w:t>
            </w:r>
            <w:r w:rsidR="0021635F" w:rsidRPr="00D525C7">
              <w:rPr>
                <w:rFonts w:ascii="Times New Roman" w:eastAsia="Times New Roman" w:hAnsi="Times New Roman" w:cs="Times New Roman"/>
                <w:sz w:val="24"/>
                <w:szCs w:val="24"/>
                <w:lang w:eastAsia="lv-LV"/>
              </w:rPr>
              <w:t xml:space="preserve"> piedalīties tā apspriešanā</w:t>
            </w:r>
            <w:r w:rsidRPr="00D525C7">
              <w:rPr>
                <w:rFonts w:ascii="Times New Roman" w:eastAsia="Times New Roman" w:hAnsi="Times New Roman" w:cs="Times New Roman"/>
                <w:sz w:val="24"/>
                <w:szCs w:val="24"/>
                <w:lang w:eastAsia="lv-LV"/>
              </w:rPr>
              <w:t xml:space="preserve">. </w:t>
            </w:r>
          </w:p>
          <w:p w14:paraId="4AE37400" w14:textId="77777777" w:rsidR="004F7B37" w:rsidRPr="00D525C7" w:rsidRDefault="004F7B37" w:rsidP="00C525C8">
            <w:pPr>
              <w:spacing w:after="0" w:line="240" w:lineRule="auto"/>
              <w:jc w:val="both"/>
              <w:rPr>
                <w:rFonts w:ascii="Times New Roman" w:eastAsia="Times New Roman" w:hAnsi="Times New Roman" w:cs="Times New Roman"/>
                <w:sz w:val="24"/>
                <w:szCs w:val="24"/>
                <w:lang w:eastAsia="lv-LV"/>
              </w:rPr>
            </w:pPr>
          </w:p>
          <w:p w14:paraId="7447333A" w14:textId="5DAF58A9" w:rsidR="00E53DE9" w:rsidRPr="00D525C7" w:rsidRDefault="00C525C8" w:rsidP="00C525C8">
            <w:pPr>
              <w:spacing w:line="240" w:lineRule="auto"/>
              <w:jc w:val="both"/>
              <w:rPr>
                <w:rFonts w:ascii="Times New Roman" w:eastAsia="Times New Roman" w:hAnsi="Times New Roman" w:cs="Times New Roman"/>
                <w:sz w:val="24"/>
                <w:szCs w:val="24"/>
                <w:lang w:eastAsia="lv-LV"/>
              </w:rPr>
            </w:pPr>
            <w:r w:rsidRPr="00D525C7">
              <w:rPr>
                <w:rFonts w:ascii="Times New Roman" w:eastAsia="Times New Roman" w:hAnsi="Times New Roman" w:cs="Times New Roman"/>
                <w:sz w:val="24"/>
                <w:szCs w:val="24"/>
                <w:lang w:eastAsia="lv-LV"/>
              </w:rPr>
              <w:t>Vienlaikus par noteikumu projektu un notiekošo sabiedrības līdzdalību individuāli tik</w:t>
            </w:r>
            <w:r w:rsidR="00985B12" w:rsidRPr="00D525C7">
              <w:rPr>
                <w:rFonts w:ascii="Times New Roman" w:eastAsia="Times New Roman" w:hAnsi="Times New Roman" w:cs="Times New Roman"/>
                <w:sz w:val="24"/>
                <w:szCs w:val="24"/>
                <w:lang w:eastAsia="lv-LV"/>
              </w:rPr>
              <w:t>a</w:t>
            </w:r>
            <w:r w:rsidRPr="00D525C7">
              <w:rPr>
                <w:rFonts w:ascii="Times New Roman" w:eastAsia="Times New Roman" w:hAnsi="Times New Roman" w:cs="Times New Roman"/>
                <w:sz w:val="24"/>
                <w:szCs w:val="24"/>
                <w:lang w:eastAsia="lv-LV"/>
              </w:rPr>
              <w:t xml:space="preserve"> informēta Latvijas Finanšu nozares asociācija, kā arī ārpus asociācijām esošie finanšu tirgus dalībnieki, kuriem būs saistoša </w:t>
            </w:r>
            <w:r w:rsidR="0021635F" w:rsidRPr="00D525C7">
              <w:rPr>
                <w:rFonts w:ascii="Times New Roman" w:eastAsia="Times New Roman" w:hAnsi="Times New Roman" w:cs="Times New Roman"/>
                <w:sz w:val="24"/>
                <w:szCs w:val="24"/>
                <w:lang w:eastAsia="lv-LV"/>
              </w:rPr>
              <w:t>n</w:t>
            </w:r>
            <w:r w:rsidRPr="00D525C7">
              <w:rPr>
                <w:rFonts w:ascii="Times New Roman" w:eastAsia="Times New Roman" w:hAnsi="Times New Roman" w:cs="Times New Roman"/>
                <w:sz w:val="24"/>
                <w:szCs w:val="24"/>
                <w:lang w:eastAsia="lv-LV"/>
              </w:rPr>
              <w:t>oteikumu projektā ietverto prasību izpilde.</w:t>
            </w:r>
          </w:p>
        </w:tc>
      </w:tr>
      <w:tr w:rsidR="000B4E0A" w:rsidRPr="003E1B46" w14:paraId="35D5764F" w14:textId="77777777" w:rsidTr="536E3942">
        <w:trPr>
          <w:trHeight w:val="567"/>
        </w:trPr>
        <w:tc>
          <w:tcPr>
            <w:tcW w:w="987" w:type="pct"/>
            <w:shd w:val="clear" w:color="auto" w:fill="auto"/>
            <w:hideMark/>
          </w:tcPr>
          <w:p w14:paraId="1492FE2E" w14:textId="77777777" w:rsidR="00A42788" w:rsidRPr="00D525C7" w:rsidRDefault="00A42788" w:rsidP="000B4E0A">
            <w:pPr>
              <w:spacing w:after="0" w:line="240" w:lineRule="auto"/>
              <w:rPr>
                <w:rFonts w:ascii="Times New Roman" w:eastAsia="Times New Roman" w:hAnsi="Times New Roman" w:cs="Times New Roman"/>
                <w:b/>
                <w:bCs/>
                <w:sz w:val="24"/>
                <w:szCs w:val="24"/>
                <w:lang w:eastAsia="lv-LV"/>
              </w:rPr>
            </w:pPr>
            <w:r w:rsidRPr="00D525C7">
              <w:rPr>
                <w:rFonts w:ascii="Times New Roman" w:eastAsia="Times New Roman" w:hAnsi="Times New Roman" w:cs="Times New Roman"/>
                <w:b/>
                <w:bCs/>
                <w:sz w:val="24"/>
                <w:szCs w:val="24"/>
                <w:lang w:eastAsia="lv-LV"/>
              </w:rPr>
              <w:t>Saskaņošanas rezultāti</w:t>
            </w:r>
          </w:p>
          <w:p w14:paraId="662DF44A" w14:textId="77777777" w:rsidR="00CA28AB" w:rsidRPr="00D525C7" w:rsidRDefault="00CA28AB" w:rsidP="000B4E0A">
            <w:pPr>
              <w:spacing w:after="0" w:line="240" w:lineRule="auto"/>
              <w:rPr>
                <w:rFonts w:ascii="Times New Roman" w:eastAsia="Times New Roman" w:hAnsi="Times New Roman" w:cs="Times New Roman"/>
                <w:b/>
                <w:bCs/>
                <w:sz w:val="24"/>
                <w:szCs w:val="24"/>
                <w:lang w:eastAsia="lv-LV"/>
              </w:rPr>
            </w:pPr>
          </w:p>
        </w:tc>
        <w:tc>
          <w:tcPr>
            <w:tcW w:w="4013" w:type="pct"/>
            <w:shd w:val="clear" w:color="auto" w:fill="auto"/>
          </w:tcPr>
          <w:p w14:paraId="0C01A2F6" w14:textId="2AE929F5" w:rsidR="00E53DE9" w:rsidRPr="00D525C7" w:rsidRDefault="00D03C8D" w:rsidP="00C525C8">
            <w:pPr>
              <w:spacing w:line="240" w:lineRule="auto"/>
              <w:jc w:val="both"/>
              <w:rPr>
                <w:rFonts w:ascii="Times New Roman" w:eastAsia="Times New Roman" w:hAnsi="Times New Roman" w:cs="Times New Roman"/>
                <w:sz w:val="24"/>
                <w:szCs w:val="24"/>
                <w:lang w:eastAsia="lv-LV"/>
              </w:rPr>
            </w:pPr>
            <w:r w:rsidRPr="00D525C7">
              <w:rPr>
                <w:rFonts w:ascii="Times New Roman" w:eastAsia="Times New Roman" w:hAnsi="Times New Roman" w:cs="Times New Roman"/>
                <w:sz w:val="24"/>
                <w:szCs w:val="24"/>
                <w:lang w:eastAsia="lv-LV"/>
              </w:rPr>
              <w:t>S</w:t>
            </w:r>
            <w:r w:rsidR="00A54C3F" w:rsidRPr="00D525C7">
              <w:rPr>
                <w:rFonts w:ascii="Times New Roman" w:eastAsia="Times New Roman" w:hAnsi="Times New Roman" w:cs="Times New Roman"/>
                <w:sz w:val="24"/>
                <w:szCs w:val="24"/>
                <w:lang w:eastAsia="lv-LV"/>
              </w:rPr>
              <w:t xml:space="preserve">abiedrības līdzdalības </w:t>
            </w:r>
            <w:r w:rsidR="008466E4">
              <w:rPr>
                <w:rFonts w:ascii="Times New Roman" w:eastAsia="Times New Roman" w:hAnsi="Times New Roman" w:cs="Times New Roman"/>
                <w:sz w:val="24"/>
                <w:szCs w:val="24"/>
                <w:lang w:eastAsia="lv-LV"/>
              </w:rPr>
              <w:t xml:space="preserve">rezultātā </w:t>
            </w:r>
            <w:r w:rsidR="008466E4" w:rsidRPr="000A13F5">
              <w:rPr>
                <w:rFonts w:ascii="Times New Roman" w:eastAsia="Times New Roman" w:hAnsi="Times New Roman" w:cs="Times New Roman"/>
                <w:sz w:val="24"/>
                <w:szCs w:val="24"/>
                <w:lang w:eastAsia="lv-LV"/>
              </w:rPr>
              <w:t xml:space="preserve">par noteikumu projektu </w:t>
            </w:r>
            <w:r w:rsidR="00A54C3F" w:rsidRPr="00D525C7">
              <w:rPr>
                <w:rFonts w:ascii="Times New Roman" w:eastAsia="Times New Roman" w:hAnsi="Times New Roman" w:cs="Times New Roman"/>
                <w:sz w:val="24"/>
                <w:szCs w:val="24"/>
                <w:lang w:eastAsia="lv-LV"/>
              </w:rPr>
              <w:t>tika saņemti vairāki priekšlikumi</w:t>
            </w:r>
            <w:r w:rsidR="00D72504">
              <w:rPr>
                <w:rFonts w:ascii="Times New Roman" w:eastAsia="Times New Roman" w:hAnsi="Times New Roman" w:cs="Times New Roman"/>
                <w:sz w:val="24"/>
                <w:szCs w:val="24"/>
                <w:lang w:eastAsia="lv-LV"/>
              </w:rPr>
              <w:t xml:space="preserve"> un iebildumi</w:t>
            </w:r>
            <w:r w:rsidR="00A54C3F" w:rsidRPr="00D525C7">
              <w:rPr>
                <w:rFonts w:ascii="Times New Roman" w:eastAsia="Times New Roman" w:hAnsi="Times New Roman" w:cs="Times New Roman"/>
                <w:sz w:val="24"/>
                <w:szCs w:val="24"/>
                <w:lang w:eastAsia="lv-LV"/>
              </w:rPr>
              <w:t>, kuri tika ņemti vērā</w:t>
            </w:r>
            <w:r w:rsidR="00CB2A85" w:rsidRPr="00D525C7">
              <w:rPr>
                <w:rFonts w:ascii="Times New Roman" w:eastAsia="Times New Roman" w:hAnsi="Times New Roman" w:cs="Times New Roman"/>
                <w:sz w:val="24"/>
                <w:szCs w:val="24"/>
                <w:lang w:eastAsia="lv-LV"/>
              </w:rPr>
              <w:t>, precizējot noteikumu projektu.</w:t>
            </w:r>
            <w:r w:rsidR="00D72504">
              <w:rPr>
                <w:rFonts w:ascii="Times New Roman" w:hAnsi="Times New Roman" w:cs="Times New Roman"/>
                <w:sz w:val="24"/>
                <w:szCs w:val="24"/>
                <w:lang w:eastAsia="lv-LV"/>
              </w:rPr>
              <w:t xml:space="preserve"> To</w:t>
            </w:r>
            <w:r w:rsidR="00D72504" w:rsidRPr="004E3F4A">
              <w:rPr>
                <w:rFonts w:ascii="Times New Roman" w:hAnsi="Times New Roman" w:cs="Times New Roman"/>
                <w:sz w:val="24"/>
                <w:szCs w:val="24"/>
                <w:lang w:eastAsia="lv-LV"/>
              </w:rPr>
              <w:t xml:space="preserve"> apkopojums ir pievienots anotācijas pielikumā.</w:t>
            </w:r>
          </w:p>
        </w:tc>
      </w:tr>
    </w:tbl>
    <w:p w14:paraId="59287E5A" w14:textId="77777777" w:rsidR="009B27BE" w:rsidRPr="003E1B46" w:rsidRDefault="009B27BE" w:rsidP="0049248A">
      <w:pPr>
        <w:spacing w:after="0" w:line="240" w:lineRule="auto"/>
        <w:rPr>
          <w:rFonts w:ascii="Times New Roman" w:hAnsi="Times New Roman" w:cs="Times New Roman"/>
          <w:sz w:val="24"/>
          <w:szCs w:val="24"/>
        </w:rPr>
      </w:pPr>
    </w:p>
    <w:p w14:paraId="018431BE" w14:textId="77777777" w:rsidR="00E53DE9" w:rsidRPr="003E1B46" w:rsidRDefault="00E53DE9" w:rsidP="0049248A">
      <w:pPr>
        <w:spacing w:after="0" w:line="240" w:lineRule="auto"/>
        <w:rPr>
          <w:rFonts w:ascii="Times New Roman" w:hAnsi="Times New Roman" w:cs="Times New Roman"/>
          <w:sz w:val="24"/>
          <w:szCs w:val="24"/>
        </w:rPr>
      </w:pPr>
    </w:p>
    <w:sectPr w:rsidR="00E53DE9" w:rsidRPr="003E1B46" w:rsidSect="008B344D">
      <w:headerReference w:type="default" r:id="rId11"/>
      <w:pgSz w:w="11906" w:h="16838" w:code="9"/>
      <w:pgMar w:top="1134" w:right="141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8B1C" w14:textId="77777777" w:rsidR="0073124F" w:rsidRDefault="0073124F" w:rsidP="009B27BE">
      <w:pPr>
        <w:spacing w:after="0" w:line="240" w:lineRule="auto"/>
      </w:pPr>
      <w:r>
        <w:separator/>
      </w:r>
    </w:p>
  </w:endnote>
  <w:endnote w:type="continuationSeparator" w:id="0">
    <w:p w14:paraId="3AE90C4C" w14:textId="77777777" w:rsidR="0073124F" w:rsidRDefault="0073124F" w:rsidP="009B27BE">
      <w:pPr>
        <w:spacing w:after="0" w:line="240" w:lineRule="auto"/>
      </w:pPr>
      <w:r>
        <w:continuationSeparator/>
      </w:r>
    </w:p>
  </w:endnote>
  <w:endnote w:type="continuationNotice" w:id="1">
    <w:p w14:paraId="4F439D47" w14:textId="77777777" w:rsidR="0073124F" w:rsidRDefault="007312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9A7E" w14:textId="77777777" w:rsidR="0073124F" w:rsidRDefault="0073124F" w:rsidP="009B27BE">
      <w:pPr>
        <w:spacing w:after="0" w:line="240" w:lineRule="auto"/>
      </w:pPr>
      <w:r>
        <w:separator/>
      </w:r>
    </w:p>
  </w:footnote>
  <w:footnote w:type="continuationSeparator" w:id="0">
    <w:p w14:paraId="373F8CCF" w14:textId="77777777" w:rsidR="0073124F" w:rsidRDefault="0073124F" w:rsidP="009B27BE">
      <w:pPr>
        <w:spacing w:after="0" w:line="240" w:lineRule="auto"/>
      </w:pPr>
      <w:r>
        <w:continuationSeparator/>
      </w:r>
    </w:p>
  </w:footnote>
  <w:footnote w:type="continuationNotice" w:id="1">
    <w:p w14:paraId="3CCF1B01" w14:textId="77777777" w:rsidR="0073124F" w:rsidRDefault="0073124F">
      <w:pPr>
        <w:spacing w:after="0" w:line="240" w:lineRule="auto"/>
      </w:pPr>
    </w:p>
  </w:footnote>
  <w:footnote w:id="2">
    <w:p w14:paraId="09CC1459" w14:textId="7C083C09" w:rsidR="00EE42BA" w:rsidRPr="00380C87" w:rsidRDefault="00EE42BA">
      <w:pPr>
        <w:pStyle w:val="FootnoteText"/>
        <w:rPr>
          <w:rFonts w:ascii="Times New Roman" w:hAnsi="Times New Roman" w:cs="Times New Roman"/>
          <w:sz w:val="18"/>
          <w:szCs w:val="18"/>
        </w:rPr>
      </w:pPr>
      <w:r w:rsidRPr="00380C87">
        <w:rPr>
          <w:rStyle w:val="FootnoteReference"/>
          <w:rFonts w:ascii="Times New Roman" w:hAnsi="Times New Roman" w:cs="Times New Roman"/>
          <w:sz w:val="18"/>
          <w:szCs w:val="18"/>
        </w:rPr>
        <w:footnoteRef/>
      </w:r>
      <w:r w:rsidRPr="00380C87">
        <w:rPr>
          <w:rFonts w:ascii="Times New Roman" w:hAnsi="Times New Roman" w:cs="Times New Roman"/>
          <w:sz w:val="18"/>
          <w:szCs w:val="18"/>
        </w:rPr>
        <w:t xml:space="preserve"> </w:t>
      </w:r>
      <w:r w:rsidR="001B6A0E" w:rsidRPr="00380C87">
        <w:rPr>
          <w:rFonts w:ascii="Times New Roman" w:hAnsi="Times New Roman" w:cs="Times New Roman"/>
          <w:sz w:val="18"/>
          <w:szCs w:val="18"/>
        </w:rPr>
        <w:t>https://www.bankingsupervision.europa.eu/ecb/pub/pdf/ssm.leveraged_transactions_guidance_201705.en.pdf</w:t>
      </w:r>
    </w:p>
  </w:footnote>
  <w:footnote w:id="3">
    <w:p w14:paraId="326E3F52" w14:textId="6D14FAA1" w:rsidR="454862D0" w:rsidRPr="00380C87" w:rsidRDefault="454862D0" w:rsidP="00144F8F">
      <w:pPr>
        <w:pStyle w:val="FootnoteText"/>
        <w:rPr>
          <w:rFonts w:ascii="Times New Roman" w:eastAsiaTheme="minorEastAsia" w:hAnsi="Times New Roman" w:cs="Times New Roman"/>
          <w:sz w:val="18"/>
          <w:szCs w:val="18"/>
        </w:rPr>
      </w:pPr>
      <w:r w:rsidRPr="00380C87">
        <w:rPr>
          <w:rStyle w:val="FootnoteReference"/>
          <w:rFonts w:ascii="Times New Roman" w:eastAsiaTheme="minorEastAsia" w:hAnsi="Times New Roman" w:cs="Times New Roman"/>
          <w:sz w:val="18"/>
          <w:szCs w:val="18"/>
        </w:rPr>
        <w:footnoteRef/>
      </w:r>
      <w:r w:rsidRPr="00380C87">
        <w:rPr>
          <w:rFonts w:ascii="Times New Roman" w:eastAsiaTheme="minorEastAsia" w:hAnsi="Times New Roman" w:cs="Times New Roman"/>
          <w:sz w:val="18"/>
          <w:szCs w:val="18"/>
        </w:rPr>
        <w:t xml:space="preserve"> Aktuālā informācija no Būvniecības valsts kontroles biroja par ēku energoefektivitātes klasi pieejama atvērto datu portālā: https://data.gov.lv/dati/eng/dataset/bis_ygdi8jmgg-bneuijz7wiwq</w:t>
      </w:r>
      <w:r w:rsidR="00753511" w:rsidRPr="00380C87">
        <w:rPr>
          <w:rFonts w:ascii="Times New Roman" w:eastAsiaTheme="minorEastAsia" w:hAnsi="Times New Roman" w:cs="Times New Roman"/>
          <w:sz w:val="18"/>
          <w:szCs w:val="18"/>
        </w:rPr>
        <w:t>.</w:t>
      </w:r>
    </w:p>
  </w:footnote>
  <w:footnote w:id="4">
    <w:p w14:paraId="5E5E8990" w14:textId="6A58F4A1" w:rsidR="454862D0" w:rsidRPr="00753511" w:rsidRDefault="454862D0" w:rsidP="00144F8F">
      <w:pPr>
        <w:pStyle w:val="FootnoteText"/>
        <w:rPr>
          <w:rFonts w:ascii="Times New Roman" w:hAnsi="Times New Roman" w:cs="Times New Roman"/>
        </w:rPr>
      </w:pPr>
      <w:r w:rsidRPr="00753511">
        <w:rPr>
          <w:rStyle w:val="FootnoteReference"/>
          <w:rFonts w:ascii="Times New Roman" w:hAnsi="Times New Roman" w:cs="Times New Roman"/>
        </w:rPr>
        <w:footnoteRef/>
      </w:r>
      <w:r w:rsidRPr="00753511">
        <w:rPr>
          <w:rFonts w:ascii="Times New Roman" w:hAnsi="Times New Roman" w:cs="Times New Roman"/>
        </w:rPr>
        <w:t xml:space="preserve"> Grozījumi Kredītiestāžu likumā Nr. 90/TA-2608 (2020)</w:t>
      </w:r>
      <w:r w:rsidR="004F7B37">
        <w:rPr>
          <w:rFonts w:ascii="Times New Roman" w:hAnsi="Times New Roman" w:cs="Times New Roman"/>
        </w:rPr>
        <w:t>,</w:t>
      </w:r>
      <w:r w:rsidRPr="00753511">
        <w:rPr>
          <w:rFonts w:ascii="Times New Roman" w:hAnsi="Times New Roman" w:cs="Times New Roman"/>
        </w:rPr>
        <w:t xml:space="preserve"> likumprojekta anotācija pieejama: https://titania.saeima.lv/LIVS13/saeimalivs13.nsf/0/6D5F692843F69C90C225867F00350E5B?OpenDocument#B#B#B</w:t>
      </w:r>
      <w:r w:rsidR="007E4DE2">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31967DBF"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7562C7FF"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135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BDE4FA8"/>
    <w:multiLevelType w:val="hybridMultilevel"/>
    <w:tmpl w:val="D116F2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C1558E"/>
    <w:multiLevelType w:val="hybridMultilevel"/>
    <w:tmpl w:val="BAC8FABE"/>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0281CD2"/>
    <w:multiLevelType w:val="hybridMultilevel"/>
    <w:tmpl w:val="EC783C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66D16C3"/>
    <w:multiLevelType w:val="hybridMultilevel"/>
    <w:tmpl w:val="F3C2DD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FF40D3A"/>
    <w:multiLevelType w:val="hybridMultilevel"/>
    <w:tmpl w:val="162C19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26365AA"/>
    <w:multiLevelType w:val="hybridMultilevel"/>
    <w:tmpl w:val="D3E0C3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3BB7D32"/>
    <w:multiLevelType w:val="multilevel"/>
    <w:tmpl w:val="F7342FF8"/>
    <w:lvl w:ilvl="0">
      <w:start w:val="1"/>
      <w:numFmt w:val="decimal"/>
      <w:pStyle w:val="NApunkts1"/>
      <w:lvlText w:val="%1."/>
      <w:lvlJc w:val="left"/>
      <w:pPr>
        <w:ind w:left="644" w:hanging="360"/>
      </w:pPr>
      <w:rPr>
        <w:rFonts w:hint="default"/>
      </w:rPr>
    </w:lvl>
    <w:lvl w:ilvl="1">
      <w:start w:val="1"/>
      <w:numFmt w:val="decimal"/>
      <w:pStyle w:val="NApunkts2"/>
      <w:suff w:val="space"/>
      <w:lvlText w:val="%1.%2."/>
      <w:lvlJc w:val="left"/>
      <w:pPr>
        <w:ind w:left="284" w:firstLine="0"/>
      </w:p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5F82817"/>
    <w:multiLevelType w:val="hybridMultilevel"/>
    <w:tmpl w:val="19A07E1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16cid:durableId="1872718382">
    <w:abstractNumId w:val="4"/>
  </w:num>
  <w:num w:numId="2" w16cid:durableId="760877179">
    <w:abstractNumId w:val="1"/>
  </w:num>
  <w:num w:numId="3" w16cid:durableId="180314121">
    <w:abstractNumId w:val="5"/>
  </w:num>
  <w:num w:numId="4" w16cid:durableId="438180984">
    <w:abstractNumId w:val="6"/>
  </w:num>
  <w:num w:numId="5" w16cid:durableId="1818572479">
    <w:abstractNumId w:val="3"/>
  </w:num>
  <w:num w:numId="6" w16cid:durableId="587814199">
    <w:abstractNumId w:val="0"/>
  </w:num>
  <w:num w:numId="7" w16cid:durableId="1576429266">
    <w:abstractNumId w:val="2"/>
  </w:num>
  <w:num w:numId="8" w16cid:durableId="1992900780">
    <w:abstractNumId w:val="7"/>
  </w:num>
  <w:num w:numId="9" w16cid:durableId="829754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D69"/>
    <w:rsid w:val="00010879"/>
    <w:rsid w:val="00011DB6"/>
    <w:rsid w:val="000263F5"/>
    <w:rsid w:val="00041CDC"/>
    <w:rsid w:val="00044A3D"/>
    <w:rsid w:val="00056D69"/>
    <w:rsid w:val="00065FF0"/>
    <w:rsid w:val="0008510E"/>
    <w:rsid w:val="000920EF"/>
    <w:rsid w:val="00094FA9"/>
    <w:rsid w:val="0009616F"/>
    <w:rsid w:val="000A63CA"/>
    <w:rsid w:val="000A72CE"/>
    <w:rsid w:val="000B0A8C"/>
    <w:rsid w:val="000B4E0A"/>
    <w:rsid w:val="000C1908"/>
    <w:rsid w:val="000C33B4"/>
    <w:rsid w:val="000D612B"/>
    <w:rsid w:val="00100C1F"/>
    <w:rsid w:val="0011371B"/>
    <w:rsid w:val="001166DD"/>
    <w:rsid w:val="00124708"/>
    <w:rsid w:val="00132070"/>
    <w:rsid w:val="00133F6A"/>
    <w:rsid w:val="001353A9"/>
    <w:rsid w:val="00141A12"/>
    <w:rsid w:val="00143A48"/>
    <w:rsid w:val="00144F8F"/>
    <w:rsid w:val="001511DC"/>
    <w:rsid w:val="00151A87"/>
    <w:rsid w:val="00155F89"/>
    <w:rsid w:val="00157D8D"/>
    <w:rsid w:val="00160930"/>
    <w:rsid w:val="00166FCB"/>
    <w:rsid w:val="00173EE9"/>
    <w:rsid w:val="00175470"/>
    <w:rsid w:val="00192EC2"/>
    <w:rsid w:val="001A0DD5"/>
    <w:rsid w:val="001A5171"/>
    <w:rsid w:val="001B0B08"/>
    <w:rsid w:val="001B11C7"/>
    <w:rsid w:val="001B2930"/>
    <w:rsid w:val="001B6A0E"/>
    <w:rsid w:val="001D0634"/>
    <w:rsid w:val="001D2543"/>
    <w:rsid w:val="001D2578"/>
    <w:rsid w:val="001D79B5"/>
    <w:rsid w:val="001E3A9E"/>
    <w:rsid w:val="001E5D50"/>
    <w:rsid w:val="001F281F"/>
    <w:rsid w:val="001F3D6F"/>
    <w:rsid w:val="001F64E0"/>
    <w:rsid w:val="00203AE6"/>
    <w:rsid w:val="00211C83"/>
    <w:rsid w:val="00213E6D"/>
    <w:rsid w:val="0021635F"/>
    <w:rsid w:val="0021743C"/>
    <w:rsid w:val="00222E2B"/>
    <w:rsid w:val="00223203"/>
    <w:rsid w:val="0022358C"/>
    <w:rsid w:val="0022531E"/>
    <w:rsid w:val="00230A1F"/>
    <w:rsid w:val="00231787"/>
    <w:rsid w:val="00245C4D"/>
    <w:rsid w:val="002536D7"/>
    <w:rsid w:val="0025798D"/>
    <w:rsid w:val="002604BD"/>
    <w:rsid w:val="0027187C"/>
    <w:rsid w:val="00272532"/>
    <w:rsid w:val="002964A6"/>
    <w:rsid w:val="002A11E4"/>
    <w:rsid w:val="002B7FD8"/>
    <w:rsid w:val="002C2CA9"/>
    <w:rsid w:val="002C576C"/>
    <w:rsid w:val="002D3CA3"/>
    <w:rsid w:val="002D4782"/>
    <w:rsid w:val="002D5B20"/>
    <w:rsid w:val="002E2189"/>
    <w:rsid w:val="002F0496"/>
    <w:rsid w:val="002F1F2D"/>
    <w:rsid w:val="00301DCA"/>
    <w:rsid w:val="00310C22"/>
    <w:rsid w:val="00311413"/>
    <w:rsid w:val="00311EA8"/>
    <w:rsid w:val="00312C6D"/>
    <w:rsid w:val="00314754"/>
    <w:rsid w:val="0031789D"/>
    <w:rsid w:val="003231DF"/>
    <w:rsid w:val="00331D17"/>
    <w:rsid w:val="00332353"/>
    <w:rsid w:val="00334098"/>
    <w:rsid w:val="003342DA"/>
    <w:rsid w:val="003344C2"/>
    <w:rsid w:val="003522D7"/>
    <w:rsid w:val="003545ED"/>
    <w:rsid w:val="00357745"/>
    <w:rsid w:val="003607E6"/>
    <w:rsid w:val="00363B96"/>
    <w:rsid w:val="00365007"/>
    <w:rsid w:val="00366EF5"/>
    <w:rsid w:val="00380C87"/>
    <w:rsid w:val="00393ABD"/>
    <w:rsid w:val="003A3417"/>
    <w:rsid w:val="003A4ECB"/>
    <w:rsid w:val="003A6473"/>
    <w:rsid w:val="003B1842"/>
    <w:rsid w:val="003B481B"/>
    <w:rsid w:val="003B6092"/>
    <w:rsid w:val="003C093E"/>
    <w:rsid w:val="003C5612"/>
    <w:rsid w:val="003C6C09"/>
    <w:rsid w:val="003D03D4"/>
    <w:rsid w:val="003D5976"/>
    <w:rsid w:val="003E10C8"/>
    <w:rsid w:val="003E1B46"/>
    <w:rsid w:val="003E48A9"/>
    <w:rsid w:val="003F31E8"/>
    <w:rsid w:val="003F5A36"/>
    <w:rsid w:val="003F7092"/>
    <w:rsid w:val="00400A38"/>
    <w:rsid w:val="00404F21"/>
    <w:rsid w:val="00404F56"/>
    <w:rsid w:val="00413A72"/>
    <w:rsid w:val="00414341"/>
    <w:rsid w:val="00424058"/>
    <w:rsid w:val="00430A1D"/>
    <w:rsid w:val="00437A45"/>
    <w:rsid w:val="0044168A"/>
    <w:rsid w:val="004473CD"/>
    <w:rsid w:val="004509B8"/>
    <w:rsid w:val="00457F56"/>
    <w:rsid w:val="00466E22"/>
    <w:rsid w:val="0047007B"/>
    <w:rsid w:val="0047189F"/>
    <w:rsid w:val="00471AE8"/>
    <w:rsid w:val="00471F15"/>
    <w:rsid w:val="00483563"/>
    <w:rsid w:val="0049248A"/>
    <w:rsid w:val="004A0B8F"/>
    <w:rsid w:val="004A20C8"/>
    <w:rsid w:val="004A7273"/>
    <w:rsid w:val="004B283C"/>
    <w:rsid w:val="004C3C94"/>
    <w:rsid w:val="004E43BA"/>
    <w:rsid w:val="004E56DF"/>
    <w:rsid w:val="004E6392"/>
    <w:rsid w:val="004F7B37"/>
    <w:rsid w:val="004F9516"/>
    <w:rsid w:val="0050024C"/>
    <w:rsid w:val="00502616"/>
    <w:rsid w:val="005054B8"/>
    <w:rsid w:val="00513C32"/>
    <w:rsid w:val="00520EDE"/>
    <w:rsid w:val="005234ED"/>
    <w:rsid w:val="00523F53"/>
    <w:rsid w:val="00523FEC"/>
    <w:rsid w:val="0052504F"/>
    <w:rsid w:val="00533C12"/>
    <w:rsid w:val="005376DA"/>
    <w:rsid w:val="00540255"/>
    <w:rsid w:val="00541A01"/>
    <w:rsid w:val="00546027"/>
    <w:rsid w:val="00553A26"/>
    <w:rsid w:val="00557023"/>
    <w:rsid w:val="00565881"/>
    <w:rsid w:val="00572EC5"/>
    <w:rsid w:val="00574150"/>
    <w:rsid w:val="00575351"/>
    <w:rsid w:val="005773DF"/>
    <w:rsid w:val="00582115"/>
    <w:rsid w:val="005A0BBE"/>
    <w:rsid w:val="005B3E28"/>
    <w:rsid w:val="005B60BF"/>
    <w:rsid w:val="005C698A"/>
    <w:rsid w:val="005D1992"/>
    <w:rsid w:val="005D34DA"/>
    <w:rsid w:val="005D4B04"/>
    <w:rsid w:val="005E0EF9"/>
    <w:rsid w:val="005E1AB8"/>
    <w:rsid w:val="005F3B36"/>
    <w:rsid w:val="005F5ED3"/>
    <w:rsid w:val="0060016E"/>
    <w:rsid w:val="006053B8"/>
    <w:rsid w:val="00620F7F"/>
    <w:rsid w:val="00622230"/>
    <w:rsid w:val="006250FB"/>
    <w:rsid w:val="00625D08"/>
    <w:rsid w:val="0063309A"/>
    <w:rsid w:val="00642172"/>
    <w:rsid w:val="006553DB"/>
    <w:rsid w:val="006562E4"/>
    <w:rsid w:val="00662242"/>
    <w:rsid w:val="00667714"/>
    <w:rsid w:val="00671ADE"/>
    <w:rsid w:val="00680EDA"/>
    <w:rsid w:val="006810E6"/>
    <w:rsid w:val="00681DE7"/>
    <w:rsid w:val="00682A86"/>
    <w:rsid w:val="00696DD6"/>
    <w:rsid w:val="006A23DA"/>
    <w:rsid w:val="006A52AC"/>
    <w:rsid w:val="006C18D1"/>
    <w:rsid w:val="006D7E0A"/>
    <w:rsid w:val="006E111F"/>
    <w:rsid w:val="006E4890"/>
    <w:rsid w:val="006E61B7"/>
    <w:rsid w:val="006F0CCE"/>
    <w:rsid w:val="006F5FD1"/>
    <w:rsid w:val="006F7BC1"/>
    <w:rsid w:val="0070547A"/>
    <w:rsid w:val="007244F6"/>
    <w:rsid w:val="0073124F"/>
    <w:rsid w:val="00735EE1"/>
    <w:rsid w:val="0074441F"/>
    <w:rsid w:val="00745452"/>
    <w:rsid w:val="00750CF6"/>
    <w:rsid w:val="00753511"/>
    <w:rsid w:val="00753C22"/>
    <w:rsid w:val="00755E5A"/>
    <w:rsid w:val="00756820"/>
    <w:rsid w:val="00762371"/>
    <w:rsid w:val="0076405D"/>
    <w:rsid w:val="00767F5A"/>
    <w:rsid w:val="007814BA"/>
    <w:rsid w:val="00785AF0"/>
    <w:rsid w:val="00790CDB"/>
    <w:rsid w:val="00796115"/>
    <w:rsid w:val="00796272"/>
    <w:rsid w:val="007A5090"/>
    <w:rsid w:val="007B1E53"/>
    <w:rsid w:val="007C4069"/>
    <w:rsid w:val="007C5467"/>
    <w:rsid w:val="007C5ED1"/>
    <w:rsid w:val="007C6593"/>
    <w:rsid w:val="007D0C61"/>
    <w:rsid w:val="007D273D"/>
    <w:rsid w:val="007D70C5"/>
    <w:rsid w:val="007E313B"/>
    <w:rsid w:val="007E3442"/>
    <w:rsid w:val="007E4DE2"/>
    <w:rsid w:val="007F77B8"/>
    <w:rsid w:val="0081495C"/>
    <w:rsid w:val="00830C97"/>
    <w:rsid w:val="008354B7"/>
    <w:rsid w:val="00835B1F"/>
    <w:rsid w:val="008466E4"/>
    <w:rsid w:val="00846B8D"/>
    <w:rsid w:val="00851F3A"/>
    <w:rsid w:val="00852866"/>
    <w:rsid w:val="00855C37"/>
    <w:rsid w:val="00861943"/>
    <w:rsid w:val="00870E48"/>
    <w:rsid w:val="0087598C"/>
    <w:rsid w:val="00890BBD"/>
    <w:rsid w:val="008915FC"/>
    <w:rsid w:val="00894F4B"/>
    <w:rsid w:val="008B00B9"/>
    <w:rsid w:val="008B344D"/>
    <w:rsid w:val="008C1883"/>
    <w:rsid w:val="008C602D"/>
    <w:rsid w:val="008C7A65"/>
    <w:rsid w:val="008D2975"/>
    <w:rsid w:val="008D5F39"/>
    <w:rsid w:val="008E214E"/>
    <w:rsid w:val="008E58B6"/>
    <w:rsid w:val="008F7329"/>
    <w:rsid w:val="008F7778"/>
    <w:rsid w:val="00911ABE"/>
    <w:rsid w:val="00920831"/>
    <w:rsid w:val="00927805"/>
    <w:rsid w:val="00936B8C"/>
    <w:rsid w:val="00936E54"/>
    <w:rsid w:val="00963472"/>
    <w:rsid w:val="00967A1E"/>
    <w:rsid w:val="00972A8D"/>
    <w:rsid w:val="00982F13"/>
    <w:rsid w:val="00983659"/>
    <w:rsid w:val="00985B12"/>
    <w:rsid w:val="00986533"/>
    <w:rsid w:val="009A2BA6"/>
    <w:rsid w:val="009B27BE"/>
    <w:rsid w:val="009C1AC7"/>
    <w:rsid w:val="009C2644"/>
    <w:rsid w:val="009C2C60"/>
    <w:rsid w:val="009C577E"/>
    <w:rsid w:val="009C5A47"/>
    <w:rsid w:val="009D033B"/>
    <w:rsid w:val="009D11B0"/>
    <w:rsid w:val="009D61FF"/>
    <w:rsid w:val="009D69BC"/>
    <w:rsid w:val="009E5015"/>
    <w:rsid w:val="009F1A80"/>
    <w:rsid w:val="009F565E"/>
    <w:rsid w:val="009F7A91"/>
    <w:rsid w:val="00A01570"/>
    <w:rsid w:val="00A0418B"/>
    <w:rsid w:val="00A051E9"/>
    <w:rsid w:val="00A13115"/>
    <w:rsid w:val="00A27BE6"/>
    <w:rsid w:val="00A333F7"/>
    <w:rsid w:val="00A34E4F"/>
    <w:rsid w:val="00A4013B"/>
    <w:rsid w:val="00A40A98"/>
    <w:rsid w:val="00A42788"/>
    <w:rsid w:val="00A44206"/>
    <w:rsid w:val="00A47D6C"/>
    <w:rsid w:val="00A54C3F"/>
    <w:rsid w:val="00A54DE4"/>
    <w:rsid w:val="00A6443B"/>
    <w:rsid w:val="00A645D6"/>
    <w:rsid w:val="00A65E6A"/>
    <w:rsid w:val="00A733B5"/>
    <w:rsid w:val="00A77D2B"/>
    <w:rsid w:val="00A8110D"/>
    <w:rsid w:val="00A97565"/>
    <w:rsid w:val="00AA254E"/>
    <w:rsid w:val="00AA50AE"/>
    <w:rsid w:val="00AA6728"/>
    <w:rsid w:val="00AB31BC"/>
    <w:rsid w:val="00AC11C7"/>
    <w:rsid w:val="00AC66B0"/>
    <w:rsid w:val="00AD45DD"/>
    <w:rsid w:val="00AD50D5"/>
    <w:rsid w:val="00AE1E56"/>
    <w:rsid w:val="00AE3952"/>
    <w:rsid w:val="00B002E4"/>
    <w:rsid w:val="00B05713"/>
    <w:rsid w:val="00B066A0"/>
    <w:rsid w:val="00B069EE"/>
    <w:rsid w:val="00B07A27"/>
    <w:rsid w:val="00B15761"/>
    <w:rsid w:val="00B1780B"/>
    <w:rsid w:val="00B239A5"/>
    <w:rsid w:val="00B24DC6"/>
    <w:rsid w:val="00B27BCE"/>
    <w:rsid w:val="00B321A3"/>
    <w:rsid w:val="00B44494"/>
    <w:rsid w:val="00B45BF8"/>
    <w:rsid w:val="00B4640C"/>
    <w:rsid w:val="00B534D9"/>
    <w:rsid w:val="00B53A04"/>
    <w:rsid w:val="00B62244"/>
    <w:rsid w:val="00B63710"/>
    <w:rsid w:val="00B73EF0"/>
    <w:rsid w:val="00B76EA4"/>
    <w:rsid w:val="00B8269E"/>
    <w:rsid w:val="00B8335D"/>
    <w:rsid w:val="00B857AF"/>
    <w:rsid w:val="00B95DAB"/>
    <w:rsid w:val="00BA4683"/>
    <w:rsid w:val="00BA79A0"/>
    <w:rsid w:val="00BA79B9"/>
    <w:rsid w:val="00BB009C"/>
    <w:rsid w:val="00BB1019"/>
    <w:rsid w:val="00BB730C"/>
    <w:rsid w:val="00BB7BF1"/>
    <w:rsid w:val="00BC1102"/>
    <w:rsid w:val="00BC55FE"/>
    <w:rsid w:val="00BC7399"/>
    <w:rsid w:val="00BD0D50"/>
    <w:rsid w:val="00BD4ADF"/>
    <w:rsid w:val="00BE0378"/>
    <w:rsid w:val="00BE14AC"/>
    <w:rsid w:val="00BE4C3F"/>
    <w:rsid w:val="00BE6F8F"/>
    <w:rsid w:val="00BE7824"/>
    <w:rsid w:val="00BE790E"/>
    <w:rsid w:val="00BF4FFD"/>
    <w:rsid w:val="00BF5FEF"/>
    <w:rsid w:val="00C05A97"/>
    <w:rsid w:val="00C23668"/>
    <w:rsid w:val="00C258AC"/>
    <w:rsid w:val="00C321CE"/>
    <w:rsid w:val="00C322F3"/>
    <w:rsid w:val="00C323BB"/>
    <w:rsid w:val="00C525C8"/>
    <w:rsid w:val="00C62B11"/>
    <w:rsid w:val="00C71F9A"/>
    <w:rsid w:val="00C72E2A"/>
    <w:rsid w:val="00C7387C"/>
    <w:rsid w:val="00C73EE1"/>
    <w:rsid w:val="00C77431"/>
    <w:rsid w:val="00C85C34"/>
    <w:rsid w:val="00C90EEA"/>
    <w:rsid w:val="00C93F59"/>
    <w:rsid w:val="00CA28AB"/>
    <w:rsid w:val="00CB2A85"/>
    <w:rsid w:val="00CB3669"/>
    <w:rsid w:val="00CB4A05"/>
    <w:rsid w:val="00CC5C5B"/>
    <w:rsid w:val="00CD2F35"/>
    <w:rsid w:val="00CD3D48"/>
    <w:rsid w:val="00CD42FA"/>
    <w:rsid w:val="00CE6F86"/>
    <w:rsid w:val="00CF5E3B"/>
    <w:rsid w:val="00D03C8D"/>
    <w:rsid w:val="00D100A6"/>
    <w:rsid w:val="00D17D5D"/>
    <w:rsid w:val="00D26955"/>
    <w:rsid w:val="00D2738F"/>
    <w:rsid w:val="00D37C0D"/>
    <w:rsid w:val="00D41712"/>
    <w:rsid w:val="00D508D3"/>
    <w:rsid w:val="00D5167E"/>
    <w:rsid w:val="00D525C7"/>
    <w:rsid w:val="00D53493"/>
    <w:rsid w:val="00D556AC"/>
    <w:rsid w:val="00D55BB3"/>
    <w:rsid w:val="00D56483"/>
    <w:rsid w:val="00D60834"/>
    <w:rsid w:val="00D61093"/>
    <w:rsid w:val="00D61941"/>
    <w:rsid w:val="00D622A5"/>
    <w:rsid w:val="00D62F80"/>
    <w:rsid w:val="00D67FCB"/>
    <w:rsid w:val="00D72504"/>
    <w:rsid w:val="00D76A98"/>
    <w:rsid w:val="00D800A3"/>
    <w:rsid w:val="00D83445"/>
    <w:rsid w:val="00D90F3F"/>
    <w:rsid w:val="00D953B2"/>
    <w:rsid w:val="00DAA14F"/>
    <w:rsid w:val="00DB0341"/>
    <w:rsid w:val="00DB50FF"/>
    <w:rsid w:val="00DB79AC"/>
    <w:rsid w:val="00DB7B12"/>
    <w:rsid w:val="00DC2F93"/>
    <w:rsid w:val="00DD247F"/>
    <w:rsid w:val="00DD3134"/>
    <w:rsid w:val="00DE6BA8"/>
    <w:rsid w:val="00DE7A27"/>
    <w:rsid w:val="00DF05DD"/>
    <w:rsid w:val="00DF1EEA"/>
    <w:rsid w:val="00E02EE3"/>
    <w:rsid w:val="00E033C0"/>
    <w:rsid w:val="00E04474"/>
    <w:rsid w:val="00E05FFA"/>
    <w:rsid w:val="00E14DC4"/>
    <w:rsid w:val="00E16827"/>
    <w:rsid w:val="00E253DA"/>
    <w:rsid w:val="00E25EC4"/>
    <w:rsid w:val="00E45744"/>
    <w:rsid w:val="00E53DE9"/>
    <w:rsid w:val="00E60064"/>
    <w:rsid w:val="00E6420B"/>
    <w:rsid w:val="00E77D51"/>
    <w:rsid w:val="00E87512"/>
    <w:rsid w:val="00E90F12"/>
    <w:rsid w:val="00E92604"/>
    <w:rsid w:val="00E938F4"/>
    <w:rsid w:val="00E976F5"/>
    <w:rsid w:val="00EA7ACD"/>
    <w:rsid w:val="00EB22E1"/>
    <w:rsid w:val="00EB261C"/>
    <w:rsid w:val="00EC5C5A"/>
    <w:rsid w:val="00ED01CF"/>
    <w:rsid w:val="00ED637C"/>
    <w:rsid w:val="00EE0EE9"/>
    <w:rsid w:val="00EE42BA"/>
    <w:rsid w:val="00EE45DF"/>
    <w:rsid w:val="00EE642A"/>
    <w:rsid w:val="00EF2099"/>
    <w:rsid w:val="00EF330D"/>
    <w:rsid w:val="00EF34DB"/>
    <w:rsid w:val="00EF6F40"/>
    <w:rsid w:val="00F10AED"/>
    <w:rsid w:val="00F20CD1"/>
    <w:rsid w:val="00F245EB"/>
    <w:rsid w:val="00F24DF0"/>
    <w:rsid w:val="00F26855"/>
    <w:rsid w:val="00F32DF9"/>
    <w:rsid w:val="00F34354"/>
    <w:rsid w:val="00F359EB"/>
    <w:rsid w:val="00F56FC2"/>
    <w:rsid w:val="00F60F0B"/>
    <w:rsid w:val="00F660F9"/>
    <w:rsid w:val="00F666A5"/>
    <w:rsid w:val="00F67408"/>
    <w:rsid w:val="00F67A3E"/>
    <w:rsid w:val="00F818AD"/>
    <w:rsid w:val="00F942F5"/>
    <w:rsid w:val="00F949C8"/>
    <w:rsid w:val="00FA40CF"/>
    <w:rsid w:val="00FA4B91"/>
    <w:rsid w:val="00FB1F38"/>
    <w:rsid w:val="00FC7638"/>
    <w:rsid w:val="00FE37DA"/>
    <w:rsid w:val="00FE38C1"/>
    <w:rsid w:val="00FE7DA6"/>
    <w:rsid w:val="00FF0243"/>
    <w:rsid w:val="00FF67A8"/>
    <w:rsid w:val="010770BC"/>
    <w:rsid w:val="01272A97"/>
    <w:rsid w:val="0137BB04"/>
    <w:rsid w:val="014F8603"/>
    <w:rsid w:val="017234B7"/>
    <w:rsid w:val="0191916B"/>
    <w:rsid w:val="01EDF2CF"/>
    <w:rsid w:val="025C2AF8"/>
    <w:rsid w:val="02680577"/>
    <w:rsid w:val="02CDB08F"/>
    <w:rsid w:val="02F7B5F6"/>
    <w:rsid w:val="0305AFE6"/>
    <w:rsid w:val="0362284E"/>
    <w:rsid w:val="0389C330"/>
    <w:rsid w:val="0390D6EC"/>
    <w:rsid w:val="03C67FDB"/>
    <w:rsid w:val="03DBF957"/>
    <w:rsid w:val="04142F54"/>
    <w:rsid w:val="043630C5"/>
    <w:rsid w:val="044AA8FE"/>
    <w:rsid w:val="047BD93A"/>
    <w:rsid w:val="049E9C28"/>
    <w:rsid w:val="04BF7975"/>
    <w:rsid w:val="04D8C940"/>
    <w:rsid w:val="04F010F0"/>
    <w:rsid w:val="0507E59B"/>
    <w:rsid w:val="05489D0A"/>
    <w:rsid w:val="059B0ABB"/>
    <w:rsid w:val="05B46D81"/>
    <w:rsid w:val="05C10DE2"/>
    <w:rsid w:val="0650B640"/>
    <w:rsid w:val="069A1233"/>
    <w:rsid w:val="069B20E4"/>
    <w:rsid w:val="06BED69A"/>
    <w:rsid w:val="06FE91E7"/>
    <w:rsid w:val="071C310C"/>
    <w:rsid w:val="07382F45"/>
    <w:rsid w:val="076CB8EF"/>
    <w:rsid w:val="07793E44"/>
    <w:rsid w:val="07F0887D"/>
    <w:rsid w:val="081E8DD8"/>
    <w:rsid w:val="0825AF6D"/>
    <w:rsid w:val="0844A939"/>
    <w:rsid w:val="08946FFD"/>
    <w:rsid w:val="0995386C"/>
    <w:rsid w:val="09EDE65E"/>
    <w:rsid w:val="0A2F73E1"/>
    <w:rsid w:val="0ACC0921"/>
    <w:rsid w:val="0AF2AF2F"/>
    <w:rsid w:val="0B5ADE1E"/>
    <w:rsid w:val="0B6F2063"/>
    <w:rsid w:val="0B9359AA"/>
    <w:rsid w:val="0BA1C8B5"/>
    <w:rsid w:val="0BEA0FCF"/>
    <w:rsid w:val="0BEF666F"/>
    <w:rsid w:val="0C09558F"/>
    <w:rsid w:val="0C2C83FE"/>
    <w:rsid w:val="0D2304BE"/>
    <w:rsid w:val="0D3732F7"/>
    <w:rsid w:val="0D741D4E"/>
    <w:rsid w:val="0D7AE975"/>
    <w:rsid w:val="0DADD9F2"/>
    <w:rsid w:val="0DC0B650"/>
    <w:rsid w:val="0DC5273C"/>
    <w:rsid w:val="0DE83CCE"/>
    <w:rsid w:val="0E96F32D"/>
    <w:rsid w:val="0EB4D27C"/>
    <w:rsid w:val="0EC1A874"/>
    <w:rsid w:val="0F40399D"/>
    <w:rsid w:val="1011D823"/>
    <w:rsid w:val="10351548"/>
    <w:rsid w:val="10443B15"/>
    <w:rsid w:val="106966C5"/>
    <w:rsid w:val="10758718"/>
    <w:rsid w:val="10C5B758"/>
    <w:rsid w:val="10C5E0C5"/>
    <w:rsid w:val="10DCE8AC"/>
    <w:rsid w:val="10E3DF99"/>
    <w:rsid w:val="112FC8B4"/>
    <w:rsid w:val="115D604F"/>
    <w:rsid w:val="123FCE24"/>
    <w:rsid w:val="12478E71"/>
    <w:rsid w:val="1253E0F7"/>
    <w:rsid w:val="129BC582"/>
    <w:rsid w:val="12A15B30"/>
    <w:rsid w:val="12BA4043"/>
    <w:rsid w:val="12FF75F0"/>
    <w:rsid w:val="13050F22"/>
    <w:rsid w:val="13056900"/>
    <w:rsid w:val="1370B348"/>
    <w:rsid w:val="13807383"/>
    <w:rsid w:val="13B9364A"/>
    <w:rsid w:val="14165996"/>
    <w:rsid w:val="1448B108"/>
    <w:rsid w:val="144D7125"/>
    <w:rsid w:val="145B576E"/>
    <w:rsid w:val="1473E988"/>
    <w:rsid w:val="14950111"/>
    <w:rsid w:val="14A94F33"/>
    <w:rsid w:val="14C3114A"/>
    <w:rsid w:val="14CB86DB"/>
    <w:rsid w:val="14F8A2B6"/>
    <w:rsid w:val="15242AD5"/>
    <w:rsid w:val="15668F99"/>
    <w:rsid w:val="1580001E"/>
    <w:rsid w:val="159B37DD"/>
    <w:rsid w:val="15B7C1EA"/>
    <w:rsid w:val="15C46114"/>
    <w:rsid w:val="15C9720D"/>
    <w:rsid w:val="16169585"/>
    <w:rsid w:val="161CF9D3"/>
    <w:rsid w:val="169D8F18"/>
    <w:rsid w:val="16D72DA3"/>
    <w:rsid w:val="17052D93"/>
    <w:rsid w:val="171BD07F"/>
    <w:rsid w:val="1736D381"/>
    <w:rsid w:val="173CCA40"/>
    <w:rsid w:val="174C0836"/>
    <w:rsid w:val="17603175"/>
    <w:rsid w:val="17B5A846"/>
    <w:rsid w:val="17E34591"/>
    <w:rsid w:val="18536883"/>
    <w:rsid w:val="191E8B3D"/>
    <w:rsid w:val="196593A6"/>
    <w:rsid w:val="196BDD3C"/>
    <w:rsid w:val="1A05D269"/>
    <w:rsid w:val="1A4B01F1"/>
    <w:rsid w:val="1A790F82"/>
    <w:rsid w:val="1AA6D767"/>
    <w:rsid w:val="1ABD1BF4"/>
    <w:rsid w:val="1B5C4DD8"/>
    <w:rsid w:val="1B83E4C4"/>
    <w:rsid w:val="1BADC1F3"/>
    <w:rsid w:val="1BC32399"/>
    <w:rsid w:val="1BE87EAF"/>
    <w:rsid w:val="1C1F7959"/>
    <w:rsid w:val="1C363BB0"/>
    <w:rsid w:val="1C42A7C8"/>
    <w:rsid w:val="1C80D256"/>
    <w:rsid w:val="1CC86520"/>
    <w:rsid w:val="1CD85350"/>
    <w:rsid w:val="1CEB69DF"/>
    <w:rsid w:val="1D1E0E17"/>
    <w:rsid w:val="1D290214"/>
    <w:rsid w:val="1D54D010"/>
    <w:rsid w:val="1DB618C6"/>
    <w:rsid w:val="1DE665AF"/>
    <w:rsid w:val="1E31A859"/>
    <w:rsid w:val="1E540C5F"/>
    <w:rsid w:val="1E71E772"/>
    <w:rsid w:val="1E82CD2D"/>
    <w:rsid w:val="1EAAF4E1"/>
    <w:rsid w:val="1EAF7719"/>
    <w:rsid w:val="1EC5D4F4"/>
    <w:rsid w:val="1ED1F919"/>
    <w:rsid w:val="1F0913F1"/>
    <w:rsid w:val="1F254ECD"/>
    <w:rsid w:val="1F45DF44"/>
    <w:rsid w:val="1F46FB2D"/>
    <w:rsid w:val="1F6291DF"/>
    <w:rsid w:val="1F821F5F"/>
    <w:rsid w:val="1FD61FA9"/>
    <w:rsid w:val="20046D85"/>
    <w:rsid w:val="201285C7"/>
    <w:rsid w:val="2019EB6D"/>
    <w:rsid w:val="21DCCA8D"/>
    <w:rsid w:val="21EA31D0"/>
    <w:rsid w:val="2229B9FD"/>
    <w:rsid w:val="226CD899"/>
    <w:rsid w:val="22837095"/>
    <w:rsid w:val="22B9D6D2"/>
    <w:rsid w:val="22BB5660"/>
    <w:rsid w:val="22BD5013"/>
    <w:rsid w:val="22F89FBB"/>
    <w:rsid w:val="2303FD00"/>
    <w:rsid w:val="23214F56"/>
    <w:rsid w:val="233EB46C"/>
    <w:rsid w:val="23BF0672"/>
    <w:rsid w:val="24109424"/>
    <w:rsid w:val="2414E742"/>
    <w:rsid w:val="244C3B52"/>
    <w:rsid w:val="2455A733"/>
    <w:rsid w:val="24740D42"/>
    <w:rsid w:val="247FC6AA"/>
    <w:rsid w:val="2489787B"/>
    <w:rsid w:val="248D1986"/>
    <w:rsid w:val="2539A632"/>
    <w:rsid w:val="2585BF71"/>
    <w:rsid w:val="25CD8C71"/>
    <w:rsid w:val="2620DD8E"/>
    <w:rsid w:val="262DCB39"/>
    <w:rsid w:val="265AEB1A"/>
    <w:rsid w:val="26901071"/>
    <w:rsid w:val="27099FCF"/>
    <w:rsid w:val="274CF7D0"/>
    <w:rsid w:val="2769FBC1"/>
    <w:rsid w:val="279C3363"/>
    <w:rsid w:val="27A29989"/>
    <w:rsid w:val="27C99B9A"/>
    <w:rsid w:val="280BBDF4"/>
    <w:rsid w:val="28225573"/>
    <w:rsid w:val="283D2C38"/>
    <w:rsid w:val="2848D403"/>
    <w:rsid w:val="284DE102"/>
    <w:rsid w:val="2896545D"/>
    <w:rsid w:val="28AA1172"/>
    <w:rsid w:val="28B2854C"/>
    <w:rsid w:val="29107251"/>
    <w:rsid w:val="291EDB67"/>
    <w:rsid w:val="292FB47B"/>
    <w:rsid w:val="293803C4"/>
    <w:rsid w:val="2949B1E6"/>
    <w:rsid w:val="294FB273"/>
    <w:rsid w:val="2988BD96"/>
    <w:rsid w:val="29BE6DA8"/>
    <w:rsid w:val="29DC1B58"/>
    <w:rsid w:val="29EDCE63"/>
    <w:rsid w:val="2AC65C50"/>
    <w:rsid w:val="2AD891FB"/>
    <w:rsid w:val="2B3B8460"/>
    <w:rsid w:val="2B886739"/>
    <w:rsid w:val="2BA33A84"/>
    <w:rsid w:val="2BA36CB3"/>
    <w:rsid w:val="2C5A8FDC"/>
    <w:rsid w:val="2C9D0CBD"/>
    <w:rsid w:val="2CCC48C8"/>
    <w:rsid w:val="2CEC347F"/>
    <w:rsid w:val="2D1BC0F4"/>
    <w:rsid w:val="2D2C0536"/>
    <w:rsid w:val="2D40E4D0"/>
    <w:rsid w:val="2D509B31"/>
    <w:rsid w:val="2D555C3C"/>
    <w:rsid w:val="2D84BF5E"/>
    <w:rsid w:val="2DE0792B"/>
    <w:rsid w:val="2DF85540"/>
    <w:rsid w:val="2E17E7CA"/>
    <w:rsid w:val="2E3A4437"/>
    <w:rsid w:val="2E8D6229"/>
    <w:rsid w:val="2E98B983"/>
    <w:rsid w:val="2EE8AE5D"/>
    <w:rsid w:val="2F293302"/>
    <w:rsid w:val="2F43F69A"/>
    <w:rsid w:val="2F7BC7D3"/>
    <w:rsid w:val="301807E5"/>
    <w:rsid w:val="303E43C0"/>
    <w:rsid w:val="304FC601"/>
    <w:rsid w:val="308DCDBA"/>
    <w:rsid w:val="30EEED92"/>
    <w:rsid w:val="310CA7D0"/>
    <w:rsid w:val="3110EF03"/>
    <w:rsid w:val="3129ED4C"/>
    <w:rsid w:val="3149E149"/>
    <w:rsid w:val="31616B1B"/>
    <w:rsid w:val="31707DE0"/>
    <w:rsid w:val="31CEA8E4"/>
    <w:rsid w:val="32376027"/>
    <w:rsid w:val="32460A67"/>
    <w:rsid w:val="32746B06"/>
    <w:rsid w:val="3285B0B3"/>
    <w:rsid w:val="3286920B"/>
    <w:rsid w:val="32E70877"/>
    <w:rsid w:val="3340FE4F"/>
    <w:rsid w:val="33845304"/>
    <w:rsid w:val="338882AC"/>
    <w:rsid w:val="3390ECAA"/>
    <w:rsid w:val="33AE4144"/>
    <w:rsid w:val="33B02654"/>
    <w:rsid w:val="33C264BC"/>
    <w:rsid w:val="33DE1841"/>
    <w:rsid w:val="342E00EA"/>
    <w:rsid w:val="3450B388"/>
    <w:rsid w:val="347731C4"/>
    <w:rsid w:val="3482D8D8"/>
    <w:rsid w:val="348586EA"/>
    <w:rsid w:val="34A88D15"/>
    <w:rsid w:val="34E97E50"/>
    <w:rsid w:val="34F47736"/>
    <w:rsid w:val="3522A92C"/>
    <w:rsid w:val="354BF6B5"/>
    <w:rsid w:val="356F9C78"/>
    <w:rsid w:val="35CB4492"/>
    <w:rsid w:val="361EA939"/>
    <w:rsid w:val="3678B33B"/>
    <w:rsid w:val="367AADD3"/>
    <w:rsid w:val="36950184"/>
    <w:rsid w:val="36DA97E5"/>
    <w:rsid w:val="36DF02E4"/>
    <w:rsid w:val="36E5E206"/>
    <w:rsid w:val="37C29DB2"/>
    <w:rsid w:val="3843E1F6"/>
    <w:rsid w:val="384C58A6"/>
    <w:rsid w:val="38600E2A"/>
    <w:rsid w:val="386EF6B4"/>
    <w:rsid w:val="38766846"/>
    <w:rsid w:val="387AF4CC"/>
    <w:rsid w:val="38F8A333"/>
    <w:rsid w:val="39025305"/>
    <w:rsid w:val="39122270"/>
    <w:rsid w:val="39A5C1CE"/>
    <w:rsid w:val="39BCEF73"/>
    <w:rsid w:val="39C16F0D"/>
    <w:rsid w:val="39C7C0E0"/>
    <w:rsid w:val="39E43D18"/>
    <w:rsid w:val="3A023118"/>
    <w:rsid w:val="3A196AA3"/>
    <w:rsid w:val="3A1F81EA"/>
    <w:rsid w:val="3A8E0E84"/>
    <w:rsid w:val="3A909EB6"/>
    <w:rsid w:val="3B0F4091"/>
    <w:rsid w:val="3B1741D6"/>
    <w:rsid w:val="3B86F15F"/>
    <w:rsid w:val="3BE2EAF4"/>
    <w:rsid w:val="3C131245"/>
    <w:rsid w:val="3C316FE8"/>
    <w:rsid w:val="3C41288C"/>
    <w:rsid w:val="3C441C7B"/>
    <w:rsid w:val="3C546E90"/>
    <w:rsid w:val="3CA11F05"/>
    <w:rsid w:val="3CF8B1B4"/>
    <w:rsid w:val="3D1CFBFD"/>
    <w:rsid w:val="3D384F1B"/>
    <w:rsid w:val="3D438075"/>
    <w:rsid w:val="3D534F1E"/>
    <w:rsid w:val="3D643166"/>
    <w:rsid w:val="3D648633"/>
    <w:rsid w:val="3D94473C"/>
    <w:rsid w:val="3D9B327E"/>
    <w:rsid w:val="3D9B8F5E"/>
    <w:rsid w:val="3E114337"/>
    <w:rsid w:val="3E4ACB8D"/>
    <w:rsid w:val="3E53A84A"/>
    <w:rsid w:val="3E86568A"/>
    <w:rsid w:val="3EB842C8"/>
    <w:rsid w:val="3ED41F7C"/>
    <w:rsid w:val="3EFD5661"/>
    <w:rsid w:val="3FAE8A71"/>
    <w:rsid w:val="4001E62C"/>
    <w:rsid w:val="40150280"/>
    <w:rsid w:val="40699F5A"/>
    <w:rsid w:val="406FEFDD"/>
    <w:rsid w:val="40A998C8"/>
    <w:rsid w:val="4121EEA2"/>
    <w:rsid w:val="414CFAF6"/>
    <w:rsid w:val="41B93078"/>
    <w:rsid w:val="41E790DD"/>
    <w:rsid w:val="41E891CF"/>
    <w:rsid w:val="41FDA4FC"/>
    <w:rsid w:val="426B650C"/>
    <w:rsid w:val="428232D1"/>
    <w:rsid w:val="42EFEB1A"/>
    <w:rsid w:val="43846230"/>
    <w:rsid w:val="43E3E444"/>
    <w:rsid w:val="43F3A779"/>
    <w:rsid w:val="440D46C4"/>
    <w:rsid w:val="4434151F"/>
    <w:rsid w:val="4462E2C3"/>
    <w:rsid w:val="44DB14D7"/>
    <w:rsid w:val="44E7A9A8"/>
    <w:rsid w:val="454862D0"/>
    <w:rsid w:val="455C895D"/>
    <w:rsid w:val="455CF2C0"/>
    <w:rsid w:val="4561538B"/>
    <w:rsid w:val="4576EFFB"/>
    <w:rsid w:val="459793B1"/>
    <w:rsid w:val="4635AC7C"/>
    <w:rsid w:val="473B456B"/>
    <w:rsid w:val="4755C4EC"/>
    <w:rsid w:val="4840C3F9"/>
    <w:rsid w:val="486C33B7"/>
    <w:rsid w:val="489C5281"/>
    <w:rsid w:val="48D1FB70"/>
    <w:rsid w:val="4901BDDA"/>
    <w:rsid w:val="49075818"/>
    <w:rsid w:val="49551C2D"/>
    <w:rsid w:val="496AFAD5"/>
    <w:rsid w:val="496EC4B5"/>
    <w:rsid w:val="49A10AB2"/>
    <w:rsid w:val="49BB924E"/>
    <w:rsid w:val="49C1AFD0"/>
    <w:rsid w:val="49C5DE7C"/>
    <w:rsid w:val="49F2EAC0"/>
    <w:rsid w:val="4A16D223"/>
    <w:rsid w:val="4A8287E1"/>
    <w:rsid w:val="4A9AA43B"/>
    <w:rsid w:val="4AA50EC2"/>
    <w:rsid w:val="4AE570F1"/>
    <w:rsid w:val="4AE97145"/>
    <w:rsid w:val="4AF0EC8E"/>
    <w:rsid w:val="4B52881E"/>
    <w:rsid w:val="4B53236D"/>
    <w:rsid w:val="4B746B7A"/>
    <w:rsid w:val="4B926D9D"/>
    <w:rsid w:val="4B92F876"/>
    <w:rsid w:val="4BB5C03C"/>
    <w:rsid w:val="4BB67DA4"/>
    <w:rsid w:val="4BCBCAE1"/>
    <w:rsid w:val="4BCCD3D1"/>
    <w:rsid w:val="4BE901DC"/>
    <w:rsid w:val="4C66498A"/>
    <w:rsid w:val="4CCCED5F"/>
    <w:rsid w:val="4D2B4476"/>
    <w:rsid w:val="4DF50168"/>
    <w:rsid w:val="4E8E0692"/>
    <w:rsid w:val="4EA8B6DF"/>
    <w:rsid w:val="4ED77A1B"/>
    <w:rsid w:val="4EF53177"/>
    <w:rsid w:val="4EFC4988"/>
    <w:rsid w:val="4F08F4C0"/>
    <w:rsid w:val="4F0B4742"/>
    <w:rsid w:val="4F2F5530"/>
    <w:rsid w:val="4F47AE74"/>
    <w:rsid w:val="4FBD22A3"/>
    <w:rsid w:val="4FBFA624"/>
    <w:rsid w:val="4FC196A6"/>
    <w:rsid w:val="4FC7313E"/>
    <w:rsid w:val="4FE86DFA"/>
    <w:rsid w:val="5064382C"/>
    <w:rsid w:val="50666999"/>
    <w:rsid w:val="506BEEA7"/>
    <w:rsid w:val="508EA847"/>
    <w:rsid w:val="50AB3476"/>
    <w:rsid w:val="5129CB2B"/>
    <w:rsid w:val="512CA22A"/>
    <w:rsid w:val="5158F304"/>
    <w:rsid w:val="51602E12"/>
    <w:rsid w:val="5162B20E"/>
    <w:rsid w:val="51903016"/>
    <w:rsid w:val="51B8439D"/>
    <w:rsid w:val="51FEB599"/>
    <w:rsid w:val="5206A31F"/>
    <w:rsid w:val="5242E804"/>
    <w:rsid w:val="525E37AD"/>
    <w:rsid w:val="5292102A"/>
    <w:rsid w:val="52D9502F"/>
    <w:rsid w:val="5301DA9B"/>
    <w:rsid w:val="53374D4D"/>
    <w:rsid w:val="536E3942"/>
    <w:rsid w:val="537ADA6B"/>
    <w:rsid w:val="5399B73D"/>
    <w:rsid w:val="539A85FA"/>
    <w:rsid w:val="53A27380"/>
    <w:rsid w:val="53A3FC0A"/>
    <w:rsid w:val="53A8E0FC"/>
    <w:rsid w:val="53AEB034"/>
    <w:rsid w:val="53D48D5D"/>
    <w:rsid w:val="546F541F"/>
    <w:rsid w:val="54C48617"/>
    <w:rsid w:val="54D8D839"/>
    <w:rsid w:val="550DA53C"/>
    <w:rsid w:val="552EB983"/>
    <w:rsid w:val="5531D66F"/>
    <w:rsid w:val="556EDD31"/>
    <w:rsid w:val="556FC957"/>
    <w:rsid w:val="5597BB62"/>
    <w:rsid w:val="56108441"/>
    <w:rsid w:val="569C0C5F"/>
    <w:rsid w:val="56BD7010"/>
    <w:rsid w:val="570F015B"/>
    <w:rsid w:val="573BDA25"/>
    <w:rsid w:val="57BAFBC5"/>
    <w:rsid w:val="57C5503B"/>
    <w:rsid w:val="58117BCC"/>
    <w:rsid w:val="5877F4DD"/>
    <w:rsid w:val="588CB056"/>
    <w:rsid w:val="5898A098"/>
    <w:rsid w:val="58991312"/>
    <w:rsid w:val="58A7FE80"/>
    <w:rsid w:val="58CDD791"/>
    <w:rsid w:val="59248E79"/>
    <w:rsid w:val="5929E423"/>
    <w:rsid w:val="593AB06B"/>
    <w:rsid w:val="5970B61E"/>
    <w:rsid w:val="5976F17C"/>
    <w:rsid w:val="598AD85B"/>
    <w:rsid w:val="59E59F6B"/>
    <w:rsid w:val="59F9A890"/>
    <w:rsid w:val="59FC3D55"/>
    <w:rsid w:val="5A3E4A16"/>
    <w:rsid w:val="5A43CEE1"/>
    <w:rsid w:val="5A52CF16"/>
    <w:rsid w:val="5A628806"/>
    <w:rsid w:val="5A8E0DAA"/>
    <w:rsid w:val="5B0E6FD7"/>
    <w:rsid w:val="5B20B8E0"/>
    <w:rsid w:val="5B2DEA09"/>
    <w:rsid w:val="5B4645CB"/>
    <w:rsid w:val="5B840D2E"/>
    <w:rsid w:val="5BA1A4D8"/>
    <w:rsid w:val="5BEA5154"/>
    <w:rsid w:val="5C5C2F3B"/>
    <w:rsid w:val="5C6656E7"/>
    <w:rsid w:val="5C9CDF33"/>
    <w:rsid w:val="5C9ED9B9"/>
    <w:rsid w:val="5CF017DA"/>
    <w:rsid w:val="5D01FBF7"/>
    <w:rsid w:val="5D7B6FA3"/>
    <w:rsid w:val="5E0FAA3F"/>
    <w:rsid w:val="5E30A2EA"/>
    <w:rsid w:val="5E338D04"/>
    <w:rsid w:val="5E491CC5"/>
    <w:rsid w:val="5E7B04DA"/>
    <w:rsid w:val="5E8B964C"/>
    <w:rsid w:val="5EDB9AF8"/>
    <w:rsid w:val="5EE52627"/>
    <w:rsid w:val="5F3EB3EE"/>
    <w:rsid w:val="5FBB5798"/>
    <w:rsid w:val="6001A8AB"/>
    <w:rsid w:val="6068EA14"/>
    <w:rsid w:val="6080F688"/>
    <w:rsid w:val="608C2FCF"/>
    <w:rsid w:val="608CB891"/>
    <w:rsid w:val="60921DBB"/>
    <w:rsid w:val="60B25CBE"/>
    <w:rsid w:val="612DFE0C"/>
    <w:rsid w:val="61339BA4"/>
    <w:rsid w:val="61397A49"/>
    <w:rsid w:val="614AB37A"/>
    <w:rsid w:val="61A5BE51"/>
    <w:rsid w:val="61B2278B"/>
    <w:rsid w:val="61BD3B44"/>
    <w:rsid w:val="61BEF099"/>
    <w:rsid w:val="61CC4E09"/>
    <w:rsid w:val="61E725A8"/>
    <w:rsid w:val="61EAFF43"/>
    <w:rsid w:val="627654B0"/>
    <w:rsid w:val="6279010C"/>
    <w:rsid w:val="628DE084"/>
    <w:rsid w:val="62BE6B57"/>
    <w:rsid w:val="62F39C5E"/>
    <w:rsid w:val="630F5679"/>
    <w:rsid w:val="632856E7"/>
    <w:rsid w:val="63876E91"/>
    <w:rsid w:val="63E2939C"/>
    <w:rsid w:val="63EDFA0E"/>
    <w:rsid w:val="63FE3001"/>
    <w:rsid w:val="642B3BD8"/>
    <w:rsid w:val="6467145D"/>
    <w:rsid w:val="647B50B4"/>
    <w:rsid w:val="6499CF3A"/>
    <w:rsid w:val="64E33514"/>
    <w:rsid w:val="655E9D02"/>
    <w:rsid w:val="657D1197"/>
    <w:rsid w:val="658BF450"/>
    <w:rsid w:val="6592765C"/>
    <w:rsid w:val="66034FE0"/>
    <w:rsid w:val="6625635B"/>
    <w:rsid w:val="6628AA83"/>
    <w:rsid w:val="66433920"/>
    <w:rsid w:val="66452118"/>
    <w:rsid w:val="665D6154"/>
    <w:rsid w:val="6671C49B"/>
    <w:rsid w:val="6719D6BC"/>
    <w:rsid w:val="67D7BBDA"/>
    <w:rsid w:val="6831A740"/>
    <w:rsid w:val="68627E3D"/>
    <w:rsid w:val="686B3D65"/>
    <w:rsid w:val="68814057"/>
    <w:rsid w:val="6886B2B5"/>
    <w:rsid w:val="69150D41"/>
    <w:rsid w:val="691612DB"/>
    <w:rsid w:val="695C7E17"/>
    <w:rsid w:val="69627089"/>
    <w:rsid w:val="69714C20"/>
    <w:rsid w:val="69C27788"/>
    <w:rsid w:val="69CF28BF"/>
    <w:rsid w:val="69CF6654"/>
    <w:rsid w:val="69DF4F1A"/>
    <w:rsid w:val="6A02E907"/>
    <w:rsid w:val="6A1F57AA"/>
    <w:rsid w:val="6A4521C7"/>
    <w:rsid w:val="6A621518"/>
    <w:rsid w:val="6A816695"/>
    <w:rsid w:val="6AA970B1"/>
    <w:rsid w:val="6AAFDB08"/>
    <w:rsid w:val="6AF5DC37"/>
    <w:rsid w:val="6AFC2B13"/>
    <w:rsid w:val="6BF23E65"/>
    <w:rsid w:val="6C35BE74"/>
    <w:rsid w:val="6C9C36D7"/>
    <w:rsid w:val="6D11885B"/>
    <w:rsid w:val="6D16EFDC"/>
    <w:rsid w:val="6D6615F8"/>
    <w:rsid w:val="6D7A351D"/>
    <w:rsid w:val="6D8A3110"/>
    <w:rsid w:val="6DC7C817"/>
    <w:rsid w:val="6DCE1833"/>
    <w:rsid w:val="6DE89D25"/>
    <w:rsid w:val="6E0270D6"/>
    <w:rsid w:val="6E3A1426"/>
    <w:rsid w:val="6E6C2E03"/>
    <w:rsid w:val="6E76EA26"/>
    <w:rsid w:val="6E89FAFD"/>
    <w:rsid w:val="6EA5D0EC"/>
    <w:rsid w:val="6EA8853F"/>
    <w:rsid w:val="6EBFFE8C"/>
    <w:rsid w:val="6EF42D09"/>
    <w:rsid w:val="6F45F088"/>
    <w:rsid w:val="6F7608B1"/>
    <w:rsid w:val="6FA72101"/>
    <w:rsid w:val="6FC76547"/>
    <w:rsid w:val="6FE87CDD"/>
    <w:rsid w:val="6FEEC67A"/>
    <w:rsid w:val="704066AD"/>
    <w:rsid w:val="70425708"/>
    <w:rsid w:val="708B7E2E"/>
    <w:rsid w:val="709C366E"/>
    <w:rsid w:val="70DCB177"/>
    <w:rsid w:val="71203DE7"/>
    <w:rsid w:val="7145B12D"/>
    <w:rsid w:val="716EE12E"/>
    <w:rsid w:val="71BB913D"/>
    <w:rsid w:val="71DFC3B6"/>
    <w:rsid w:val="72A2E5EB"/>
    <w:rsid w:val="7323635F"/>
    <w:rsid w:val="736D075D"/>
    <w:rsid w:val="73BC9882"/>
    <w:rsid w:val="73E05A1E"/>
    <w:rsid w:val="743EB64C"/>
    <w:rsid w:val="74769D6D"/>
    <w:rsid w:val="748F2C5B"/>
    <w:rsid w:val="74EE2A25"/>
    <w:rsid w:val="7502E371"/>
    <w:rsid w:val="7508D7BE"/>
    <w:rsid w:val="75835AE9"/>
    <w:rsid w:val="7592DA8E"/>
    <w:rsid w:val="75DF63D6"/>
    <w:rsid w:val="75FDF7C0"/>
    <w:rsid w:val="7645260B"/>
    <w:rsid w:val="7649A572"/>
    <w:rsid w:val="76A4A81F"/>
    <w:rsid w:val="76DC6BCD"/>
    <w:rsid w:val="772329F4"/>
    <w:rsid w:val="776AB555"/>
    <w:rsid w:val="7808F13F"/>
    <w:rsid w:val="781080EC"/>
    <w:rsid w:val="78465A1A"/>
    <w:rsid w:val="785E68DB"/>
    <w:rsid w:val="7875BE3B"/>
    <w:rsid w:val="788C5F9F"/>
    <w:rsid w:val="78E6D194"/>
    <w:rsid w:val="78EFFA48"/>
    <w:rsid w:val="78FF6279"/>
    <w:rsid w:val="7933E1A7"/>
    <w:rsid w:val="79849184"/>
    <w:rsid w:val="79BF7A1E"/>
    <w:rsid w:val="79C7B28F"/>
    <w:rsid w:val="79CFC8CF"/>
    <w:rsid w:val="79E0ABB2"/>
    <w:rsid w:val="79EC20E7"/>
    <w:rsid w:val="79F70EA1"/>
    <w:rsid w:val="7A05C92F"/>
    <w:rsid w:val="7A46F082"/>
    <w:rsid w:val="7A8C55B5"/>
    <w:rsid w:val="7AE85F77"/>
    <w:rsid w:val="7AF6B28E"/>
    <w:rsid w:val="7AFC8FB7"/>
    <w:rsid w:val="7B8E790A"/>
    <w:rsid w:val="7BD362A4"/>
    <w:rsid w:val="7BEBB984"/>
    <w:rsid w:val="7C27EA81"/>
    <w:rsid w:val="7C319A95"/>
    <w:rsid w:val="7C4D2230"/>
    <w:rsid w:val="7C525EB8"/>
    <w:rsid w:val="7CD795FE"/>
    <w:rsid w:val="7D10D388"/>
    <w:rsid w:val="7D13E9A3"/>
    <w:rsid w:val="7D504A54"/>
    <w:rsid w:val="7D6E71AE"/>
    <w:rsid w:val="7DCFCFF9"/>
    <w:rsid w:val="7E0BF940"/>
    <w:rsid w:val="7E632DFB"/>
    <w:rsid w:val="7E7232DB"/>
    <w:rsid w:val="7EA9C5B7"/>
    <w:rsid w:val="7EB6520C"/>
    <w:rsid w:val="7F24E638"/>
    <w:rsid w:val="7F2F28A4"/>
    <w:rsid w:val="7F308E0D"/>
    <w:rsid w:val="7F364E20"/>
    <w:rsid w:val="7FBBD09A"/>
    <w:rsid w:val="7FF25862"/>
    <w:rsid w:val="7FF454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DE2E8"/>
  <w15:chartTrackingRefBased/>
  <w15:docId w15:val="{DA225DF2-14F8-4CAA-BC23-1050BA74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3C6C09"/>
    <w:pPr>
      <w:ind w:left="720"/>
      <w:contextualSpacing/>
    </w:pPr>
  </w:style>
  <w:style w:type="character" w:styleId="Hyperlink">
    <w:name w:val="Hyperlink"/>
    <w:basedOn w:val="DefaultParagraphFont"/>
    <w:uiPriority w:val="99"/>
    <w:unhideWhenUsed/>
    <w:rsid w:val="00A733B5"/>
    <w:rPr>
      <w:color w:val="0563C1" w:themeColor="hyperlink"/>
      <w:u w:val="single"/>
    </w:rPr>
  </w:style>
  <w:style w:type="character" w:styleId="UnresolvedMention">
    <w:name w:val="Unresolved Mention"/>
    <w:basedOn w:val="DefaultParagraphFont"/>
    <w:uiPriority w:val="99"/>
    <w:semiHidden/>
    <w:unhideWhenUsed/>
    <w:rsid w:val="00A733B5"/>
    <w:rPr>
      <w:color w:val="605E5C"/>
      <w:shd w:val="clear" w:color="auto" w:fill="E1DFDD"/>
    </w:rPr>
  </w:style>
  <w:style w:type="character" w:styleId="CommentReference">
    <w:name w:val="annotation reference"/>
    <w:basedOn w:val="DefaultParagraphFont"/>
    <w:uiPriority w:val="99"/>
    <w:semiHidden/>
    <w:unhideWhenUsed/>
    <w:rsid w:val="00DB79AC"/>
    <w:rPr>
      <w:sz w:val="16"/>
      <w:szCs w:val="16"/>
    </w:rPr>
  </w:style>
  <w:style w:type="paragraph" w:styleId="CommentText">
    <w:name w:val="annotation text"/>
    <w:basedOn w:val="Normal"/>
    <w:link w:val="CommentTextChar"/>
    <w:uiPriority w:val="99"/>
    <w:unhideWhenUsed/>
    <w:rsid w:val="00DB79AC"/>
    <w:pPr>
      <w:spacing w:line="240" w:lineRule="auto"/>
    </w:pPr>
    <w:rPr>
      <w:sz w:val="20"/>
      <w:szCs w:val="20"/>
    </w:rPr>
  </w:style>
  <w:style w:type="character" w:customStyle="1" w:styleId="CommentTextChar">
    <w:name w:val="Comment Text Char"/>
    <w:basedOn w:val="DefaultParagraphFont"/>
    <w:link w:val="CommentText"/>
    <w:uiPriority w:val="99"/>
    <w:rsid w:val="00DB79AC"/>
    <w:rPr>
      <w:sz w:val="20"/>
      <w:szCs w:val="20"/>
    </w:rPr>
  </w:style>
  <w:style w:type="paragraph" w:styleId="CommentSubject">
    <w:name w:val="annotation subject"/>
    <w:basedOn w:val="CommentText"/>
    <w:next w:val="CommentText"/>
    <w:link w:val="CommentSubjectChar"/>
    <w:uiPriority w:val="99"/>
    <w:semiHidden/>
    <w:unhideWhenUsed/>
    <w:rsid w:val="00DB79AC"/>
    <w:rPr>
      <w:b/>
      <w:bCs/>
    </w:rPr>
  </w:style>
  <w:style w:type="character" w:customStyle="1" w:styleId="CommentSubjectChar">
    <w:name w:val="Comment Subject Char"/>
    <w:basedOn w:val="CommentTextChar"/>
    <w:link w:val="CommentSubject"/>
    <w:uiPriority w:val="99"/>
    <w:semiHidden/>
    <w:rsid w:val="00DB79AC"/>
    <w:rPr>
      <w:b/>
      <w:bCs/>
      <w:sz w:val="20"/>
      <w:szCs w:val="20"/>
    </w:rPr>
  </w:style>
  <w:style w:type="paragraph" w:styleId="Revision">
    <w:name w:val="Revision"/>
    <w:hidden/>
    <w:uiPriority w:val="99"/>
    <w:semiHidden/>
    <w:rsid w:val="00DB79AC"/>
    <w:pPr>
      <w:spacing w:after="0" w:line="240" w:lineRule="auto"/>
    </w:pPr>
  </w:style>
  <w:style w:type="paragraph" w:customStyle="1" w:styleId="NApunkts1">
    <w:name w:val="NA punkts 1"/>
    <w:basedOn w:val="Normal"/>
    <w:link w:val="NApunkts1Rakstz"/>
    <w:qFormat/>
    <w:rsid w:val="00E05FFA"/>
    <w:pPr>
      <w:numPr>
        <w:numId w:val="8"/>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05FFA"/>
    <w:rPr>
      <w:rFonts w:ascii="Times New Roman" w:eastAsia="Times New Roman" w:hAnsi="Times New Roman" w:cs="Times New Roman"/>
      <w:sz w:val="24"/>
      <w:szCs w:val="24"/>
      <w:lang w:eastAsia="lv-LV"/>
    </w:rPr>
  </w:style>
  <w:style w:type="paragraph" w:customStyle="1" w:styleId="NApunkts2">
    <w:name w:val="NA punkts 2"/>
    <w:basedOn w:val="Normal"/>
    <w:qFormat/>
    <w:rsid w:val="00E05FFA"/>
    <w:pPr>
      <w:keepLines/>
      <w:numPr>
        <w:ilvl w:val="1"/>
        <w:numId w:val="8"/>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05FFA"/>
    <w:pPr>
      <w:keepLines/>
      <w:numPr>
        <w:ilvl w:val="2"/>
        <w:numId w:val="8"/>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05FFA"/>
    <w:pPr>
      <w:keepLines/>
      <w:numPr>
        <w:ilvl w:val="3"/>
        <w:numId w:val="8"/>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59"/>
    <w:rsid w:val="00FE37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09932953">
      <w:bodyDiv w:val="1"/>
      <w:marLeft w:val="0"/>
      <w:marRight w:val="0"/>
      <w:marTop w:val="0"/>
      <w:marBottom w:val="0"/>
      <w:divBdr>
        <w:top w:val="none" w:sz="0" w:space="0" w:color="auto"/>
        <w:left w:val="none" w:sz="0" w:space="0" w:color="auto"/>
        <w:bottom w:val="none" w:sz="0" w:space="0" w:color="auto"/>
        <w:right w:val="none" w:sz="0" w:space="0" w:color="auto"/>
      </w:divBdr>
      <w:divsChild>
        <w:div w:id="890656981">
          <w:marLeft w:val="0"/>
          <w:marRight w:val="0"/>
          <w:marTop w:val="0"/>
          <w:marBottom w:val="0"/>
          <w:divBdr>
            <w:top w:val="none" w:sz="0" w:space="0" w:color="auto"/>
            <w:left w:val="none" w:sz="0" w:space="0" w:color="auto"/>
            <w:bottom w:val="none" w:sz="0" w:space="0" w:color="auto"/>
            <w:right w:val="none" w:sz="0" w:space="0" w:color="auto"/>
          </w:divBdr>
        </w:div>
        <w:div w:id="1577009777">
          <w:marLeft w:val="0"/>
          <w:marRight w:val="0"/>
          <w:marTop w:val="0"/>
          <w:marBottom w:val="0"/>
          <w:divBdr>
            <w:top w:val="none" w:sz="0" w:space="0" w:color="auto"/>
            <w:left w:val="none" w:sz="0" w:space="0" w:color="auto"/>
            <w:bottom w:val="none" w:sz="0" w:space="0" w:color="auto"/>
            <w:right w:val="none" w:sz="0" w:space="0" w:color="auto"/>
          </w:divBdr>
        </w:div>
        <w:div w:id="2043551147">
          <w:marLeft w:val="0"/>
          <w:marRight w:val="0"/>
          <w:marTop w:val="0"/>
          <w:marBottom w:val="0"/>
          <w:divBdr>
            <w:top w:val="none" w:sz="0" w:space="0" w:color="auto"/>
            <w:left w:val="none" w:sz="0" w:space="0" w:color="auto"/>
            <w:bottom w:val="none" w:sz="0" w:space="0" w:color="auto"/>
            <w:right w:val="none" w:sz="0" w:space="0" w:color="auto"/>
          </w:divBdr>
        </w:div>
      </w:divsChild>
    </w:div>
    <w:div w:id="114101236">
      <w:bodyDiv w:val="1"/>
      <w:marLeft w:val="0"/>
      <w:marRight w:val="0"/>
      <w:marTop w:val="0"/>
      <w:marBottom w:val="0"/>
      <w:divBdr>
        <w:top w:val="none" w:sz="0" w:space="0" w:color="auto"/>
        <w:left w:val="none" w:sz="0" w:space="0" w:color="auto"/>
        <w:bottom w:val="none" w:sz="0" w:space="0" w:color="auto"/>
        <w:right w:val="none" w:sz="0" w:space="0" w:color="auto"/>
      </w:divBdr>
    </w:div>
    <w:div w:id="122887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544749315C8CC4419F801E94224A1404" ma:contentTypeVersion="5" ma:contentTypeDescription="Izveidot jaunu dokumentu." ma:contentTypeScope="" ma:versionID="461db653f3561c3ed71ed010869b9e86">
  <xsd:schema xmlns:xsd="http://www.w3.org/2001/XMLSchema" xmlns:xs="http://www.w3.org/2001/XMLSchema" xmlns:p="http://schemas.microsoft.com/office/2006/metadata/properties" xmlns:ns2="57c5957c-0e97-4ae8-b85e-5fa97def712d" xmlns:ns3="928dd83c-ecbd-433e-a159-60f4cef10446" targetNamespace="http://schemas.microsoft.com/office/2006/metadata/properties" ma:root="true" ma:fieldsID="1d7afecef0c5be95804ea5b0205063c4" ns2:_="" ns3:_="">
    <xsd:import namespace="57c5957c-0e97-4ae8-b85e-5fa97def712d"/>
    <xsd:import namespace="928dd83c-ecbd-433e-a159-60f4cef104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c5957c-0e97-4ae8-b85e-5fa97def7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8dd83c-ecbd-433e-a159-60f4cef10446" elementFormDefault="qualified">
    <xsd:import namespace="http://schemas.microsoft.com/office/2006/documentManagement/types"/>
    <xsd:import namespace="http://schemas.microsoft.com/office/infopath/2007/PartnerControls"/>
    <xsd:element name="SharedWithUsers" ma:index="11"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928dd83c-ecbd-433e-a159-60f4cef10446"/>
    <ds:schemaRef ds:uri="http://schemas.openxmlformats.org/package/2006/metadata/core-properties"/>
    <ds:schemaRef ds:uri="57c5957c-0e97-4ae8-b85e-5fa97def712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0037F956-039E-4D3E-8449-248862A05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c5957c-0e97-4ae8-b85e-5fa97def712d"/>
    <ds:schemaRef ds:uri="928dd83c-ecbd-433e-a159-60f4cef10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13589</Words>
  <Characters>7747</Characters>
  <Application>Microsoft Office Word</Application>
  <DocSecurity>0</DocSecurity>
  <Lines>64</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Aleksejeva</dc:creator>
  <cp:keywords/>
  <dc:description/>
  <cp:lastModifiedBy>Maija Valce</cp:lastModifiedBy>
  <cp:revision>13</cp:revision>
  <cp:lastPrinted>2023-10-25T08:54:00Z</cp:lastPrinted>
  <dcterms:created xsi:type="dcterms:W3CDTF">2023-11-22T08:44:00Z</dcterms:created>
  <dcterms:modified xsi:type="dcterms:W3CDTF">2023-11-27T08:13:00Z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0x010100544749315C8CC4419F801E94224A1404</vt:lpwstr>
  </property>
</Properties>
</file>