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9D7F" w14:textId="0B799F09" w:rsidR="004D7D20" w:rsidRPr="003F22A4" w:rsidRDefault="004D7D20" w:rsidP="00B74AB9">
      <w:pPr>
        <w:jc w:val="center"/>
        <w:rPr>
          <w:rFonts w:ascii="Times New Roman" w:hAnsi="Times New Roman" w:cs="Times New Roman"/>
          <w:b/>
          <w:bCs/>
          <w:sz w:val="24"/>
          <w:szCs w:val="24"/>
        </w:rPr>
      </w:pPr>
      <w:r w:rsidRPr="003F22A4">
        <w:rPr>
          <w:rFonts w:ascii="Times New Roman" w:hAnsi="Times New Roman" w:cs="Times New Roman"/>
          <w:b/>
          <w:bCs/>
          <w:sz w:val="24"/>
          <w:szCs w:val="24"/>
        </w:rPr>
        <w:t>Latvijas Bankas noteikumu projekt</w:t>
      </w:r>
      <w:r w:rsidR="003F22A4" w:rsidRPr="003F22A4">
        <w:rPr>
          <w:rFonts w:ascii="Times New Roman" w:hAnsi="Times New Roman" w:cs="Times New Roman"/>
          <w:b/>
          <w:bCs/>
          <w:sz w:val="24"/>
          <w:szCs w:val="24"/>
        </w:rPr>
        <w:t>a</w:t>
      </w:r>
      <w:r w:rsidRPr="003F22A4">
        <w:rPr>
          <w:rFonts w:ascii="Times New Roman" w:hAnsi="Times New Roman" w:cs="Times New Roman"/>
          <w:b/>
          <w:bCs/>
          <w:sz w:val="24"/>
          <w:szCs w:val="24"/>
        </w:rPr>
        <w:t xml:space="preserve"> "</w:t>
      </w:r>
      <w:r w:rsidR="007677F6" w:rsidRPr="003F22A4">
        <w:rPr>
          <w:rFonts w:ascii="Times New Roman" w:hAnsi="Times New Roman" w:cs="Times New Roman"/>
          <w:b/>
          <w:bCs/>
          <w:sz w:val="24"/>
          <w:szCs w:val="24"/>
        </w:rPr>
        <w:t xml:space="preserve">Noteikumi par tieši piemērojamajos </w:t>
      </w:r>
      <w:r w:rsidR="002E35C4" w:rsidRPr="003F22A4">
        <w:rPr>
          <w:rFonts w:ascii="Times New Roman" w:hAnsi="Times New Roman" w:cs="Times New Roman"/>
          <w:b/>
          <w:bCs/>
          <w:sz w:val="24"/>
          <w:szCs w:val="24"/>
        </w:rPr>
        <w:t xml:space="preserve">Eiropas Savienības </w:t>
      </w:r>
      <w:r w:rsidR="007677F6" w:rsidRPr="003F22A4">
        <w:rPr>
          <w:rFonts w:ascii="Times New Roman" w:hAnsi="Times New Roman" w:cs="Times New Roman"/>
          <w:b/>
          <w:bCs/>
          <w:sz w:val="24"/>
          <w:szCs w:val="24"/>
        </w:rPr>
        <w:t>tiesību aktos par prudenciālajām prasībām paredzēto izvēles iespēju piemērošanu</w:t>
      </w:r>
      <w:r w:rsidRPr="003F22A4">
        <w:rPr>
          <w:rFonts w:ascii="Times New Roman" w:hAnsi="Times New Roman" w:cs="Times New Roman"/>
          <w:b/>
          <w:bCs/>
          <w:sz w:val="24"/>
          <w:szCs w:val="24"/>
        </w:rPr>
        <w:t>"</w:t>
      </w:r>
      <w:r w:rsidR="003F22A4" w:rsidRPr="003F22A4">
        <w:rPr>
          <w:rFonts w:ascii="Times New Roman" w:hAnsi="Times New Roman" w:cs="Times New Roman"/>
          <w:b/>
          <w:bCs/>
          <w:sz w:val="24"/>
          <w:szCs w:val="24"/>
        </w:rPr>
        <w:t xml:space="preserve"> anotācija</w:t>
      </w:r>
    </w:p>
    <w:tbl>
      <w:tblPr>
        <w:tblStyle w:val="TableGrid"/>
        <w:tblW w:w="8359" w:type="dxa"/>
        <w:tblLook w:val="04A0" w:firstRow="1" w:lastRow="0" w:firstColumn="1" w:lastColumn="0" w:noHBand="0" w:noVBand="1"/>
      </w:tblPr>
      <w:tblGrid>
        <w:gridCol w:w="2547"/>
        <w:gridCol w:w="5812"/>
      </w:tblGrid>
      <w:tr w:rsidR="00E02C21" w:rsidRPr="00E02C21" w14:paraId="2AC98F6A" w14:textId="77777777" w:rsidTr="004D7D20">
        <w:tc>
          <w:tcPr>
            <w:tcW w:w="2547" w:type="dxa"/>
          </w:tcPr>
          <w:p w14:paraId="68548ECA" w14:textId="5D13C2FE" w:rsidR="004D7D20" w:rsidRPr="003F22A4" w:rsidRDefault="004D7D20" w:rsidP="00B74AB9">
            <w:pPr>
              <w:rPr>
                <w:rFonts w:ascii="Times New Roman" w:hAnsi="Times New Roman" w:cs="Times New Roman"/>
                <w:b/>
                <w:bCs/>
                <w:sz w:val="24"/>
                <w:szCs w:val="24"/>
              </w:rPr>
            </w:pPr>
            <w:r w:rsidRPr="003F22A4">
              <w:rPr>
                <w:rFonts w:ascii="Times New Roman" w:hAnsi="Times New Roman" w:cs="Times New Roman"/>
                <w:b/>
                <w:bCs/>
                <w:sz w:val="24"/>
                <w:szCs w:val="24"/>
              </w:rPr>
              <w:t>Nosaukums</w:t>
            </w:r>
          </w:p>
        </w:tc>
        <w:tc>
          <w:tcPr>
            <w:tcW w:w="5812" w:type="dxa"/>
          </w:tcPr>
          <w:p w14:paraId="0EF6BD51" w14:textId="6C78C596" w:rsidR="004D7D20" w:rsidRPr="00822148" w:rsidRDefault="00952874" w:rsidP="00CB2ED4">
            <w:pPr>
              <w:jc w:val="both"/>
              <w:rPr>
                <w:rFonts w:ascii="Times New Roman" w:hAnsi="Times New Roman" w:cs="Times New Roman"/>
                <w:sz w:val="24"/>
                <w:szCs w:val="24"/>
              </w:rPr>
            </w:pPr>
            <w:r w:rsidRPr="00822148">
              <w:rPr>
                <w:rFonts w:ascii="Times New Roman" w:hAnsi="Times New Roman" w:cs="Times New Roman"/>
                <w:sz w:val="24"/>
                <w:szCs w:val="24"/>
              </w:rPr>
              <w:t>Latvijas Bankas noteikumi "</w:t>
            </w:r>
            <w:r w:rsidR="007677F6" w:rsidRPr="00822148">
              <w:rPr>
                <w:rFonts w:ascii="Times New Roman" w:hAnsi="Times New Roman" w:cs="Times New Roman"/>
                <w:sz w:val="24"/>
                <w:szCs w:val="24"/>
              </w:rPr>
              <w:t xml:space="preserve">Noteikumi par tieši piemērojamajos </w:t>
            </w:r>
            <w:r w:rsidR="002E35C4" w:rsidRPr="002E35C4">
              <w:rPr>
                <w:rFonts w:ascii="Times New Roman" w:hAnsi="Times New Roman" w:cs="Times New Roman"/>
                <w:sz w:val="24"/>
                <w:szCs w:val="24"/>
              </w:rPr>
              <w:t xml:space="preserve">Eiropas Savienības </w:t>
            </w:r>
            <w:r w:rsidR="007677F6" w:rsidRPr="00822148">
              <w:rPr>
                <w:rFonts w:ascii="Times New Roman" w:hAnsi="Times New Roman" w:cs="Times New Roman"/>
                <w:sz w:val="24"/>
                <w:szCs w:val="24"/>
              </w:rPr>
              <w:t>tiesību aktos par prudenciālajām prasībām paredzēto izvēles iespēju piemērošanu</w:t>
            </w:r>
            <w:r w:rsidRPr="00822148">
              <w:rPr>
                <w:rFonts w:ascii="Times New Roman" w:hAnsi="Times New Roman" w:cs="Times New Roman"/>
                <w:sz w:val="24"/>
                <w:szCs w:val="24"/>
              </w:rPr>
              <w:t>"</w:t>
            </w:r>
          </w:p>
        </w:tc>
      </w:tr>
      <w:tr w:rsidR="00A61684" w:rsidRPr="00A61684" w14:paraId="02230D17" w14:textId="77777777" w:rsidTr="004D7D20">
        <w:tc>
          <w:tcPr>
            <w:tcW w:w="2547" w:type="dxa"/>
          </w:tcPr>
          <w:p w14:paraId="118F97D3" w14:textId="47F841DE" w:rsidR="004D7D20" w:rsidRPr="003F22A4" w:rsidRDefault="004D7D20" w:rsidP="00B74AB9">
            <w:pPr>
              <w:rPr>
                <w:rFonts w:ascii="Times New Roman" w:hAnsi="Times New Roman" w:cs="Times New Roman"/>
                <w:b/>
                <w:bCs/>
                <w:sz w:val="24"/>
                <w:szCs w:val="24"/>
              </w:rPr>
            </w:pPr>
            <w:r w:rsidRPr="003F22A4">
              <w:rPr>
                <w:rFonts w:ascii="Times New Roman" w:hAnsi="Times New Roman" w:cs="Times New Roman"/>
                <w:b/>
                <w:bCs/>
                <w:sz w:val="24"/>
                <w:szCs w:val="24"/>
              </w:rPr>
              <w:t>Dokumenta veids</w:t>
            </w:r>
          </w:p>
        </w:tc>
        <w:tc>
          <w:tcPr>
            <w:tcW w:w="5812" w:type="dxa"/>
          </w:tcPr>
          <w:p w14:paraId="4CC0239D" w14:textId="2AE89EEC" w:rsidR="004D7D20" w:rsidRPr="00BC2205" w:rsidRDefault="00952874" w:rsidP="00CB2ED4">
            <w:pPr>
              <w:jc w:val="both"/>
              <w:rPr>
                <w:rFonts w:ascii="Times New Roman" w:hAnsi="Times New Roman" w:cs="Times New Roman"/>
                <w:color w:val="FF0000"/>
                <w:sz w:val="24"/>
                <w:szCs w:val="24"/>
              </w:rPr>
            </w:pPr>
            <w:r w:rsidRPr="00822148">
              <w:rPr>
                <w:rFonts w:ascii="Times New Roman" w:hAnsi="Times New Roman" w:cs="Times New Roman"/>
                <w:sz w:val="24"/>
                <w:szCs w:val="24"/>
              </w:rPr>
              <w:t>Latvijas Bankas noteikumi</w:t>
            </w:r>
          </w:p>
        </w:tc>
      </w:tr>
      <w:tr w:rsidR="00A61684" w:rsidRPr="00A61684" w14:paraId="1E36ACC8" w14:textId="77777777" w:rsidTr="004D7D20">
        <w:tc>
          <w:tcPr>
            <w:tcW w:w="2547" w:type="dxa"/>
          </w:tcPr>
          <w:p w14:paraId="15B9D0AC" w14:textId="0E1110C9" w:rsidR="00822148" w:rsidRPr="003F22A4" w:rsidRDefault="004D7D20" w:rsidP="00B74AB9">
            <w:pPr>
              <w:rPr>
                <w:rFonts w:ascii="Times New Roman" w:hAnsi="Times New Roman" w:cs="Times New Roman"/>
                <w:b/>
                <w:bCs/>
                <w:sz w:val="24"/>
                <w:szCs w:val="24"/>
              </w:rPr>
            </w:pPr>
            <w:r w:rsidRPr="003F22A4">
              <w:rPr>
                <w:rFonts w:ascii="Times New Roman" w:hAnsi="Times New Roman" w:cs="Times New Roman"/>
                <w:b/>
                <w:bCs/>
                <w:sz w:val="24"/>
                <w:szCs w:val="24"/>
              </w:rPr>
              <w:t>Izdošanas pamatojums</w:t>
            </w:r>
          </w:p>
        </w:tc>
        <w:tc>
          <w:tcPr>
            <w:tcW w:w="5812" w:type="dxa"/>
          </w:tcPr>
          <w:p w14:paraId="14871B80" w14:textId="4DF31845" w:rsidR="00AF3B0F" w:rsidRPr="00BC2205" w:rsidRDefault="00822148" w:rsidP="00CB2ED4">
            <w:pPr>
              <w:jc w:val="both"/>
              <w:rPr>
                <w:rFonts w:ascii="Times New Roman" w:hAnsi="Times New Roman" w:cs="Times New Roman"/>
                <w:color w:val="FF0000"/>
                <w:sz w:val="24"/>
                <w:szCs w:val="24"/>
              </w:rPr>
            </w:pPr>
            <w:r w:rsidRPr="00BC2205">
              <w:rPr>
                <w:rFonts w:ascii="Times New Roman" w:hAnsi="Times New Roman" w:cs="Times New Roman"/>
                <w:sz w:val="24"/>
                <w:szCs w:val="24"/>
              </w:rPr>
              <w:t xml:space="preserve">Tiek izdoti saskaņā ar </w:t>
            </w:r>
            <w:r w:rsidR="007677F6" w:rsidRPr="00BC2205">
              <w:rPr>
                <w:rFonts w:ascii="Times New Roman" w:hAnsi="Times New Roman" w:cs="Times New Roman"/>
                <w:sz w:val="24"/>
                <w:szCs w:val="24"/>
              </w:rPr>
              <w:t>Kredītiestāžu likuma 50.</w:t>
            </w:r>
            <w:r w:rsidR="001947DB">
              <w:rPr>
                <w:rFonts w:ascii="Times New Roman" w:hAnsi="Times New Roman" w:cs="Times New Roman"/>
                <w:sz w:val="24"/>
                <w:szCs w:val="24"/>
              </w:rPr>
              <w:t> </w:t>
            </w:r>
            <w:r w:rsidR="007677F6" w:rsidRPr="00BC2205">
              <w:rPr>
                <w:rFonts w:ascii="Times New Roman" w:hAnsi="Times New Roman" w:cs="Times New Roman"/>
                <w:sz w:val="24"/>
                <w:szCs w:val="24"/>
              </w:rPr>
              <w:t xml:space="preserve">panta </w:t>
            </w:r>
            <w:r w:rsidRPr="00BC2205">
              <w:rPr>
                <w:rFonts w:ascii="Times New Roman" w:hAnsi="Times New Roman" w:cs="Times New Roman"/>
                <w:sz w:val="24"/>
                <w:szCs w:val="24"/>
              </w:rPr>
              <w:t xml:space="preserve">pirmo </w:t>
            </w:r>
            <w:r w:rsidR="00B43885">
              <w:rPr>
                <w:rFonts w:ascii="Times New Roman" w:hAnsi="Times New Roman" w:cs="Times New Roman"/>
                <w:sz w:val="24"/>
                <w:szCs w:val="24"/>
              </w:rPr>
              <w:t xml:space="preserve">un otro </w:t>
            </w:r>
            <w:r w:rsidRPr="00BC2205">
              <w:rPr>
                <w:rFonts w:ascii="Times New Roman" w:hAnsi="Times New Roman" w:cs="Times New Roman"/>
                <w:sz w:val="24"/>
                <w:szCs w:val="24"/>
              </w:rPr>
              <w:t>daļu</w:t>
            </w:r>
            <w:r w:rsidR="003B5C31" w:rsidRPr="00BC2205">
              <w:rPr>
                <w:rFonts w:ascii="Times New Roman" w:hAnsi="Times New Roman" w:cs="Times New Roman"/>
                <w:sz w:val="24"/>
                <w:szCs w:val="24"/>
              </w:rPr>
              <w:t>.</w:t>
            </w:r>
          </w:p>
        </w:tc>
      </w:tr>
      <w:tr w:rsidR="00A61684" w:rsidRPr="00A61684" w14:paraId="46DB522F" w14:textId="77777777" w:rsidTr="004D7D20">
        <w:tc>
          <w:tcPr>
            <w:tcW w:w="2547" w:type="dxa"/>
          </w:tcPr>
          <w:p w14:paraId="7D316E76" w14:textId="77777777" w:rsidR="00822148" w:rsidRPr="003F22A4" w:rsidRDefault="009E6A95" w:rsidP="00B74AB9">
            <w:pPr>
              <w:rPr>
                <w:rFonts w:ascii="Times New Roman" w:hAnsi="Times New Roman" w:cs="Times New Roman"/>
                <w:b/>
                <w:bCs/>
                <w:sz w:val="24"/>
                <w:szCs w:val="24"/>
              </w:rPr>
            </w:pPr>
            <w:r w:rsidRPr="003F22A4">
              <w:rPr>
                <w:rFonts w:ascii="Times New Roman" w:hAnsi="Times New Roman" w:cs="Times New Roman"/>
                <w:b/>
                <w:bCs/>
                <w:sz w:val="24"/>
                <w:szCs w:val="24"/>
              </w:rPr>
              <w:t>Mērķis un būtība</w:t>
            </w:r>
          </w:p>
          <w:p w14:paraId="5CF2AF5B" w14:textId="77777777" w:rsidR="00957CFE" w:rsidRPr="003F22A4" w:rsidRDefault="00957CFE" w:rsidP="00B74AB9">
            <w:pPr>
              <w:rPr>
                <w:rFonts w:ascii="Times New Roman" w:hAnsi="Times New Roman" w:cs="Times New Roman"/>
                <w:b/>
                <w:bCs/>
                <w:sz w:val="24"/>
                <w:szCs w:val="24"/>
              </w:rPr>
            </w:pPr>
          </w:p>
          <w:p w14:paraId="4CF450E2" w14:textId="77777777" w:rsidR="00957CFE" w:rsidRPr="003F22A4" w:rsidRDefault="00957CFE" w:rsidP="00B74AB9">
            <w:pPr>
              <w:rPr>
                <w:rFonts w:ascii="Times New Roman" w:hAnsi="Times New Roman" w:cs="Times New Roman"/>
                <w:b/>
                <w:bCs/>
                <w:sz w:val="16"/>
                <w:szCs w:val="16"/>
              </w:rPr>
            </w:pPr>
          </w:p>
          <w:p w14:paraId="6308934F" w14:textId="77777777" w:rsidR="00957CFE" w:rsidRPr="003F22A4" w:rsidRDefault="00957CFE" w:rsidP="00B74AB9">
            <w:pPr>
              <w:rPr>
                <w:rFonts w:ascii="Times New Roman" w:hAnsi="Times New Roman" w:cs="Times New Roman"/>
                <w:b/>
                <w:bCs/>
                <w:sz w:val="16"/>
                <w:szCs w:val="16"/>
              </w:rPr>
            </w:pPr>
          </w:p>
          <w:p w14:paraId="653EA3F8" w14:textId="77777777" w:rsidR="00957CFE" w:rsidRPr="003F22A4" w:rsidRDefault="00957CFE" w:rsidP="00B74AB9">
            <w:pPr>
              <w:rPr>
                <w:rFonts w:ascii="Times New Roman" w:hAnsi="Times New Roman" w:cs="Times New Roman"/>
                <w:b/>
                <w:bCs/>
                <w:sz w:val="16"/>
                <w:szCs w:val="16"/>
              </w:rPr>
            </w:pPr>
          </w:p>
          <w:p w14:paraId="44DC5745" w14:textId="77777777" w:rsidR="00957CFE" w:rsidRPr="003F22A4" w:rsidRDefault="00957CFE" w:rsidP="00B74AB9">
            <w:pPr>
              <w:rPr>
                <w:rFonts w:ascii="Times New Roman" w:hAnsi="Times New Roman" w:cs="Times New Roman"/>
                <w:b/>
                <w:bCs/>
                <w:sz w:val="16"/>
                <w:szCs w:val="16"/>
              </w:rPr>
            </w:pPr>
          </w:p>
          <w:p w14:paraId="084DE819" w14:textId="77777777" w:rsidR="00957CFE" w:rsidRPr="003F22A4" w:rsidRDefault="00957CFE" w:rsidP="00B74AB9">
            <w:pPr>
              <w:rPr>
                <w:rFonts w:ascii="Times New Roman" w:hAnsi="Times New Roman" w:cs="Times New Roman"/>
                <w:b/>
                <w:bCs/>
                <w:sz w:val="16"/>
                <w:szCs w:val="16"/>
              </w:rPr>
            </w:pPr>
          </w:p>
          <w:p w14:paraId="01D41920" w14:textId="77777777" w:rsidR="00957CFE" w:rsidRPr="003F22A4" w:rsidRDefault="00957CFE" w:rsidP="00B74AB9">
            <w:pPr>
              <w:rPr>
                <w:rFonts w:ascii="Times New Roman" w:hAnsi="Times New Roman" w:cs="Times New Roman"/>
                <w:b/>
                <w:bCs/>
                <w:sz w:val="16"/>
                <w:szCs w:val="16"/>
              </w:rPr>
            </w:pPr>
          </w:p>
          <w:p w14:paraId="37846CA3" w14:textId="77777777" w:rsidR="00957CFE" w:rsidRPr="003F22A4" w:rsidRDefault="00957CFE" w:rsidP="00B74AB9">
            <w:pPr>
              <w:rPr>
                <w:rFonts w:ascii="Times New Roman" w:hAnsi="Times New Roman" w:cs="Times New Roman"/>
                <w:b/>
                <w:bCs/>
                <w:sz w:val="16"/>
                <w:szCs w:val="16"/>
              </w:rPr>
            </w:pPr>
          </w:p>
          <w:p w14:paraId="6C4BFF1D" w14:textId="77777777" w:rsidR="00957CFE" w:rsidRPr="003F22A4" w:rsidRDefault="00957CFE" w:rsidP="00B74AB9">
            <w:pPr>
              <w:rPr>
                <w:rFonts w:ascii="Times New Roman" w:hAnsi="Times New Roman" w:cs="Times New Roman"/>
                <w:b/>
                <w:bCs/>
                <w:sz w:val="16"/>
                <w:szCs w:val="16"/>
              </w:rPr>
            </w:pPr>
          </w:p>
          <w:p w14:paraId="63DC7CCA" w14:textId="77777777" w:rsidR="00957CFE" w:rsidRPr="003F22A4" w:rsidRDefault="00957CFE" w:rsidP="00B74AB9">
            <w:pPr>
              <w:rPr>
                <w:rFonts w:ascii="Times New Roman" w:hAnsi="Times New Roman" w:cs="Times New Roman"/>
                <w:b/>
                <w:bCs/>
                <w:sz w:val="16"/>
                <w:szCs w:val="16"/>
              </w:rPr>
            </w:pPr>
          </w:p>
          <w:p w14:paraId="2B8F0582" w14:textId="63323F2F" w:rsidR="00957CFE" w:rsidRPr="003F22A4" w:rsidRDefault="00957CFE" w:rsidP="00B74AB9">
            <w:pPr>
              <w:rPr>
                <w:rFonts w:ascii="Times New Roman" w:hAnsi="Times New Roman" w:cs="Times New Roman"/>
                <w:b/>
                <w:bCs/>
                <w:sz w:val="24"/>
                <w:szCs w:val="24"/>
              </w:rPr>
            </w:pPr>
          </w:p>
        </w:tc>
        <w:tc>
          <w:tcPr>
            <w:tcW w:w="5812" w:type="dxa"/>
          </w:tcPr>
          <w:p w14:paraId="2A5648E0" w14:textId="3B87AA63" w:rsidR="001E701B" w:rsidRPr="00BC2205" w:rsidRDefault="005502D9" w:rsidP="00F11EC5">
            <w:pPr>
              <w:jc w:val="both"/>
              <w:rPr>
                <w:rFonts w:ascii="Times New Roman" w:hAnsi="Times New Roman" w:cs="Times New Roman"/>
                <w:sz w:val="24"/>
                <w:szCs w:val="24"/>
              </w:rPr>
            </w:pPr>
            <w:r w:rsidRPr="00BC2205">
              <w:rPr>
                <w:rFonts w:ascii="Times New Roman" w:hAnsi="Times New Roman" w:cs="Times New Roman"/>
                <w:sz w:val="24"/>
                <w:szCs w:val="24"/>
              </w:rPr>
              <w:t>Kredītiestāžu likuma 50.</w:t>
            </w:r>
            <w:r w:rsidR="001947DB">
              <w:rPr>
                <w:rFonts w:ascii="Times New Roman" w:hAnsi="Times New Roman" w:cs="Times New Roman"/>
                <w:sz w:val="24"/>
                <w:szCs w:val="24"/>
              </w:rPr>
              <w:t> </w:t>
            </w:r>
            <w:r w:rsidRPr="00BC2205">
              <w:rPr>
                <w:rFonts w:ascii="Times New Roman" w:hAnsi="Times New Roman" w:cs="Times New Roman"/>
                <w:sz w:val="24"/>
                <w:szCs w:val="24"/>
              </w:rPr>
              <w:t>panta pirmā daļa paredz deleģējumu Latvijas Bankai noteikt Eiropas Parlamenta un Padomes 2013.</w:t>
            </w:r>
            <w:r w:rsidR="001947DB">
              <w:rPr>
                <w:rFonts w:ascii="Times New Roman" w:hAnsi="Times New Roman" w:cs="Times New Roman"/>
                <w:sz w:val="24"/>
                <w:szCs w:val="24"/>
              </w:rPr>
              <w:t> </w:t>
            </w:r>
            <w:r w:rsidRPr="00BC2205">
              <w:rPr>
                <w:rFonts w:ascii="Times New Roman" w:hAnsi="Times New Roman" w:cs="Times New Roman"/>
                <w:sz w:val="24"/>
                <w:szCs w:val="24"/>
              </w:rPr>
              <w:t>gada 26.</w:t>
            </w:r>
            <w:r w:rsidR="001947DB">
              <w:rPr>
                <w:rFonts w:ascii="Times New Roman" w:hAnsi="Times New Roman" w:cs="Times New Roman"/>
                <w:sz w:val="24"/>
                <w:szCs w:val="24"/>
              </w:rPr>
              <w:t> </w:t>
            </w:r>
            <w:r w:rsidRPr="00BC2205">
              <w:rPr>
                <w:rFonts w:ascii="Times New Roman" w:hAnsi="Times New Roman" w:cs="Times New Roman"/>
                <w:sz w:val="24"/>
                <w:szCs w:val="24"/>
              </w:rPr>
              <w:t>jūnija Regulā (ES) Nr.</w:t>
            </w:r>
            <w:r w:rsidR="001947DB">
              <w:rPr>
                <w:rFonts w:ascii="Times New Roman" w:hAnsi="Times New Roman" w:cs="Times New Roman"/>
                <w:sz w:val="24"/>
                <w:szCs w:val="24"/>
              </w:rPr>
              <w:t> </w:t>
            </w:r>
            <w:r w:rsidRPr="00BC2205">
              <w:rPr>
                <w:rFonts w:ascii="Times New Roman" w:hAnsi="Times New Roman" w:cs="Times New Roman"/>
                <w:sz w:val="24"/>
                <w:szCs w:val="24"/>
              </w:rPr>
              <w:t>575/2013 par prudenciālajām prasībām attiecībā uz kredītiestādēm, un ar ko groza Regulu (ES) Nr.</w:t>
            </w:r>
            <w:r w:rsidR="001947DB">
              <w:rPr>
                <w:rFonts w:ascii="Times New Roman" w:hAnsi="Times New Roman" w:cs="Times New Roman"/>
                <w:sz w:val="24"/>
                <w:szCs w:val="24"/>
              </w:rPr>
              <w:t> </w:t>
            </w:r>
            <w:r w:rsidRPr="00BC2205">
              <w:rPr>
                <w:rFonts w:ascii="Times New Roman" w:hAnsi="Times New Roman" w:cs="Times New Roman"/>
                <w:sz w:val="24"/>
                <w:szCs w:val="24"/>
              </w:rPr>
              <w:t>648/2012 (turpmāk</w:t>
            </w:r>
            <w:r w:rsidR="001947DB">
              <w:rPr>
                <w:rFonts w:ascii="Times New Roman" w:hAnsi="Times New Roman" w:cs="Times New Roman"/>
                <w:sz w:val="24"/>
                <w:szCs w:val="24"/>
              </w:rPr>
              <w:t> </w:t>
            </w:r>
            <w:r w:rsidRPr="00BC2205">
              <w:rPr>
                <w:rFonts w:ascii="Times New Roman" w:hAnsi="Times New Roman" w:cs="Times New Roman"/>
                <w:sz w:val="24"/>
                <w:szCs w:val="24"/>
              </w:rPr>
              <w:t xml:space="preserve">– </w:t>
            </w:r>
            <w:r w:rsidR="001A1C30">
              <w:rPr>
                <w:rFonts w:ascii="Times New Roman" w:hAnsi="Times New Roman" w:cs="Times New Roman"/>
                <w:sz w:val="24"/>
                <w:szCs w:val="24"/>
              </w:rPr>
              <w:t>R</w:t>
            </w:r>
            <w:r w:rsidRPr="00BC2205">
              <w:rPr>
                <w:rFonts w:ascii="Times New Roman" w:hAnsi="Times New Roman" w:cs="Times New Roman"/>
                <w:sz w:val="24"/>
                <w:szCs w:val="24"/>
              </w:rPr>
              <w:t>egula Nr.</w:t>
            </w:r>
            <w:r w:rsidR="001947DB">
              <w:rPr>
                <w:rFonts w:ascii="Times New Roman" w:hAnsi="Times New Roman" w:cs="Times New Roman"/>
                <w:sz w:val="24"/>
                <w:szCs w:val="24"/>
              </w:rPr>
              <w:t> </w:t>
            </w:r>
            <w:r w:rsidRPr="00BC2205">
              <w:rPr>
                <w:rFonts w:ascii="Times New Roman" w:hAnsi="Times New Roman" w:cs="Times New Roman"/>
                <w:sz w:val="24"/>
                <w:szCs w:val="24"/>
              </w:rPr>
              <w:t>575/2013) paredzētās izvēles iespējas attiecībā uz prudenciālo prasību noteikšanu šīs regulas noteikumu piemērošan</w:t>
            </w:r>
            <w:r w:rsidR="00636E46">
              <w:rPr>
                <w:rFonts w:ascii="Times New Roman" w:hAnsi="Times New Roman" w:cs="Times New Roman"/>
                <w:sz w:val="24"/>
                <w:szCs w:val="24"/>
              </w:rPr>
              <w:t>ai</w:t>
            </w:r>
            <w:r w:rsidRPr="00BC2205">
              <w:rPr>
                <w:rFonts w:ascii="Times New Roman" w:hAnsi="Times New Roman" w:cs="Times New Roman"/>
                <w:sz w:val="24"/>
                <w:szCs w:val="24"/>
              </w:rPr>
              <w:t>.</w:t>
            </w:r>
            <w:r w:rsidR="00B43885">
              <w:rPr>
                <w:rFonts w:ascii="Times New Roman" w:hAnsi="Times New Roman" w:cs="Times New Roman"/>
                <w:sz w:val="24"/>
                <w:szCs w:val="24"/>
              </w:rPr>
              <w:t xml:space="preserve"> Savukārt </w:t>
            </w:r>
            <w:r w:rsidR="00B43885" w:rsidRPr="00BC2205">
              <w:rPr>
                <w:rFonts w:ascii="Times New Roman" w:hAnsi="Times New Roman" w:cs="Times New Roman"/>
                <w:sz w:val="24"/>
                <w:szCs w:val="24"/>
              </w:rPr>
              <w:t>Kredītiestāžu likuma 50.</w:t>
            </w:r>
            <w:r w:rsidR="00844507">
              <w:rPr>
                <w:rFonts w:ascii="Times New Roman" w:hAnsi="Times New Roman" w:cs="Times New Roman"/>
                <w:sz w:val="24"/>
                <w:szCs w:val="24"/>
              </w:rPr>
              <w:t> </w:t>
            </w:r>
            <w:r w:rsidR="00B43885" w:rsidRPr="00BC2205">
              <w:rPr>
                <w:rFonts w:ascii="Times New Roman" w:hAnsi="Times New Roman" w:cs="Times New Roman"/>
                <w:sz w:val="24"/>
                <w:szCs w:val="24"/>
              </w:rPr>
              <w:t xml:space="preserve">panta </w:t>
            </w:r>
            <w:r w:rsidR="00B43885">
              <w:rPr>
                <w:rFonts w:ascii="Times New Roman" w:hAnsi="Times New Roman" w:cs="Times New Roman"/>
                <w:sz w:val="24"/>
                <w:szCs w:val="24"/>
              </w:rPr>
              <w:t>otrā</w:t>
            </w:r>
            <w:r w:rsidR="00B43885" w:rsidRPr="00BC2205">
              <w:rPr>
                <w:rFonts w:ascii="Times New Roman" w:hAnsi="Times New Roman" w:cs="Times New Roman"/>
                <w:sz w:val="24"/>
                <w:szCs w:val="24"/>
              </w:rPr>
              <w:t xml:space="preserve"> daļa paredz</w:t>
            </w:r>
            <w:r w:rsidR="00B43885">
              <w:rPr>
                <w:rFonts w:ascii="Times New Roman" w:hAnsi="Times New Roman" w:cs="Times New Roman"/>
                <w:sz w:val="24"/>
                <w:szCs w:val="24"/>
              </w:rPr>
              <w:t xml:space="preserve"> </w:t>
            </w:r>
            <w:r w:rsidR="00844507" w:rsidRPr="00844507">
              <w:rPr>
                <w:rFonts w:ascii="Times New Roman" w:hAnsi="Times New Roman" w:cs="Times New Roman"/>
                <w:sz w:val="24"/>
                <w:szCs w:val="24"/>
              </w:rPr>
              <w:t xml:space="preserve">Latvijas Bankai tiesības nolūkā nodrošināt kredītiestāžu darbību atbilstoši šā likuma un tieši piemērojamo Eiropas Savienības tiesību aktu prasībām papildus noteikt kredītiestāžu darbību regulējošas prasības jomās, kuras netiek regulētas saskaņā ar </w:t>
            </w:r>
            <w:r w:rsidR="001A1C30">
              <w:rPr>
                <w:rFonts w:ascii="Times New Roman" w:hAnsi="Times New Roman" w:cs="Times New Roman"/>
                <w:sz w:val="24"/>
                <w:szCs w:val="24"/>
              </w:rPr>
              <w:t>R</w:t>
            </w:r>
            <w:r w:rsidR="00844507" w:rsidRPr="00844507">
              <w:rPr>
                <w:rFonts w:ascii="Times New Roman" w:hAnsi="Times New Roman" w:cs="Times New Roman"/>
                <w:sz w:val="24"/>
                <w:szCs w:val="24"/>
              </w:rPr>
              <w:t>egulu Nr.</w:t>
            </w:r>
            <w:r w:rsidR="00844507">
              <w:rPr>
                <w:rFonts w:ascii="Times New Roman" w:hAnsi="Times New Roman" w:cs="Times New Roman"/>
                <w:sz w:val="24"/>
                <w:szCs w:val="24"/>
              </w:rPr>
              <w:t> </w:t>
            </w:r>
            <w:r w:rsidR="00844507" w:rsidRPr="00844507">
              <w:rPr>
                <w:rFonts w:ascii="Times New Roman" w:hAnsi="Times New Roman" w:cs="Times New Roman"/>
                <w:sz w:val="24"/>
                <w:szCs w:val="24"/>
              </w:rPr>
              <w:t>575/2013, attiecībā uz Latvijas finanšu sistēmai, tai skaitā kredītiestāžu darbībai, piemītošiem specifiskiem riskiem, lai mazinātu kredītiestāžu darbības riskus un aizsargātu kreditoru intereses, kā arī noteikt prasības, kas izriet no Eiropas Centrālās bankas vai Eiropas Banku iestādes pieņemtajiem lēmumiem, pamatnostādnēm un ieteikumiem, lai nodrošinātu dalībvalstīs vienotu, efektīvu un konstruktīvu uzraudzības praksi, ņemot vērā Eiropas finanšu uzraudzības sistēmas pārrobežu darbības raksturu.</w:t>
            </w:r>
          </w:p>
          <w:p w14:paraId="5292682B" w14:textId="4456756E" w:rsidR="002F1A2F" w:rsidRPr="00BC2205" w:rsidRDefault="002F1A2F" w:rsidP="00F11EC5">
            <w:pPr>
              <w:jc w:val="both"/>
              <w:rPr>
                <w:rFonts w:ascii="Times New Roman" w:hAnsi="Times New Roman" w:cs="Times New Roman"/>
                <w:sz w:val="24"/>
                <w:szCs w:val="24"/>
              </w:rPr>
            </w:pPr>
          </w:p>
          <w:p w14:paraId="6B1C2E82" w14:textId="731C5392" w:rsidR="000266FD" w:rsidRDefault="002F1A2F" w:rsidP="006F7344">
            <w:pPr>
              <w:jc w:val="both"/>
              <w:rPr>
                <w:rFonts w:ascii="Times New Roman" w:hAnsi="Times New Roman" w:cs="Times New Roman"/>
                <w:sz w:val="24"/>
                <w:szCs w:val="24"/>
              </w:rPr>
            </w:pPr>
            <w:r w:rsidRPr="006F7344">
              <w:rPr>
                <w:rFonts w:ascii="Times New Roman" w:hAnsi="Times New Roman" w:cs="Times New Roman"/>
                <w:sz w:val="24"/>
                <w:szCs w:val="24"/>
              </w:rPr>
              <w:t xml:space="preserve">Latvijas Bankas noteikumu projekts "Noteikumi par tieši piemērojamajos </w:t>
            </w:r>
            <w:r w:rsidR="002E35C4" w:rsidRPr="002E35C4">
              <w:rPr>
                <w:rFonts w:ascii="Times New Roman" w:hAnsi="Times New Roman" w:cs="Times New Roman"/>
                <w:sz w:val="24"/>
                <w:szCs w:val="24"/>
              </w:rPr>
              <w:t xml:space="preserve">Eiropas Savienības </w:t>
            </w:r>
            <w:r w:rsidRPr="006F7344">
              <w:rPr>
                <w:rFonts w:ascii="Times New Roman" w:hAnsi="Times New Roman" w:cs="Times New Roman"/>
                <w:sz w:val="24"/>
                <w:szCs w:val="24"/>
              </w:rPr>
              <w:t>tiesību aktos par prudenciālajām prasībām paredzēto izvēles iespēju piemērošanu" izstrādāts ar mērķi noteikt</w:t>
            </w:r>
            <w:r w:rsidR="0005215D">
              <w:rPr>
                <w:rFonts w:ascii="Times New Roman" w:hAnsi="Times New Roman" w:cs="Times New Roman"/>
                <w:sz w:val="24"/>
                <w:szCs w:val="24"/>
              </w:rPr>
              <w:t xml:space="preserve"> </w:t>
            </w:r>
            <w:r w:rsidR="001A1C30">
              <w:rPr>
                <w:rFonts w:ascii="Times New Roman" w:hAnsi="Times New Roman" w:cs="Times New Roman"/>
                <w:sz w:val="24"/>
                <w:szCs w:val="24"/>
              </w:rPr>
              <w:t>R</w:t>
            </w:r>
            <w:r w:rsidR="00FD71EF" w:rsidRPr="00FB5371">
              <w:rPr>
                <w:rFonts w:ascii="Times New Roman" w:hAnsi="Times New Roman" w:cs="Times New Roman"/>
                <w:sz w:val="24"/>
                <w:szCs w:val="24"/>
              </w:rPr>
              <w:t>egulā Nr.</w:t>
            </w:r>
            <w:r w:rsidR="00844507">
              <w:rPr>
                <w:rFonts w:ascii="Times New Roman" w:hAnsi="Times New Roman" w:cs="Times New Roman"/>
                <w:sz w:val="24"/>
                <w:szCs w:val="24"/>
              </w:rPr>
              <w:t> </w:t>
            </w:r>
            <w:r w:rsidR="00FD71EF" w:rsidRPr="00FB5371">
              <w:rPr>
                <w:rFonts w:ascii="Times New Roman" w:hAnsi="Times New Roman" w:cs="Times New Roman"/>
                <w:sz w:val="24"/>
                <w:szCs w:val="24"/>
              </w:rPr>
              <w:t xml:space="preserve">575/2013 </w:t>
            </w:r>
            <w:r w:rsidR="003E4F11" w:rsidRPr="00FB5371">
              <w:rPr>
                <w:rFonts w:ascii="Times New Roman" w:hAnsi="Times New Roman" w:cs="Times New Roman"/>
                <w:sz w:val="24"/>
                <w:szCs w:val="24"/>
              </w:rPr>
              <w:t>paredzētās izvēles iespējas attiecībā uz prudenciālo prasību noteikšanu šīs regulas noteikumu piemērošan</w:t>
            </w:r>
            <w:r w:rsidR="00B47632">
              <w:rPr>
                <w:rFonts w:ascii="Times New Roman" w:hAnsi="Times New Roman" w:cs="Times New Roman"/>
                <w:sz w:val="24"/>
                <w:szCs w:val="24"/>
              </w:rPr>
              <w:t>ai</w:t>
            </w:r>
            <w:r w:rsidR="00FD71EF" w:rsidRPr="00FB5371">
              <w:rPr>
                <w:rFonts w:ascii="Times New Roman" w:hAnsi="Times New Roman" w:cs="Times New Roman"/>
                <w:sz w:val="24"/>
                <w:szCs w:val="24"/>
              </w:rPr>
              <w:t xml:space="preserve"> Latvijas Republikā</w:t>
            </w:r>
            <w:r w:rsidR="00FB5371" w:rsidRPr="00BC2205">
              <w:rPr>
                <w:rFonts w:ascii="Times New Roman" w:hAnsi="Times New Roman" w:cs="Times New Roman"/>
                <w:sz w:val="24"/>
                <w:szCs w:val="24"/>
              </w:rPr>
              <w:t xml:space="preserve">. Noteikumu projekts nosaka </w:t>
            </w:r>
            <w:r w:rsidR="006F7344" w:rsidRPr="00FB5371">
              <w:rPr>
                <w:rFonts w:ascii="Times New Roman" w:hAnsi="Times New Roman" w:cs="Times New Roman"/>
                <w:sz w:val="24"/>
                <w:szCs w:val="24"/>
              </w:rPr>
              <w:t xml:space="preserve">arī </w:t>
            </w:r>
            <w:r w:rsidR="00610ECB" w:rsidRPr="00FB5371">
              <w:rPr>
                <w:rFonts w:ascii="Times New Roman" w:hAnsi="Times New Roman" w:cs="Times New Roman"/>
                <w:sz w:val="24"/>
                <w:szCs w:val="24"/>
              </w:rPr>
              <w:t>Komisijas 2014.</w:t>
            </w:r>
            <w:r w:rsidR="001947DB">
              <w:rPr>
                <w:rFonts w:ascii="Times New Roman" w:hAnsi="Times New Roman" w:cs="Times New Roman"/>
                <w:sz w:val="24"/>
                <w:szCs w:val="24"/>
              </w:rPr>
              <w:t> </w:t>
            </w:r>
            <w:r w:rsidR="00610ECB" w:rsidRPr="00FB5371">
              <w:rPr>
                <w:rFonts w:ascii="Times New Roman" w:hAnsi="Times New Roman" w:cs="Times New Roman"/>
                <w:sz w:val="24"/>
                <w:szCs w:val="24"/>
              </w:rPr>
              <w:t>gada 10.</w:t>
            </w:r>
            <w:r w:rsidR="001947DB">
              <w:rPr>
                <w:rFonts w:ascii="Times New Roman" w:hAnsi="Times New Roman" w:cs="Times New Roman"/>
                <w:sz w:val="24"/>
                <w:szCs w:val="24"/>
              </w:rPr>
              <w:t> </w:t>
            </w:r>
            <w:r w:rsidR="00610ECB" w:rsidRPr="00FB5371">
              <w:rPr>
                <w:rFonts w:ascii="Times New Roman" w:hAnsi="Times New Roman" w:cs="Times New Roman"/>
                <w:sz w:val="24"/>
                <w:szCs w:val="24"/>
              </w:rPr>
              <w:t>oktobra Deleģēt</w:t>
            </w:r>
            <w:r w:rsidR="009023C8">
              <w:rPr>
                <w:rFonts w:ascii="Times New Roman" w:hAnsi="Times New Roman" w:cs="Times New Roman"/>
                <w:sz w:val="24"/>
                <w:szCs w:val="24"/>
              </w:rPr>
              <w:t>aj</w:t>
            </w:r>
            <w:r w:rsidR="00610ECB" w:rsidRPr="00FB5371">
              <w:rPr>
                <w:rFonts w:ascii="Times New Roman" w:hAnsi="Times New Roman" w:cs="Times New Roman"/>
                <w:sz w:val="24"/>
                <w:szCs w:val="24"/>
              </w:rPr>
              <w:t>ā regulā (ES) 2015/61, ar ko papildina Eiropas Parlamenta un Padomes Regulu (ES) Nr.</w:t>
            </w:r>
            <w:r w:rsidR="001947DB">
              <w:rPr>
                <w:rFonts w:ascii="Times New Roman" w:hAnsi="Times New Roman" w:cs="Times New Roman"/>
                <w:sz w:val="24"/>
                <w:szCs w:val="24"/>
              </w:rPr>
              <w:t> </w:t>
            </w:r>
            <w:r w:rsidR="00610ECB" w:rsidRPr="00FB5371">
              <w:rPr>
                <w:rFonts w:ascii="Times New Roman" w:hAnsi="Times New Roman" w:cs="Times New Roman"/>
                <w:sz w:val="24"/>
                <w:szCs w:val="24"/>
              </w:rPr>
              <w:t xml:space="preserve">575/2013 attiecībā uz likviditātes seguma prasību kredītiestādēm </w:t>
            </w:r>
            <w:r w:rsidR="003C5662" w:rsidRPr="00FB5371">
              <w:rPr>
                <w:rFonts w:ascii="Times New Roman" w:hAnsi="Times New Roman" w:cs="Times New Roman"/>
                <w:sz w:val="24"/>
                <w:szCs w:val="24"/>
              </w:rPr>
              <w:t>(turpmāk</w:t>
            </w:r>
            <w:r w:rsidR="003C5662">
              <w:rPr>
                <w:rFonts w:ascii="Times New Roman" w:hAnsi="Times New Roman" w:cs="Times New Roman"/>
                <w:sz w:val="24"/>
                <w:szCs w:val="24"/>
              </w:rPr>
              <w:t> </w:t>
            </w:r>
            <w:r w:rsidR="003C5662" w:rsidRPr="00FB5371">
              <w:rPr>
                <w:rFonts w:ascii="Times New Roman" w:hAnsi="Times New Roman" w:cs="Times New Roman"/>
                <w:sz w:val="24"/>
                <w:szCs w:val="24"/>
              </w:rPr>
              <w:t xml:space="preserve">– </w:t>
            </w:r>
            <w:r w:rsidR="001A1C30">
              <w:rPr>
                <w:rFonts w:ascii="Times New Roman" w:hAnsi="Times New Roman" w:cs="Times New Roman"/>
                <w:sz w:val="24"/>
                <w:szCs w:val="24"/>
              </w:rPr>
              <w:t>D</w:t>
            </w:r>
            <w:r w:rsidR="003C5662" w:rsidRPr="00FB5371">
              <w:rPr>
                <w:rFonts w:ascii="Times New Roman" w:hAnsi="Times New Roman" w:cs="Times New Roman"/>
                <w:sz w:val="24"/>
                <w:szCs w:val="24"/>
              </w:rPr>
              <w:t>eleģētā regula</w:t>
            </w:r>
            <w:r w:rsidR="001A1C30">
              <w:rPr>
                <w:rFonts w:ascii="Times New Roman" w:hAnsi="Times New Roman" w:cs="Times New Roman"/>
                <w:sz w:val="24"/>
                <w:szCs w:val="24"/>
              </w:rPr>
              <w:t xml:space="preserve"> Nr.</w:t>
            </w:r>
            <w:r w:rsidR="003C5662" w:rsidRPr="00FB5371">
              <w:rPr>
                <w:rFonts w:ascii="Times New Roman" w:hAnsi="Times New Roman" w:cs="Times New Roman"/>
                <w:sz w:val="24"/>
                <w:szCs w:val="24"/>
              </w:rPr>
              <w:t xml:space="preserve"> 2015/61)</w:t>
            </w:r>
            <w:r w:rsidR="003C5662">
              <w:rPr>
                <w:rFonts w:ascii="Times New Roman" w:hAnsi="Times New Roman" w:cs="Times New Roman"/>
                <w:sz w:val="24"/>
                <w:szCs w:val="24"/>
              </w:rPr>
              <w:t xml:space="preserve"> </w:t>
            </w:r>
            <w:r w:rsidR="00430191" w:rsidRPr="00FB5371">
              <w:rPr>
                <w:rFonts w:ascii="Times New Roman" w:hAnsi="Times New Roman" w:cs="Times New Roman"/>
                <w:sz w:val="24"/>
                <w:szCs w:val="24"/>
              </w:rPr>
              <w:t>paredzēto izvēles iespēju piemērošanu Latvijas Republikā</w:t>
            </w:r>
            <w:r w:rsidR="006F7344" w:rsidRPr="00FB5371">
              <w:rPr>
                <w:rFonts w:ascii="Times New Roman" w:hAnsi="Times New Roman" w:cs="Times New Roman"/>
                <w:sz w:val="24"/>
                <w:szCs w:val="24"/>
              </w:rPr>
              <w:t xml:space="preserve">, ņemot vērā, ka </w:t>
            </w:r>
            <w:r w:rsidR="00430191" w:rsidRPr="00FB5371">
              <w:rPr>
                <w:rFonts w:ascii="Times New Roman" w:hAnsi="Times New Roman" w:cs="Times New Roman"/>
                <w:sz w:val="24"/>
                <w:szCs w:val="24"/>
              </w:rPr>
              <w:t xml:space="preserve">minētā regula izdota, pamatojoties uz </w:t>
            </w:r>
            <w:r w:rsidR="001A1C30">
              <w:rPr>
                <w:rFonts w:ascii="Times New Roman" w:hAnsi="Times New Roman" w:cs="Times New Roman"/>
                <w:sz w:val="24"/>
                <w:szCs w:val="24"/>
              </w:rPr>
              <w:t>R</w:t>
            </w:r>
            <w:r w:rsidR="00430191" w:rsidRPr="00FB5371">
              <w:rPr>
                <w:rFonts w:ascii="Times New Roman" w:hAnsi="Times New Roman" w:cs="Times New Roman"/>
                <w:sz w:val="24"/>
                <w:szCs w:val="24"/>
              </w:rPr>
              <w:t>egulā Nr.</w:t>
            </w:r>
            <w:r w:rsidR="001947DB">
              <w:rPr>
                <w:rFonts w:ascii="Times New Roman" w:hAnsi="Times New Roman" w:cs="Times New Roman"/>
                <w:sz w:val="24"/>
                <w:szCs w:val="24"/>
              </w:rPr>
              <w:t> </w:t>
            </w:r>
            <w:r w:rsidR="00430191" w:rsidRPr="00FB5371">
              <w:rPr>
                <w:rFonts w:ascii="Times New Roman" w:hAnsi="Times New Roman" w:cs="Times New Roman"/>
                <w:sz w:val="24"/>
                <w:szCs w:val="24"/>
              </w:rPr>
              <w:t>575/2013 noteikto deleģējumu.</w:t>
            </w:r>
            <w:r w:rsidR="00610ECB" w:rsidRPr="006F7344">
              <w:rPr>
                <w:rFonts w:ascii="Times New Roman" w:hAnsi="Times New Roman" w:cs="Times New Roman"/>
                <w:sz w:val="24"/>
                <w:szCs w:val="24"/>
              </w:rPr>
              <w:t xml:space="preserve"> </w:t>
            </w:r>
          </w:p>
          <w:p w14:paraId="182DBB65" w14:textId="77777777" w:rsidR="00AA7D93" w:rsidRDefault="00AA7D93" w:rsidP="006F7344">
            <w:pPr>
              <w:jc w:val="both"/>
              <w:rPr>
                <w:rFonts w:ascii="Times New Roman" w:hAnsi="Times New Roman" w:cs="Times New Roman"/>
                <w:sz w:val="24"/>
                <w:szCs w:val="24"/>
              </w:rPr>
            </w:pPr>
          </w:p>
          <w:p w14:paraId="78E207E9" w14:textId="193BB3F1" w:rsidR="009105C7" w:rsidRDefault="00AA7D93" w:rsidP="009105C7">
            <w:pPr>
              <w:jc w:val="both"/>
              <w:rPr>
                <w:rFonts w:ascii="Times New Roman" w:hAnsi="Times New Roman" w:cs="Times New Roman"/>
                <w:sz w:val="24"/>
                <w:szCs w:val="24"/>
              </w:rPr>
            </w:pPr>
            <w:r w:rsidRPr="001F1F1F">
              <w:rPr>
                <w:rFonts w:ascii="Times New Roman" w:hAnsi="Times New Roman" w:cs="Times New Roman"/>
                <w:sz w:val="24"/>
                <w:szCs w:val="24"/>
              </w:rPr>
              <w:lastRenderedPageBreak/>
              <w:t xml:space="preserve">Lai nodrošinātu vienotu pieeju </w:t>
            </w:r>
            <w:r w:rsidR="001A1C30">
              <w:rPr>
                <w:rFonts w:ascii="Times New Roman" w:hAnsi="Times New Roman" w:cs="Times New Roman"/>
                <w:sz w:val="24"/>
                <w:szCs w:val="24"/>
              </w:rPr>
              <w:t>R</w:t>
            </w:r>
            <w:r w:rsidR="00B071F2" w:rsidRPr="001F1F1F">
              <w:rPr>
                <w:rFonts w:ascii="Times New Roman" w:hAnsi="Times New Roman" w:cs="Times New Roman"/>
                <w:sz w:val="24"/>
                <w:szCs w:val="24"/>
              </w:rPr>
              <w:t>egulā Nr.</w:t>
            </w:r>
            <w:r w:rsidR="001947DB">
              <w:rPr>
                <w:rFonts w:ascii="Times New Roman" w:hAnsi="Times New Roman" w:cs="Times New Roman"/>
                <w:sz w:val="24"/>
                <w:szCs w:val="24"/>
              </w:rPr>
              <w:t> </w:t>
            </w:r>
            <w:r w:rsidR="00B071F2" w:rsidRPr="001F1F1F">
              <w:rPr>
                <w:rFonts w:ascii="Times New Roman" w:hAnsi="Times New Roman" w:cs="Times New Roman"/>
                <w:sz w:val="24"/>
                <w:szCs w:val="24"/>
              </w:rPr>
              <w:t xml:space="preserve">575/2013 un </w:t>
            </w:r>
            <w:r w:rsidR="001A1C30">
              <w:rPr>
                <w:rFonts w:ascii="Times New Roman" w:hAnsi="Times New Roman" w:cs="Times New Roman"/>
                <w:sz w:val="24"/>
                <w:szCs w:val="24"/>
              </w:rPr>
              <w:t>D</w:t>
            </w:r>
            <w:r w:rsidR="00B071F2" w:rsidRPr="001F1F1F">
              <w:rPr>
                <w:rFonts w:ascii="Times New Roman" w:hAnsi="Times New Roman" w:cs="Times New Roman"/>
                <w:sz w:val="24"/>
                <w:szCs w:val="24"/>
              </w:rPr>
              <w:t>eleģēt</w:t>
            </w:r>
            <w:r w:rsidR="009961B7">
              <w:rPr>
                <w:rFonts w:ascii="Times New Roman" w:hAnsi="Times New Roman" w:cs="Times New Roman"/>
                <w:sz w:val="24"/>
                <w:szCs w:val="24"/>
              </w:rPr>
              <w:t>aj</w:t>
            </w:r>
            <w:r w:rsidR="00B071F2" w:rsidRPr="001F1F1F">
              <w:rPr>
                <w:rFonts w:ascii="Times New Roman" w:hAnsi="Times New Roman" w:cs="Times New Roman"/>
                <w:sz w:val="24"/>
                <w:szCs w:val="24"/>
              </w:rPr>
              <w:t xml:space="preserve">ā regulā </w:t>
            </w:r>
            <w:r w:rsidR="001A1C30">
              <w:rPr>
                <w:rFonts w:ascii="Times New Roman" w:hAnsi="Times New Roman" w:cs="Times New Roman"/>
                <w:sz w:val="24"/>
                <w:szCs w:val="24"/>
              </w:rPr>
              <w:t>Nr. </w:t>
            </w:r>
            <w:r w:rsidR="00B071F2" w:rsidRPr="001F1F1F">
              <w:rPr>
                <w:rFonts w:ascii="Times New Roman" w:hAnsi="Times New Roman" w:cs="Times New Roman"/>
                <w:sz w:val="24"/>
                <w:szCs w:val="24"/>
              </w:rPr>
              <w:t xml:space="preserve">2015/61 paredzēto izvēles iespēju piemērošanai Vienotajā uzraudzības mehānismā iesaistītajās dalībvalstīs, to kompetentajām </w:t>
            </w:r>
            <w:r w:rsidR="009105C7" w:rsidRPr="001F1F1F">
              <w:rPr>
                <w:rFonts w:ascii="Times New Roman" w:hAnsi="Times New Roman" w:cs="Times New Roman"/>
                <w:sz w:val="24"/>
                <w:szCs w:val="24"/>
              </w:rPr>
              <w:t xml:space="preserve">iestādēm ir saistoša </w:t>
            </w:r>
            <w:r w:rsidR="00B071F2" w:rsidRPr="001F1F1F">
              <w:rPr>
                <w:rFonts w:ascii="Times New Roman" w:hAnsi="Times New Roman" w:cs="Times New Roman"/>
                <w:sz w:val="24"/>
                <w:szCs w:val="24"/>
              </w:rPr>
              <w:t>Eiropas Centrālā</w:t>
            </w:r>
            <w:r w:rsidR="009105C7" w:rsidRPr="001F1F1F">
              <w:rPr>
                <w:rFonts w:ascii="Times New Roman" w:hAnsi="Times New Roman" w:cs="Times New Roman"/>
                <w:sz w:val="24"/>
                <w:szCs w:val="24"/>
              </w:rPr>
              <w:t>s</w:t>
            </w:r>
            <w:r w:rsidR="00B071F2" w:rsidRPr="001F1F1F">
              <w:rPr>
                <w:rFonts w:ascii="Times New Roman" w:hAnsi="Times New Roman" w:cs="Times New Roman"/>
                <w:sz w:val="24"/>
                <w:szCs w:val="24"/>
              </w:rPr>
              <w:t xml:space="preserve"> banka</w:t>
            </w:r>
            <w:r w:rsidR="009105C7" w:rsidRPr="001F1F1F">
              <w:rPr>
                <w:rFonts w:ascii="Times New Roman" w:hAnsi="Times New Roman" w:cs="Times New Roman"/>
                <w:sz w:val="24"/>
                <w:szCs w:val="24"/>
              </w:rPr>
              <w:t>s 2017.</w:t>
            </w:r>
            <w:r w:rsidR="001947DB">
              <w:rPr>
                <w:rFonts w:ascii="Times New Roman" w:hAnsi="Times New Roman" w:cs="Times New Roman"/>
                <w:sz w:val="24"/>
                <w:szCs w:val="24"/>
              </w:rPr>
              <w:t xml:space="preserve"> </w:t>
            </w:r>
            <w:r w:rsidR="009105C7" w:rsidRPr="001F1F1F">
              <w:rPr>
                <w:rFonts w:ascii="Times New Roman" w:hAnsi="Times New Roman" w:cs="Times New Roman"/>
                <w:sz w:val="24"/>
                <w:szCs w:val="24"/>
              </w:rPr>
              <w:t>gada 4.</w:t>
            </w:r>
            <w:r w:rsidR="001947DB">
              <w:rPr>
                <w:rFonts w:ascii="Times New Roman" w:hAnsi="Times New Roman" w:cs="Times New Roman"/>
                <w:sz w:val="24"/>
                <w:szCs w:val="24"/>
              </w:rPr>
              <w:t> </w:t>
            </w:r>
            <w:r w:rsidR="009105C7" w:rsidRPr="001F1F1F">
              <w:rPr>
                <w:rFonts w:ascii="Times New Roman" w:hAnsi="Times New Roman" w:cs="Times New Roman"/>
                <w:sz w:val="24"/>
                <w:szCs w:val="24"/>
              </w:rPr>
              <w:t xml:space="preserve">aprīļa Pamatnostādne (ES) 2017/697 par to, kā attiecībā uz mazāk nozīmīgām iestādēm nacionālās kompetentās iestādes īsteno Savienības tiesību aktos noteiktās izvēles iespējas un rīcības brīvības (ECB/2017/9) (turpmāk – ECB </w:t>
            </w:r>
            <w:r w:rsidR="003C5662">
              <w:rPr>
                <w:rFonts w:ascii="Times New Roman" w:hAnsi="Times New Roman" w:cs="Times New Roman"/>
                <w:sz w:val="24"/>
                <w:szCs w:val="24"/>
              </w:rPr>
              <w:t>p</w:t>
            </w:r>
            <w:r w:rsidR="009105C7" w:rsidRPr="001F1F1F">
              <w:rPr>
                <w:rFonts w:ascii="Times New Roman" w:hAnsi="Times New Roman" w:cs="Times New Roman"/>
                <w:sz w:val="24"/>
                <w:szCs w:val="24"/>
              </w:rPr>
              <w:t xml:space="preserve">amatnostādne </w:t>
            </w:r>
            <w:r w:rsidR="000C2186">
              <w:rPr>
                <w:rFonts w:ascii="Times New Roman" w:hAnsi="Times New Roman" w:cs="Times New Roman"/>
                <w:sz w:val="24"/>
                <w:szCs w:val="24"/>
              </w:rPr>
              <w:t>Nr. </w:t>
            </w:r>
            <w:r w:rsidR="009105C7" w:rsidRPr="001F1F1F">
              <w:rPr>
                <w:rFonts w:ascii="Times New Roman" w:hAnsi="Times New Roman" w:cs="Times New Roman"/>
                <w:sz w:val="24"/>
                <w:szCs w:val="24"/>
              </w:rPr>
              <w:t>2017/697), kā arī Eiropas Centrālās bankas 2022.</w:t>
            </w:r>
            <w:r w:rsidR="001947DB">
              <w:rPr>
                <w:rFonts w:ascii="Times New Roman" w:hAnsi="Times New Roman" w:cs="Times New Roman"/>
                <w:sz w:val="24"/>
                <w:szCs w:val="24"/>
              </w:rPr>
              <w:t> </w:t>
            </w:r>
            <w:r w:rsidR="009105C7" w:rsidRPr="001F1F1F">
              <w:rPr>
                <w:rFonts w:ascii="Times New Roman" w:hAnsi="Times New Roman" w:cs="Times New Roman"/>
                <w:sz w:val="24"/>
                <w:szCs w:val="24"/>
              </w:rPr>
              <w:t>gada 25.</w:t>
            </w:r>
            <w:r w:rsidR="001947DB">
              <w:rPr>
                <w:rFonts w:ascii="Times New Roman" w:hAnsi="Times New Roman" w:cs="Times New Roman"/>
                <w:sz w:val="24"/>
                <w:szCs w:val="24"/>
              </w:rPr>
              <w:t> </w:t>
            </w:r>
            <w:r w:rsidR="009105C7" w:rsidRPr="001F1F1F">
              <w:rPr>
                <w:rFonts w:ascii="Times New Roman" w:hAnsi="Times New Roman" w:cs="Times New Roman"/>
                <w:sz w:val="24"/>
                <w:szCs w:val="24"/>
              </w:rPr>
              <w:t>marta Pamatnostādne (ES) 2022/</w:t>
            </w:r>
            <w:r w:rsidR="00923CB5">
              <w:rPr>
                <w:rFonts w:ascii="Times New Roman" w:hAnsi="Times New Roman" w:cs="Times New Roman"/>
                <w:sz w:val="24"/>
                <w:szCs w:val="24"/>
              </w:rPr>
              <w:t>508</w:t>
            </w:r>
            <w:r w:rsidR="009105C7" w:rsidRPr="001F1F1F">
              <w:rPr>
                <w:rFonts w:ascii="Times New Roman" w:hAnsi="Times New Roman" w:cs="Times New Roman"/>
                <w:sz w:val="24"/>
                <w:szCs w:val="24"/>
              </w:rPr>
              <w:t xml:space="preserve">, ar ko groza Eiropas Centrālās bankas Pamatnostādni (ES) 2017/697 par to, kā attiecībā uz mazāk nozīmīgām iestādēm nacionālās kompetentās iestādes īsteno Savienības tiesību aktos noteiktās izvēles iespējas un rīcības brīvības (ECB/2017/9) </w:t>
            </w:r>
            <w:r w:rsidR="009105C7" w:rsidRPr="003504CE">
              <w:rPr>
                <w:rFonts w:ascii="Times New Roman" w:hAnsi="Times New Roman" w:cs="Times New Roman"/>
                <w:sz w:val="24"/>
                <w:szCs w:val="24"/>
              </w:rPr>
              <w:t>(ECB/2022/12)</w:t>
            </w:r>
            <w:r w:rsidR="009105C7" w:rsidRPr="001F1F1F">
              <w:rPr>
                <w:rFonts w:ascii="Times New Roman" w:hAnsi="Times New Roman" w:cs="Times New Roman"/>
                <w:i/>
                <w:iCs/>
                <w:sz w:val="24"/>
                <w:szCs w:val="24"/>
              </w:rPr>
              <w:t xml:space="preserve"> </w:t>
            </w:r>
            <w:r w:rsidR="009105C7" w:rsidRPr="00FA51E9">
              <w:rPr>
                <w:rFonts w:ascii="Times New Roman" w:hAnsi="Times New Roman" w:cs="Times New Roman"/>
                <w:sz w:val="24"/>
                <w:szCs w:val="24"/>
              </w:rPr>
              <w:t>(turpmāk</w:t>
            </w:r>
            <w:r w:rsidR="001947DB">
              <w:rPr>
                <w:rFonts w:ascii="Times New Roman" w:hAnsi="Times New Roman" w:cs="Times New Roman"/>
                <w:sz w:val="24"/>
                <w:szCs w:val="24"/>
              </w:rPr>
              <w:t> </w:t>
            </w:r>
            <w:r w:rsidR="009105C7" w:rsidRPr="00FA51E9">
              <w:rPr>
                <w:rFonts w:ascii="Times New Roman" w:hAnsi="Times New Roman" w:cs="Times New Roman"/>
                <w:sz w:val="24"/>
                <w:szCs w:val="24"/>
              </w:rPr>
              <w:t xml:space="preserve">– ECB </w:t>
            </w:r>
            <w:r w:rsidR="00923CB5">
              <w:rPr>
                <w:rFonts w:ascii="Times New Roman" w:hAnsi="Times New Roman" w:cs="Times New Roman"/>
                <w:sz w:val="24"/>
                <w:szCs w:val="24"/>
              </w:rPr>
              <w:t>p</w:t>
            </w:r>
            <w:r w:rsidR="009105C7" w:rsidRPr="00FA51E9">
              <w:rPr>
                <w:rFonts w:ascii="Times New Roman" w:hAnsi="Times New Roman" w:cs="Times New Roman"/>
                <w:sz w:val="24"/>
                <w:szCs w:val="24"/>
              </w:rPr>
              <w:t xml:space="preserve">amatnostādne </w:t>
            </w:r>
            <w:r w:rsidR="000C2186">
              <w:rPr>
                <w:rFonts w:ascii="Times New Roman" w:hAnsi="Times New Roman" w:cs="Times New Roman"/>
                <w:sz w:val="24"/>
                <w:szCs w:val="24"/>
              </w:rPr>
              <w:t>Nr. </w:t>
            </w:r>
            <w:r w:rsidR="009105C7" w:rsidRPr="00FA51E9">
              <w:rPr>
                <w:rFonts w:ascii="Times New Roman" w:hAnsi="Times New Roman" w:cs="Times New Roman"/>
                <w:sz w:val="24"/>
                <w:szCs w:val="24"/>
              </w:rPr>
              <w:t>20</w:t>
            </w:r>
            <w:r w:rsidR="009105C7" w:rsidRPr="001F1F1F">
              <w:rPr>
                <w:rFonts w:ascii="Times New Roman" w:hAnsi="Times New Roman" w:cs="Times New Roman"/>
                <w:sz w:val="24"/>
                <w:szCs w:val="24"/>
              </w:rPr>
              <w:t>22</w:t>
            </w:r>
            <w:r w:rsidR="009105C7" w:rsidRPr="00FA51E9">
              <w:rPr>
                <w:rFonts w:ascii="Times New Roman" w:hAnsi="Times New Roman" w:cs="Times New Roman"/>
                <w:sz w:val="24"/>
                <w:szCs w:val="24"/>
              </w:rPr>
              <w:t>/</w:t>
            </w:r>
            <w:r w:rsidR="00923CB5">
              <w:rPr>
                <w:rFonts w:ascii="Times New Roman" w:hAnsi="Times New Roman" w:cs="Times New Roman"/>
                <w:sz w:val="24"/>
                <w:szCs w:val="24"/>
              </w:rPr>
              <w:t>508</w:t>
            </w:r>
            <w:r w:rsidR="009105C7" w:rsidRPr="00FA51E9">
              <w:rPr>
                <w:rFonts w:ascii="Times New Roman" w:hAnsi="Times New Roman" w:cs="Times New Roman"/>
                <w:sz w:val="24"/>
                <w:szCs w:val="24"/>
              </w:rPr>
              <w:t>)</w:t>
            </w:r>
            <w:r w:rsidR="009105C7" w:rsidRPr="001F1F1F">
              <w:rPr>
                <w:rFonts w:ascii="Times New Roman" w:hAnsi="Times New Roman" w:cs="Times New Roman"/>
                <w:sz w:val="24"/>
                <w:szCs w:val="24"/>
              </w:rPr>
              <w:t>.</w:t>
            </w:r>
          </w:p>
          <w:p w14:paraId="33313075" w14:textId="77777777" w:rsidR="000266FD" w:rsidRPr="00BC2205" w:rsidRDefault="000266FD" w:rsidP="000266FD">
            <w:pPr>
              <w:jc w:val="both"/>
              <w:rPr>
                <w:rFonts w:ascii="Times New Roman" w:hAnsi="Times New Roman" w:cs="Times New Roman"/>
                <w:color w:val="FF0000"/>
                <w:sz w:val="24"/>
                <w:szCs w:val="24"/>
              </w:rPr>
            </w:pPr>
          </w:p>
          <w:p w14:paraId="25D20B86" w14:textId="16F45434" w:rsidR="00CE2D53" w:rsidRDefault="00CB2F15" w:rsidP="003770FF">
            <w:pPr>
              <w:jc w:val="both"/>
              <w:rPr>
                <w:rFonts w:ascii="Times New Roman" w:hAnsi="Times New Roman" w:cs="Times New Roman"/>
                <w:sz w:val="24"/>
                <w:szCs w:val="24"/>
              </w:rPr>
            </w:pPr>
            <w:r w:rsidRPr="0005215D">
              <w:rPr>
                <w:rFonts w:ascii="Times New Roman" w:hAnsi="Times New Roman" w:cs="Times New Roman"/>
                <w:sz w:val="24"/>
                <w:szCs w:val="24"/>
              </w:rPr>
              <w:t>Noteikum</w:t>
            </w:r>
            <w:r>
              <w:rPr>
                <w:rFonts w:ascii="Times New Roman" w:hAnsi="Times New Roman" w:cs="Times New Roman"/>
                <w:sz w:val="24"/>
                <w:szCs w:val="24"/>
              </w:rPr>
              <w:t>u projekt</w:t>
            </w:r>
            <w:r w:rsidR="002B6725">
              <w:rPr>
                <w:rFonts w:ascii="Times New Roman" w:hAnsi="Times New Roman" w:cs="Times New Roman"/>
                <w:sz w:val="24"/>
                <w:szCs w:val="24"/>
              </w:rPr>
              <w:t xml:space="preserve">ā paredzētās izvēles iespējas </w:t>
            </w:r>
            <w:r w:rsidR="00CC52E3" w:rsidRPr="0005215D">
              <w:rPr>
                <w:rFonts w:ascii="Times New Roman" w:hAnsi="Times New Roman" w:cs="Times New Roman"/>
                <w:sz w:val="24"/>
                <w:szCs w:val="24"/>
              </w:rPr>
              <w:t xml:space="preserve">būs </w:t>
            </w:r>
            <w:r w:rsidR="00844507" w:rsidRPr="0005215D">
              <w:rPr>
                <w:rFonts w:ascii="Times New Roman" w:hAnsi="Times New Roman" w:cs="Times New Roman"/>
                <w:sz w:val="24"/>
                <w:szCs w:val="24"/>
              </w:rPr>
              <w:t>saistoš</w:t>
            </w:r>
            <w:r w:rsidR="00844507">
              <w:rPr>
                <w:rFonts w:ascii="Times New Roman" w:hAnsi="Times New Roman" w:cs="Times New Roman"/>
                <w:sz w:val="24"/>
                <w:szCs w:val="24"/>
              </w:rPr>
              <w:t>as</w:t>
            </w:r>
            <w:r w:rsidR="00844507" w:rsidRPr="0005215D">
              <w:rPr>
                <w:rFonts w:ascii="Times New Roman" w:hAnsi="Times New Roman" w:cs="Times New Roman"/>
                <w:sz w:val="24"/>
                <w:szCs w:val="24"/>
              </w:rPr>
              <w:t xml:space="preserve"> </w:t>
            </w:r>
            <w:r w:rsidR="00CC52E3" w:rsidRPr="0005215D">
              <w:rPr>
                <w:rFonts w:ascii="Times New Roman" w:hAnsi="Times New Roman" w:cs="Times New Roman"/>
                <w:sz w:val="24"/>
                <w:szCs w:val="24"/>
              </w:rPr>
              <w:t>Latvijas Republikā reģistrētām kredītiestādēm</w:t>
            </w:r>
            <w:r w:rsidR="00AA7E79" w:rsidRPr="0005215D">
              <w:rPr>
                <w:rFonts w:ascii="Times New Roman" w:hAnsi="Times New Roman" w:cs="Times New Roman"/>
                <w:sz w:val="24"/>
                <w:szCs w:val="24"/>
              </w:rPr>
              <w:t xml:space="preserve">, </w:t>
            </w:r>
            <w:r w:rsidR="00BF0E98">
              <w:rPr>
                <w:rFonts w:ascii="Times New Roman" w:hAnsi="Times New Roman" w:cs="Times New Roman"/>
                <w:sz w:val="24"/>
                <w:szCs w:val="24"/>
              </w:rPr>
              <w:t xml:space="preserve">izņemot </w:t>
            </w:r>
            <w:r w:rsidR="00BF0E98" w:rsidRPr="00BF0E98">
              <w:rPr>
                <w:rFonts w:ascii="Times New Roman" w:hAnsi="Times New Roman" w:cs="Times New Roman"/>
                <w:sz w:val="24"/>
                <w:szCs w:val="24"/>
              </w:rPr>
              <w:t>nozīmīgās uzraudzītās kredītiestādes Kredītiestāžu likuma 1.</w:t>
            </w:r>
            <w:r w:rsidR="001947DB">
              <w:rPr>
                <w:rFonts w:ascii="Times New Roman" w:hAnsi="Times New Roman" w:cs="Times New Roman"/>
                <w:sz w:val="24"/>
                <w:szCs w:val="24"/>
              </w:rPr>
              <w:t> </w:t>
            </w:r>
            <w:r w:rsidR="00BF0E98" w:rsidRPr="00BF0E98">
              <w:rPr>
                <w:rFonts w:ascii="Times New Roman" w:hAnsi="Times New Roman" w:cs="Times New Roman"/>
                <w:sz w:val="24"/>
                <w:szCs w:val="24"/>
              </w:rPr>
              <w:t>panta pirmās daļas 67.</w:t>
            </w:r>
            <w:r w:rsidR="001947DB">
              <w:rPr>
                <w:rFonts w:ascii="Times New Roman" w:hAnsi="Times New Roman" w:cs="Times New Roman"/>
                <w:sz w:val="24"/>
                <w:szCs w:val="24"/>
              </w:rPr>
              <w:t xml:space="preserve"> </w:t>
            </w:r>
            <w:r w:rsidR="00BF0E98" w:rsidRPr="00BF0E98">
              <w:rPr>
                <w:rFonts w:ascii="Times New Roman" w:hAnsi="Times New Roman" w:cs="Times New Roman"/>
                <w:sz w:val="24"/>
                <w:szCs w:val="24"/>
              </w:rPr>
              <w:t>punkta izpratnē</w:t>
            </w:r>
            <w:r w:rsidR="00BF0E98">
              <w:rPr>
                <w:rFonts w:ascii="Times New Roman" w:hAnsi="Times New Roman" w:cs="Times New Roman"/>
                <w:sz w:val="24"/>
                <w:szCs w:val="24"/>
              </w:rPr>
              <w:t xml:space="preserve">, </w:t>
            </w:r>
            <w:r w:rsidR="00AA7E79" w:rsidRPr="0005215D">
              <w:rPr>
                <w:rFonts w:ascii="Times New Roman" w:hAnsi="Times New Roman" w:cs="Times New Roman"/>
                <w:sz w:val="24"/>
                <w:szCs w:val="24"/>
              </w:rPr>
              <w:t>Kredītiestāžu likuma 11.</w:t>
            </w:r>
            <w:r w:rsidR="00AA7E79" w:rsidRPr="0005215D">
              <w:rPr>
                <w:rFonts w:ascii="Times New Roman" w:hAnsi="Times New Roman" w:cs="Times New Roman"/>
                <w:sz w:val="24"/>
                <w:szCs w:val="24"/>
                <w:vertAlign w:val="superscript"/>
              </w:rPr>
              <w:t>2</w:t>
            </w:r>
            <w:r w:rsidR="001947DB">
              <w:rPr>
                <w:rFonts w:ascii="Times New Roman" w:hAnsi="Times New Roman" w:cs="Times New Roman"/>
                <w:sz w:val="24"/>
                <w:szCs w:val="24"/>
              </w:rPr>
              <w:t> </w:t>
            </w:r>
            <w:r w:rsidR="00AA7E79" w:rsidRPr="0005215D">
              <w:rPr>
                <w:rFonts w:ascii="Times New Roman" w:hAnsi="Times New Roman" w:cs="Times New Roman"/>
                <w:sz w:val="24"/>
                <w:szCs w:val="24"/>
              </w:rPr>
              <w:t>pantā minētajām ieguldījumu brokeru sabiedrībām</w:t>
            </w:r>
            <w:r w:rsidR="00CC52E3" w:rsidRPr="0005215D">
              <w:rPr>
                <w:rFonts w:ascii="Times New Roman" w:hAnsi="Times New Roman" w:cs="Times New Roman"/>
                <w:sz w:val="24"/>
                <w:szCs w:val="24"/>
              </w:rPr>
              <w:t xml:space="preserve"> un tām ieguldījumu brokeru sabiedrībām, kuras minētas </w:t>
            </w:r>
            <w:r w:rsidR="00D040FF" w:rsidRPr="0005215D">
              <w:rPr>
                <w:rFonts w:ascii="Times New Roman" w:hAnsi="Times New Roman" w:cs="Times New Roman"/>
                <w:sz w:val="24"/>
                <w:szCs w:val="24"/>
              </w:rPr>
              <w:t>Eiropas Parlamenta un Padomes 2019.</w:t>
            </w:r>
            <w:r w:rsidR="001947DB">
              <w:rPr>
                <w:rFonts w:ascii="Times New Roman" w:hAnsi="Times New Roman" w:cs="Times New Roman"/>
                <w:sz w:val="24"/>
                <w:szCs w:val="24"/>
              </w:rPr>
              <w:t> </w:t>
            </w:r>
            <w:r w:rsidR="00D040FF" w:rsidRPr="0005215D">
              <w:rPr>
                <w:rFonts w:ascii="Times New Roman" w:hAnsi="Times New Roman" w:cs="Times New Roman"/>
                <w:sz w:val="24"/>
                <w:szCs w:val="24"/>
              </w:rPr>
              <w:t>gada 27.</w:t>
            </w:r>
            <w:r w:rsidR="001947DB">
              <w:rPr>
                <w:rFonts w:ascii="Times New Roman" w:hAnsi="Times New Roman" w:cs="Times New Roman"/>
                <w:sz w:val="24"/>
                <w:szCs w:val="24"/>
              </w:rPr>
              <w:t> </w:t>
            </w:r>
            <w:r w:rsidR="00D040FF" w:rsidRPr="0005215D">
              <w:rPr>
                <w:rFonts w:ascii="Times New Roman" w:hAnsi="Times New Roman" w:cs="Times New Roman"/>
                <w:sz w:val="24"/>
                <w:szCs w:val="24"/>
              </w:rPr>
              <w:t>novembra Regulas (ES)</w:t>
            </w:r>
            <w:r w:rsidR="00601CE0">
              <w:rPr>
                <w:rFonts w:ascii="Times New Roman" w:hAnsi="Times New Roman" w:cs="Times New Roman"/>
                <w:sz w:val="24"/>
                <w:szCs w:val="24"/>
              </w:rPr>
              <w:t> </w:t>
            </w:r>
            <w:r w:rsidR="00D040FF" w:rsidRPr="0005215D">
              <w:rPr>
                <w:rFonts w:ascii="Times New Roman" w:hAnsi="Times New Roman" w:cs="Times New Roman"/>
                <w:sz w:val="24"/>
                <w:szCs w:val="24"/>
              </w:rPr>
              <w:t>2019/2033 par prudenciālajām prasībām ieguldījumu brokeru sabiedrībām un ar ko groza Regulas (ES) Nr.</w:t>
            </w:r>
            <w:r w:rsidR="001947DB">
              <w:rPr>
                <w:rFonts w:ascii="Times New Roman" w:hAnsi="Times New Roman" w:cs="Times New Roman"/>
                <w:sz w:val="24"/>
                <w:szCs w:val="24"/>
              </w:rPr>
              <w:t> </w:t>
            </w:r>
            <w:r w:rsidR="00D040FF" w:rsidRPr="0005215D">
              <w:rPr>
                <w:rFonts w:ascii="Times New Roman" w:hAnsi="Times New Roman" w:cs="Times New Roman"/>
                <w:sz w:val="24"/>
                <w:szCs w:val="24"/>
              </w:rPr>
              <w:t>1093/2010, (ES) Nr.</w:t>
            </w:r>
            <w:r w:rsidR="001947DB">
              <w:rPr>
                <w:rFonts w:ascii="Times New Roman" w:hAnsi="Times New Roman" w:cs="Times New Roman"/>
                <w:sz w:val="24"/>
                <w:szCs w:val="24"/>
              </w:rPr>
              <w:t> </w:t>
            </w:r>
            <w:r w:rsidR="00D040FF" w:rsidRPr="0005215D">
              <w:rPr>
                <w:rFonts w:ascii="Times New Roman" w:hAnsi="Times New Roman" w:cs="Times New Roman"/>
                <w:sz w:val="24"/>
                <w:szCs w:val="24"/>
              </w:rPr>
              <w:t>575/2013, (ES) Nr.</w:t>
            </w:r>
            <w:r w:rsidR="001947DB">
              <w:rPr>
                <w:rFonts w:ascii="Times New Roman" w:hAnsi="Times New Roman" w:cs="Times New Roman"/>
                <w:sz w:val="24"/>
                <w:szCs w:val="24"/>
              </w:rPr>
              <w:t> </w:t>
            </w:r>
            <w:r w:rsidR="00D040FF" w:rsidRPr="0005215D">
              <w:rPr>
                <w:rFonts w:ascii="Times New Roman" w:hAnsi="Times New Roman" w:cs="Times New Roman"/>
                <w:sz w:val="24"/>
                <w:szCs w:val="24"/>
              </w:rPr>
              <w:t>600/2014 un (ES) Nr.</w:t>
            </w:r>
            <w:r w:rsidR="001947DB">
              <w:rPr>
                <w:rFonts w:ascii="Times New Roman" w:hAnsi="Times New Roman" w:cs="Times New Roman"/>
                <w:sz w:val="24"/>
                <w:szCs w:val="24"/>
              </w:rPr>
              <w:t> </w:t>
            </w:r>
            <w:r w:rsidR="00D040FF" w:rsidRPr="0005215D">
              <w:rPr>
                <w:rFonts w:ascii="Times New Roman" w:hAnsi="Times New Roman" w:cs="Times New Roman"/>
                <w:sz w:val="24"/>
                <w:szCs w:val="24"/>
              </w:rPr>
              <w:t xml:space="preserve">806/2014 </w:t>
            </w:r>
            <w:r w:rsidR="00D040FF" w:rsidRPr="00F5604D">
              <w:rPr>
                <w:rFonts w:ascii="Times New Roman" w:hAnsi="Times New Roman" w:cs="Times New Roman"/>
                <w:sz w:val="24"/>
                <w:szCs w:val="24"/>
              </w:rPr>
              <w:t>(turpmāk</w:t>
            </w:r>
            <w:r w:rsidR="001947DB">
              <w:rPr>
                <w:rFonts w:ascii="Times New Roman" w:hAnsi="Times New Roman" w:cs="Times New Roman"/>
                <w:sz w:val="24"/>
                <w:szCs w:val="24"/>
              </w:rPr>
              <w:t> </w:t>
            </w:r>
            <w:r w:rsidR="00D040FF" w:rsidRPr="00F5604D">
              <w:rPr>
                <w:rFonts w:ascii="Times New Roman" w:hAnsi="Times New Roman" w:cs="Times New Roman"/>
                <w:sz w:val="24"/>
                <w:szCs w:val="24"/>
              </w:rPr>
              <w:softHyphen/>
              <w:t xml:space="preserve">– </w:t>
            </w:r>
            <w:r w:rsidR="000C2186">
              <w:rPr>
                <w:rFonts w:ascii="Times New Roman" w:hAnsi="Times New Roman" w:cs="Times New Roman"/>
                <w:sz w:val="24"/>
                <w:szCs w:val="24"/>
              </w:rPr>
              <w:t>R</w:t>
            </w:r>
            <w:r w:rsidR="00D040FF" w:rsidRPr="00F5604D">
              <w:rPr>
                <w:rFonts w:ascii="Times New Roman" w:hAnsi="Times New Roman" w:cs="Times New Roman"/>
                <w:sz w:val="24"/>
                <w:szCs w:val="24"/>
              </w:rPr>
              <w:t>egula</w:t>
            </w:r>
            <w:r w:rsidR="000C2186">
              <w:rPr>
                <w:rFonts w:ascii="Times New Roman" w:hAnsi="Times New Roman" w:cs="Times New Roman"/>
                <w:sz w:val="24"/>
                <w:szCs w:val="24"/>
              </w:rPr>
              <w:t xml:space="preserve"> Nr.</w:t>
            </w:r>
            <w:r w:rsidR="00D040FF" w:rsidRPr="00F5604D">
              <w:rPr>
                <w:rFonts w:ascii="Times New Roman" w:hAnsi="Times New Roman" w:cs="Times New Roman"/>
                <w:sz w:val="24"/>
                <w:szCs w:val="24"/>
              </w:rPr>
              <w:t xml:space="preserve"> 2019/2033)</w:t>
            </w:r>
            <w:r w:rsidR="00CC52E3" w:rsidRPr="0005215D">
              <w:rPr>
                <w:rFonts w:ascii="Times New Roman" w:hAnsi="Times New Roman" w:cs="Times New Roman"/>
                <w:sz w:val="24"/>
                <w:szCs w:val="24"/>
              </w:rPr>
              <w:t xml:space="preserve"> 1.</w:t>
            </w:r>
            <w:r w:rsidR="001947DB">
              <w:rPr>
                <w:rFonts w:ascii="Times New Roman" w:hAnsi="Times New Roman" w:cs="Times New Roman"/>
                <w:sz w:val="24"/>
                <w:szCs w:val="24"/>
              </w:rPr>
              <w:t> </w:t>
            </w:r>
            <w:r w:rsidR="00CC52E3" w:rsidRPr="0005215D">
              <w:rPr>
                <w:rFonts w:ascii="Times New Roman" w:hAnsi="Times New Roman" w:cs="Times New Roman"/>
                <w:sz w:val="24"/>
                <w:szCs w:val="24"/>
              </w:rPr>
              <w:t>panta 2.</w:t>
            </w:r>
            <w:r w:rsidR="001947DB">
              <w:rPr>
                <w:rFonts w:ascii="Times New Roman" w:hAnsi="Times New Roman" w:cs="Times New Roman"/>
                <w:sz w:val="24"/>
                <w:szCs w:val="24"/>
              </w:rPr>
              <w:t> </w:t>
            </w:r>
            <w:r w:rsidR="00CC52E3" w:rsidRPr="0005215D">
              <w:rPr>
                <w:rFonts w:ascii="Times New Roman" w:hAnsi="Times New Roman" w:cs="Times New Roman"/>
                <w:sz w:val="24"/>
                <w:szCs w:val="24"/>
              </w:rPr>
              <w:t>un 5.</w:t>
            </w:r>
            <w:r w:rsidR="001947DB">
              <w:rPr>
                <w:rFonts w:ascii="Times New Roman" w:hAnsi="Times New Roman" w:cs="Times New Roman"/>
                <w:sz w:val="24"/>
                <w:szCs w:val="24"/>
              </w:rPr>
              <w:t> </w:t>
            </w:r>
            <w:r w:rsidR="00CC52E3" w:rsidRPr="0005215D">
              <w:rPr>
                <w:rFonts w:ascii="Times New Roman" w:hAnsi="Times New Roman" w:cs="Times New Roman"/>
                <w:sz w:val="24"/>
                <w:szCs w:val="24"/>
              </w:rPr>
              <w:t>punktā</w:t>
            </w:r>
            <w:r w:rsidR="000C2186" w:rsidRPr="002834C5">
              <w:rPr>
                <w:rFonts w:ascii="Times New Roman" w:hAnsi="Times New Roman" w:cs="Times New Roman"/>
                <w:sz w:val="24"/>
                <w:szCs w:val="24"/>
              </w:rPr>
              <w:t>,</w:t>
            </w:r>
            <w:r w:rsidR="00FA51E9" w:rsidRPr="002834C5">
              <w:rPr>
                <w:rFonts w:ascii="Times New Roman" w:hAnsi="Times New Roman" w:cs="Times New Roman"/>
                <w:sz w:val="24"/>
                <w:szCs w:val="24"/>
              </w:rPr>
              <w:t xml:space="preserve"> (turpmāk </w:t>
            </w:r>
            <w:r w:rsidR="000C2186" w:rsidRPr="002834C5">
              <w:rPr>
                <w:rFonts w:ascii="Times New Roman" w:hAnsi="Times New Roman" w:cs="Times New Roman"/>
                <w:sz w:val="24"/>
                <w:szCs w:val="24"/>
              </w:rPr>
              <w:t xml:space="preserve">kopā </w:t>
            </w:r>
            <w:r w:rsidR="00FA51E9" w:rsidRPr="002834C5">
              <w:rPr>
                <w:rFonts w:ascii="Times New Roman" w:hAnsi="Times New Roman" w:cs="Times New Roman"/>
                <w:sz w:val="24"/>
                <w:szCs w:val="24"/>
              </w:rPr>
              <w:t>–</w:t>
            </w:r>
            <w:r w:rsidR="00FA51E9">
              <w:rPr>
                <w:rFonts w:ascii="Times New Roman" w:hAnsi="Times New Roman" w:cs="Times New Roman"/>
                <w:sz w:val="24"/>
                <w:szCs w:val="24"/>
              </w:rPr>
              <w:t xml:space="preserve"> iestāde). </w:t>
            </w:r>
            <w:r w:rsidR="00C54E7F">
              <w:rPr>
                <w:rFonts w:ascii="Times New Roman" w:hAnsi="Times New Roman" w:cs="Times New Roman"/>
                <w:sz w:val="24"/>
                <w:szCs w:val="24"/>
              </w:rPr>
              <w:t xml:space="preserve"> </w:t>
            </w:r>
            <w:r w:rsidR="00FA51E9" w:rsidRPr="00FA51E9">
              <w:rPr>
                <w:rFonts w:ascii="Times New Roman" w:hAnsi="Times New Roman" w:cs="Times New Roman"/>
                <w:sz w:val="24"/>
                <w:szCs w:val="24"/>
              </w:rPr>
              <w:t xml:space="preserve">Noteikumi būs saistoši ieguldījumu brokeru sabiedrībām, kuras minētas  </w:t>
            </w:r>
            <w:r w:rsidR="000C2186">
              <w:rPr>
                <w:rFonts w:ascii="Times New Roman" w:hAnsi="Times New Roman" w:cs="Times New Roman"/>
                <w:sz w:val="24"/>
                <w:szCs w:val="24"/>
              </w:rPr>
              <w:t>R</w:t>
            </w:r>
            <w:r w:rsidR="00FA51E9" w:rsidRPr="00FA51E9">
              <w:rPr>
                <w:rFonts w:ascii="Times New Roman" w:hAnsi="Times New Roman" w:cs="Times New Roman"/>
                <w:sz w:val="24"/>
                <w:szCs w:val="24"/>
              </w:rPr>
              <w:t xml:space="preserve">egulas </w:t>
            </w:r>
            <w:r w:rsidR="000C2186">
              <w:rPr>
                <w:rFonts w:ascii="Times New Roman" w:hAnsi="Times New Roman" w:cs="Times New Roman"/>
                <w:sz w:val="24"/>
                <w:szCs w:val="24"/>
              </w:rPr>
              <w:t>Nr. </w:t>
            </w:r>
            <w:r w:rsidR="00FA51E9" w:rsidRPr="00FA51E9">
              <w:rPr>
                <w:rFonts w:ascii="Times New Roman" w:hAnsi="Times New Roman" w:cs="Times New Roman"/>
                <w:sz w:val="24"/>
                <w:szCs w:val="24"/>
              </w:rPr>
              <w:t>2019/2033 1. panta 2. un 5.</w:t>
            </w:r>
            <w:r w:rsidR="000C2186">
              <w:rPr>
                <w:rFonts w:ascii="Times New Roman" w:hAnsi="Times New Roman" w:cs="Times New Roman"/>
                <w:sz w:val="24"/>
                <w:szCs w:val="24"/>
              </w:rPr>
              <w:t> </w:t>
            </w:r>
            <w:r w:rsidR="00FA51E9" w:rsidRPr="00FA51E9">
              <w:rPr>
                <w:rFonts w:ascii="Times New Roman" w:hAnsi="Times New Roman" w:cs="Times New Roman"/>
                <w:sz w:val="24"/>
                <w:szCs w:val="24"/>
              </w:rPr>
              <w:t>punktā, ņemot vērā Ieguldījumu brokeru sabiedrību likuma 3.</w:t>
            </w:r>
            <w:r w:rsidR="00CE2D53">
              <w:rPr>
                <w:rFonts w:ascii="Times New Roman" w:hAnsi="Times New Roman" w:cs="Times New Roman"/>
                <w:sz w:val="24"/>
                <w:szCs w:val="24"/>
              </w:rPr>
              <w:t> </w:t>
            </w:r>
            <w:r w:rsidR="00FA51E9" w:rsidRPr="00FA51E9">
              <w:rPr>
                <w:rFonts w:ascii="Times New Roman" w:hAnsi="Times New Roman" w:cs="Times New Roman"/>
                <w:sz w:val="24"/>
                <w:szCs w:val="24"/>
              </w:rPr>
              <w:t>panta trešo daļu, kas nosaka, ka tām piemēro Kredītiestāžu likumā un uz tā pamata Latvijas Bankas izdotajos noteikumos paredzētās prudenciālās prasības.</w:t>
            </w:r>
          </w:p>
          <w:p w14:paraId="0DCC1BD2" w14:textId="250AAE6B" w:rsidR="00FB5371" w:rsidRDefault="00CC52E3" w:rsidP="003770FF">
            <w:pPr>
              <w:jc w:val="both"/>
              <w:rPr>
                <w:rFonts w:ascii="Times New Roman" w:hAnsi="Times New Roman" w:cs="Times New Roman"/>
                <w:sz w:val="24"/>
                <w:szCs w:val="24"/>
              </w:rPr>
            </w:pPr>
            <w:r w:rsidRPr="0005215D">
              <w:rPr>
                <w:rFonts w:ascii="Times New Roman" w:hAnsi="Times New Roman" w:cs="Times New Roman"/>
                <w:sz w:val="24"/>
                <w:szCs w:val="24"/>
              </w:rPr>
              <w:t xml:space="preserve"> </w:t>
            </w:r>
          </w:p>
          <w:p w14:paraId="1172DB6E" w14:textId="094C1D71" w:rsidR="00997819" w:rsidRDefault="000D23B0" w:rsidP="003770FF">
            <w:pPr>
              <w:jc w:val="both"/>
              <w:rPr>
                <w:rFonts w:ascii="Times New Roman" w:hAnsi="Times New Roman" w:cs="Times New Roman"/>
                <w:sz w:val="24"/>
                <w:szCs w:val="24"/>
              </w:rPr>
            </w:pPr>
            <w:r w:rsidRPr="001F1F1F">
              <w:rPr>
                <w:rFonts w:ascii="Times New Roman" w:hAnsi="Times New Roman" w:cs="Times New Roman"/>
                <w:sz w:val="24"/>
                <w:szCs w:val="24"/>
              </w:rPr>
              <w:t xml:space="preserve">Noteikumu projektā paredzētās izvēles iespējas </w:t>
            </w:r>
            <w:r w:rsidRPr="009530D9">
              <w:rPr>
                <w:rFonts w:ascii="Times New Roman" w:hAnsi="Times New Roman" w:cs="Times New Roman"/>
                <w:sz w:val="24"/>
                <w:szCs w:val="24"/>
              </w:rPr>
              <w:t xml:space="preserve">nav </w:t>
            </w:r>
            <w:r w:rsidR="00844507" w:rsidRPr="009530D9">
              <w:rPr>
                <w:rFonts w:ascii="Times New Roman" w:hAnsi="Times New Roman" w:cs="Times New Roman"/>
                <w:sz w:val="24"/>
                <w:szCs w:val="24"/>
              </w:rPr>
              <w:t>saistoš</w:t>
            </w:r>
            <w:r w:rsidR="00844507">
              <w:rPr>
                <w:rFonts w:ascii="Times New Roman" w:hAnsi="Times New Roman" w:cs="Times New Roman"/>
                <w:sz w:val="24"/>
                <w:szCs w:val="24"/>
              </w:rPr>
              <w:t>as</w:t>
            </w:r>
            <w:r w:rsidR="00844507" w:rsidRPr="009530D9">
              <w:rPr>
                <w:rFonts w:ascii="Times New Roman" w:hAnsi="Times New Roman" w:cs="Times New Roman"/>
                <w:sz w:val="24"/>
                <w:szCs w:val="24"/>
              </w:rPr>
              <w:t xml:space="preserve"> </w:t>
            </w:r>
            <w:r w:rsidRPr="009530D9">
              <w:rPr>
                <w:rFonts w:ascii="Times New Roman" w:hAnsi="Times New Roman" w:cs="Times New Roman"/>
                <w:sz w:val="24"/>
                <w:szCs w:val="24"/>
              </w:rPr>
              <w:t>Latvijas Republikā reģ</w:t>
            </w:r>
            <w:r w:rsidRPr="001F1F1F">
              <w:rPr>
                <w:rFonts w:ascii="Times New Roman" w:hAnsi="Times New Roman" w:cs="Times New Roman"/>
                <w:sz w:val="24"/>
                <w:szCs w:val="24"/>
              </w:rPr>
              <w:t>istrētām kredītiestādēm</w:t>
            </w:r>
            <w:r w:rsidR="00CC52E3" w:rsidRPr="001F1F1F">
              <w:rPr>
                <w:rFonts w:ascii="Times New Roman" w:hAnsi="Times New Roman" w:cs="Times New Roman"/>
                <w:sz w:val="24"/>
                <w:szCs w:val="24"/>
              </w:rPr>
              <w:t>, kas ir nozīmīgās uzraudzītās kredītiestādes Kredītiestāžu likuma 1.</w:t>
            </w:r>
            <w:r w:rsidR="001947DB">
              <w:rPr>
                <w:rFonts w:ascii="Times New Roman" w:hAnsi="Times New Roman" w:cs="Times New Roman"/>
                <w:sz w:val="24"/>
                <w:szCs w:val="24"/>
              </w:rPr>
              <w:t> </w:t>
            </w:r>
            <w:r w:rsidR="00CC52E3" w:rsidRPr="001F1F1F">
              <w:rPr>
                <w:rFonts w:ascii="Times New Roman" w:hAnsi="Times New Roman" w:cs="Times New Roman"/>
                <w:sz w:val="24"/>
                <w:szCs w:val="24"/>
              </w:rPr>
              <w:t>panta pirmās daļas 67.</w:t>
            </w:r>
            <w:r w:rsidR="001947DB">
              <w:rPr>
                <w:rFonts w:ascii="Times New Roman" w:hAnsi="Times New Roman" w:cs="Times New Roman"/>
                <w:sz w:val="24"/>
                <w:szCs w:val="24"/>
              </w:rPr>
              <w:t> </w:t>
            </w:r>
            <w:r w:rsidR="00CC52E3" w:rsidRPr="001F1F1F">
              <w:rPr>
                <w:rFonts w:ascii="Times New Roman" w:hAnsi="Times New Roman" w:cs="Times New Roman"/>
                <w:sz w:val="24"/>
                <w:szCs w:val="24"/>
              </w:rPr>
              <w:t xml:space="preserve">punkta izpratnē, </w:t>
            </w:r>
            <w:r w:rsidRPr="001F1F1F">
              <w:rPr>
                <w:rFonts w:ascii="Times New Roman" w:hAnsi="Times New Roman" w:cs="Times New Roman"/>
                <w:sz w:val="24"/>
                <w:szCs w:val="24"/>
              </w:rPr>
              <w:t xml:space="preserve">jo </w:t>
            </w:r>
            <w:r w:rsidR="000C2186">
              <w:rPr>
                <w:rFonts w:ascii="Times New Roman" w:hAnsi="Times New Roman" w:cs="Times New Roman"/>
                <w:sz w:val="24"/>
                <w:szCs w:val="24"/>
              </w:rPr>
              <w:t>R</w:t>
            </w:r>
            <w:r w:rsidRPr="001F1F1F">
              <w:rPr>
                <w:rFonts w:ascii="Times New Roman" w:hAnsi="Times New Roman" w:cs="Times New Roman"/>
                <w:sz w:val="24"/>
                <w:szCs w:val="24"/>
              </w:rPr>
              <w:t>egulā Nr.</w:t>
            </w:r>
            <w:r w:rsidR="001947DB">
              <w:rPr>
                <w:rFonts w:ascii="Times New Roman" w:hAnsi="Times New Roman" w:cs="Times New Roman"/>
                <w:sz w:val="24"/>
                <w:szCs w:val="24"/>
              </w:rPr>
              <w:t> </w:t>
            </w:r>
            <w:r w:rsidRPr="001F1F1F">
              <w:rPr>
                <w:rFonts w:ascii="Times New Roman" w:hAnsi="Times New Roman" w:cs="Times New Roman"/>
                <w:sz w:val="24"/>
                <w:szCs w:val="24"/>
              </w:rPr>
              <w:t xml:space="preserve">575/2013 un </w:t>
            </w:r>
            <w:r w:rsidR="000C2186">
              <w:rPr>
                <w:rFonts w:ascii="Times New Roman" w:hAnsi="Times New Roman" w:cs="Times New Roman"/>
                <w:sz w:val="24"/>
                <w:szCs w:val="24"/>
              </w:rPr>
              <w:t>D</w:t>
            </w:r>
            <w:r w:rsidRPr="001F1F1F">
              <w:rPr>
                <w:rFonts w:ascii="Times New Roman" w:hAnsi="Times New Roman" w:cs="Times New Roman"/>
                <w:sz w:val="24"/>
                <w:szCs w:val="24"/>
              </w:rPr>
              <w:t>eleģēt</w:t>
            </w:r>
            <w:r w:rsidR="009961B7">
              <w:rPr>
                <w:rFonts w:ascii="Times New Roman" w:hAnsi="Times New Roman" w:cs="Times New Roman"/>
                <w:sz w:val="24"/>
                <w:szCs w:val="24"/>
              </w:rPr>
              <w:t>aj</w:t>
            </w:r>
            <w:r w:rsidRPr="001F1F1F">
              <w:rPr>
                <w:rFonts w:ascii="Times New Roman" w:hAnsi="Times New Roman" w:cs="Times New Roman"/>
                <w:sz w:val="24"/>
                <w:szCs w:val="24"/>
              </w:rPr>
              <w:t xml:space="preserve">ā regulā </w:t>
            </w:r>
            <w:r w:rsidR="000C2186">
              <w:rPr>
                <w:rFonts w:ascii="Times New Roman" w:hAnsi="Times New Roman" w:cs="Times New Roman"/>
                <w:sz w:val="24"/>
                <w:szCs w:val="24"/>
              </w:rPr>
              <w:t>Nr. </w:t>
            </w:r>
            <w:r w:rsidRPr="001F1F1F">
              <w:rPr>
                <w:rFonts w:ascii="Times New Roman" w:hAnsi="Times New Roman" w:cs="Times New Roman"/>
                <w:sz w:val="24"/>
                <w:szCs w:val="24"/>
              </w:rPr>
              <w:t xml:space="preserve">2015/61 paredzētās izvēles iespējas </w:t>
            </w:r>
            <w:r w:rsidR="00CC52E3" w:rsidRPr="001F1F1F">
              <w:rPr>
                <w:rFonts w:ascii="Times New Roman" w:hAnsi="Times New Roman" w:cs="Times New Roman"/>
                <w:sz w:val="24"/>
                <w:szCs w:val="24"/>
              </w:rPr>
              <w:t xml:space="preserve">ir </w:t>
            </w:r>
            <w:r w:rsidR="009961B7" w:rsidRPr="001F1F1F">
              <w:rPr>
                <w:rFonts w:ascii="Times New Roman" w:hAnsi="Times New Roman" w:cs="Times New Roman"/>
                <w:sz w:val="24"/>
                <w:szCs w:val="24"/>
              </w:rPr>
              <w:t>noteikt</w:t>
            </w:r>
            <w:r w:rsidR="009961B7">
              <w:rPr>
                <w:rFonts w:ascii="Times New Roman" w:hAnsi="Times New Roman" w:cs="Times New Roman"/>
                <w:sz w:val="24"/>
                <w:szCs w:val="24"/>
              </w:rPr>
              <w:t>as</w:t>
            </w:r>
            <w:r w:rsidR="009961B7" w:rsidRPr="001F1F1F">
              <w:rPr>
                <w:rFonts w:ascii="Times New Roman" w:hAnsi="Times New Roman" w:cs="Times New Roman"/>
                <w:sz w:val="24"/>
                <w:szCs w:val="24"/>
              </w:rPr>
              <w:t xml:space="preserve"> </w:t>
            </w:r>
            <w:r w:rsidR="00CC52E3" w:rsidRPr="001F1F1F">
              <w:rPr>
                <w:rFonts w:ascii="Times New Roman" w:hAnsi="Times New Roman" w:cs="Times New Roman"/>
                <w:sz w:val="24"/>
                <w:szCs w:val="24"/>
              </w:rPr>
              <w:t>tām saistošajā Eiropas Centrālās bankas 2016.</w:t>
            </w:r>
            <w:r w:rsidR="001947DB">
              <w:rPr>
                <w:rFonts w:ascii="Times New Roman" w:hAnsi="Times New Roman" w:cs="Times New Roman"/>
                <w:sz w:val="24"/>
                <w:szCs w:val="24"/>
              </w:rPr>
              <w:t> </w:t>
            </w:r>
            <w:r w:rsidR="00CC52E3" w:rsidRPr="001F1F1F">
              <w:rPr>
                <w:rFonts w:ascii="Times New Roman" w:hAnsi="Times New Roman" w:cs="Times New Roman"/>
                <w:sz w:val="24"/>
                <w:szCs w:val="24"/>
              </w:rPr>
              <w:t>gada 14.</w:t>
            </w:r>
            <w:r w:rsidR="001947DB">
              <w:rPr>
                <w:rFonts w:ascii="Times New Roman" w:hAnsi="Times New Roman" w:cs="Times New Roman"/>
                <w:sz w:val="24"/>
                <w:szCs w:val="24"/>
              </w:rPr>
              <w:t> </w:t>
            </w:r>
            <w:r w:rsidR="00CC52E3" w:rsidRPr="001F1F1F">
              <w:rPr>
                <w:rFonts w:ascii="Times New Roman" w:hAnsi="Times New Roman" w:cs="Times New Roman"/>
                <w:sz w:val="24"/>
                <w:szCs w:val="24"/>
              </w:rPr>
              <w:t>marta Regulā (ES) 2016/445 par Savienības tiesību aktos noteikto izvēles iespēju un rīcības brīvības īstenošanu (ECB/2016/4)</w:t>
            </w:r>
            <w:r w:rsidR="00697EFF">
              <w:rPr>
                <w:rFonts w:ascii="Times New Roman" w:hAnsi="Times New Roman" w:cs="Times New Roman"/>
                <w:sz w:val="24"/>
                <w:szCs w:val="24"/>
              </w:rPr>
              <w:t>.</w:t>
            </w:r>
            <w:r w:rsidR="00697EFF">
              <w:t xml:space="preserve"> </w:t>
            </w:r>
            <w:r w:rsidR="00697EFF" w:rsidRPr="00FA51E9">
              <w:rPr>
                <w:rFonts w:ascii="Times New Roman" w:hAnsi="Times New Roman" w:cs="Times New Roman"/>
                <w:sz w:val="24"/>
                <w:szCs w:val="24"/>
              </w:rPr>
              <w:t>Minēt</w:t>
            </w:r>
            <w:r w:rsidR="00697EFF">
              <w:rPr>
                <w:rFonts w:ascii="Times New Roman" w:hAnsi="Times New Roman" w:cs="Times New Roman"/>
                <w:sz w:val="24"/>
                <w:szCs w:val="24"/>
              </w:rPr>
              <w:t>ā</w:t>
            </w:r>
            <w:r w:rsidR="00697EFF" w:rsidRPr="00FA51E9">
              <w:rPr>
                <w:rFonts w:ascii="Times New Roman" w:hAnsi="Times New Roman" w:cs="Times New Roman"/>
                <w:sz w:val="24"/>
                <w:szCs w:val="24"/>
              </w:rPr>
              <w:t xml:space="preserve"> Eiropas Centrālās </w:t>
            </w:r>
            <w:r w:rsidR="00697EFF">
              <w:rPr>
                <w:rFonts w:ascii="Times New Roman" w:hAnsi="Times New Roman" w:cs="Times New Roman"/>
                <w:sz w:val="24"/>
                <w:szCs w:val="24"/>
              </w:rPr>
              <w:t xml:space="preserve">bankas regula ir </w:t>
            </w:r>
            <w:r w:rsidRPr="00CE2D53">
              <w:rPr>
                <w:rFonts w:ascii="Times New Roman" w:hAnsi="Times New Roman" w:cs="Times New Roman"/>
                <w:sz w:val="24"/>
                <w:szCs w:val="24"/>
              </w:rPr>
              <w:t>grozīta ar</w:t>
            </w:r>
            <w:r w:rsidRPr="00CE2D53">
              <w:t xml:space="preserve"> </w:t>
            </w:r>
            <w:r w:rsidRPr="00CE2D53">
              <w:rPr>
                <w:rFonts w:ascii="Times New Roman" w:hAnsi="Times New Roman" w:cs="Times New Roman"/>
                <w:sz w:val="24"/>
                <w:szCs w:val="24"/>
              </w:rPr>
              <w:t>Eiropas Centrālās bankas 2022.</w:t>
            </w:r>
            <w:r w:rsidR="001947DB" w:rsidRPr="00CE2D53">
              <w:rPr>
                <w:rFonts w:ascii="Times New Roman" w:hAnsi="Times New Roman" w:cs="Times New Roman"/>
                <w:sz w:val="24"/>
                <w:szCs w:val="24"/>
              </w:rPr>
              <w:t> </w:t>
            </w:r>
            <w:r w:rsidRPr="00CE2D53">
              <w:rPr>
                <w:rFonts w:ascii="Times New Roman" w:hAnsi="Times New Roman" w:cs="Times New Roman"/>
                <w:sz w:val="24"/>
                <w:szCs w:val="24"/>
              </w:rPr>
              <w:t>gada 25.</w:t>
            </w:r>
            <w:r w:rsidR="001947DB" w:rsidRPr="00CE2D53">
              <w:rPr>
                <w:rFonts w:ascii="Times New Roman" w:hAnsi="Times New Roman" w:cs="Times New Roman"/>
                <w:sz w:val="24"/>
                <w:szCs w:val="24"/>
              </w:rPr>
              <w:t> </w:t>
            </w:r>
            <w:r w:rsidRPr="00CE2D53">
              <w:rPr>
                <w:rFonts w:ascii="Times New Roman" w:hAnsi="Times New Roman" w:cs="Times New Roman"/>
                <w:sz w:val="24"/>
                <w:szCs w:val="24"/>
              </w:rPr>
              <w:t xml:space="preserve">marta Regulu (ES) 2022/504, ar ko groza Regulu (ES) 2016/445 </w:t>
            </w:r>
            <w:r w:rsidRPr="00CE2D53">
              <w:rPr>
                <w:rFonts w:ascii="Times New Roman" w:hAnsi="Times New Roman" w:cs="Times New Roman"/>
                <w:sz w:val="24"/>
                <w:szCs w:val="24"/>
              </w:rPr>
              <w:lastRenderedPageBreak/>
              <w:t>par Savienības tiesību aktos noteikto izvēles iespēju un rīcības brīvības īstenošanu (ECB/2016/4</w:t>
            </w:r>
            <w:r w:rsidRPr="00684DAF">
              <w:rPr>
                <w:rFonts w:ascii="Times New Roman" w:hAnsi="Times New Roman" w:cs="Times New Roman"/>
                <w:sz w:val="24"/>
                <w:szCs w:val="24"/>
              </w:rPr>
              <w:t xml:space="preserve">) </w:t>
            </w:r>
            <w:r w:rsidRPr="003504CE">
              <w:rPr>
                <w:rFonts w:ascii="Times New Roman" w:hAnsi="Times New Roman" w:cs="Times New Roman"/>
                <w:sz w:val="24"/>
                <w:szCs w:val="24"/>
              </w:rPr>
              <w:t>(ECB/2022/14)</w:t>
            </w:r>
            <w:r w:rsidR="00CC52E3" w:rsidRPr="00684DAF">
              <w:rPr>
                <w:rFonts w:ascii="Times New Roman" w:hAnsi="Times New Roman" w:cs="Times New Roman"/>
                <w:sz w:val="24"/>
                <w:szCs w:val="24"/>
              </w:rPr>
              <w:t>.</w:t>
            </w:r>
            <w:r w:rsidR="00CA0E4F" w:rsidRPr="0005215D">
              <w:rPr>
                <w:rFonts w:ascii="Times New Roman" w:hAnsi="Times New Roman" w:cs="Times New Roman"/>
                <w:sz w:val="24"/>
                <w:szCs w:val="24"/>
              </w:rPr>
              <w:t xml:space="preserve"> </w:t>
            </w:r>
          </w:p>
          <w:p w14:paraId="7AB0B7C2" w14:textId="77777777" w:rsidR="00AA7D93" w:rsidRDefault="00AA7D93" w:rsidP="003770FF">
            <w:pPr>
              <w:jc w:val="both"/>
              <w:rPr>
                <w:rFonts w:ascii="Times New Roman" w:hAnsi="Times New Roman" w:cs="Times New Roman"/>
                <w:sz w:val="24"/>
                <w:szCs w:val="24"/>
              </w:rPr>
            </w:pPr>
          </w:p>
          <w:p w14:paraId="642CA834" w14:textId="1F928B39" w:rsidR="00AA7D93" w:rsidRPr="00BC2205" w:rsidRDefault="00D040FF" w:rsidP="003770FF">
            <w:pPr>
              <w:jc w:val="both"/>
              <w:rPr>
                <w:rFonts w:ascii="Times New Roman" w:hAnsi="Times New Roman" w:cs="Times New Roman"/>
                <w:sz w:val="24"/>
                <w:szCs w:val="24"/>
              </w:rPr>
            </w:pPr>
            <w:r w:rsidRPr="0005215D">
              <w:rPr>
                <w:rFonts w:ascii="Times New Roman" w:hAnsi="Times New Roman" w:cs="Times New Roman"/>
                <w:sz w:val="24"/>
                <w:szCs w:val="24"/>
              </w:rPr>
              <w:t xml:space="preserve">Šobrīd nav tādu Latvijas Republikā reģistrētu </w:t>
            </w:r>
            <w:r w:rsidR="00997819">
              <w:rPr>
                <w:rFonts w:ascii="Times New Roman" w:hAnsi="Times New Roman" w:cs="Times New Roman"/>
                <w:sz w:val="24"/>
                <w:szCs w:val="24"/>
              </w:rPr>
              <w:t>ieguldījumu brokeru sabiedrību</w:t>
            </w:r>
            <w:r w:rsidRPr="0005215D">
              <w:rPr>
                <w:rFonts w:ascii="Times New Roman" w:hAnsi="Times New Roman" w:cs="Times New Roman"/>
                <w:sz w:val="24"/>
                <w:szCs w:val="24"/>
              </w:rPr>
              <w:t>, kuras minētas Kredītiestāžu likuma 11.</w:t>
            </w:r>
            <w:r w:rsidRPr="0005215D">
              <w:rPr>
                <w:rFonts w:ascii="Times New Roman" w:hAnsi="Times New Roman" w:cs="Times New Roman"/>
                <w:sz w:val="24"/>
                <w:szCs w:val="24"/>
                <w:vertAlign w:val="superscript"/>
              </w:rPr>
              <w:t>2</w:t>
            </w:r>
            <w:r w:rsidR="001947DB">
              <w:rPr>
                <w:rFonts w:ascii="Times New Roman" w:hAnsi="Times New Roman" w:cs="Times New Roman"/>
                <w:sz w:val="24"/>
                <w:szCs w:val="24"/>
              </w:rPr>
              <w:t> </w:t>
            </w:r>
            <w:r w:rsidRPr="0005215D">
              <w:rPr>
                <w:rFonts w:ascii="Times New Roman" w:hAnsi="Times New Roman" w:cs="Times New Roman"/>
                <w:sz w:val="24"/>
                <w:szCs w:val="24"/>
              </w:rPr>
              <w:t xml:space="preserve">pantā un </w:t>
            </w:r>
            <w:r w:rsidR="000C2186">
              <w:rPr>
                <w:rFonts w:ascii="Times New Roman" w:hAnsi="Times New Roman" w:cs="Times New Roman"/>
                <w:sz w:val="24"/>
                <w:szCs w:val="24"/>
              </w:rPr>
              <w:t>R</w:t>
            </w:r>
            <w:r w:rsidRPr="0005215D">
              <w:rPr>
                <w:rFonts w:ascii="Times New Roman" w:hAnsi="Times New Roman" w:cs="Times New Roman"/>
                <w:sz w:val="24"/>
                <w:szCs w:val="24"/>
              </w:rPr>
              <w:t>egulas</w:t>
            </w:r>
            <w:r w:rsidR="000C2186">
              <w:rPr>
                <w:rFonts w:ascii="Times New Roman" w:hAnsi="Times New Roman" w:cs="Times New Roman"/>
                <w:sz w:val="24"/>
                <w:szCs w:val="24"/>
              </w:rPr>
              <w:t xml:space="preserve"> Nr.</w:t>
            </w:r>
            <w:r w:rsidRPr="0005215D">
              <w:rPr>
                <w:rFonts w:ascii="Times New Roman" w:hAnsi="Times New Roman" w:cs="Times New Roman"/>
                <w:sz w:val="24"/>
                <w:szCs w:val="24"/>
              </w:rPr>
              <w:t xml:space="preserve"> 2019/2033 1.</w:t>
            </w:r>
            <w:r w:rsidR="001947DB">
              <w:rPr>
                <w:rFonts w:ascii="Times New Roman" w:hAnsi="Times New Roman" w:cs="Times New Roman"/>
                <w:sz w:val="24"/>
                <w:szCs w:val="24"/>
              </w:rPr>
              <w:t> </w:t>
            </w:r>
            <w:r w:rsidRPr="0005215D">
              <w:rPr>
                <w:rFonts w:ascii="Times New Roman" w:hAnsi="Times New Roman" w:cs="Times New Roman"/>
                <w:sz w:val="24"/>
                <w:szCs w:val="24"/>
              </w:rPr>
              <w:t>panta 2.</w:t>
            </w:r>
            <w:r w:rsidR="001947DB">
              <w:rPr>
                <w:rFonts w:ascii="Times New Roman" w:hAnsi="Times New Roman" w:cs="Times New Roman"/>
                <w:sz w:val="24"/>
                <w:szCs w:val="24"/>
              </w:rPr>
              <w:t> </w:t>
            </w:r>
            <w:r w:rsidRPr="0005215D">
              <w:rPr>
                <w:rFonts w:ascii="Times New Roman" w:hAnsi="Times New Roman" w:cs="Times New Roman"/>
                <w:sz w:val="24"/>
                <w:szCs w:val="24"/>
              </w:rPr>
              <w:t>un 5.</w:t>
            </w:r>
            <w:r w:rsidR="001947DB">
              <w:rPr>
                <w:rFonts w:ascii="Times New Roman" w:hAnsi="Times New Roman" w:cs="Times New Roman"/>
                <w:sz w:val="24"/>
                <w:szCs w:val="24"/>
              </w:rPr>
              <w:t> </w:t>
            </w:r>
            <w:r w:rsidRPr="0005215D">
              <w:rPr>
                <w:rFonts w:ascii="Times New Roman" w:hAnsi="Times New Roman" w:cs="Times New Roman"/>
                <w:sz w:val="24"/>
                <w:szCs w:val="24"/>
              </w:rPr>
              <w:t>punktā.</w:t>
            </w:r>
          </w:p>
          <w:p w14:paraId="79F5FDB9" w14:textId="77777777" w:rsidR="002F1A2F" w:rsidRPr="00BC2205" w:rsidRDefault="002F1A2F" w:rsidP="003770FF">
            <w:pPr>
              <w:jc w:val="both"/>
              <w:rPr>
                <w:rFonts w:ascii="Times New Roman" w:hAnsi="Times New Roman" w:cs="Times New Roman"/>
                <w:sz w:val="24"/>
                <w:szCs w:val="24"/>
                <w:highlight w:val="yellow"/>
                <w:shd w:val="clear" w:color="auto" w:fill="FFFFFF"/>
              </w:rPr>
            </w:pPr>
          </w:p>
          <w:p w14:paraId="7444C028" w14:textId="53F3D72F" w:rsidR="002F1A2F" w:rsidRPr="004E3225" w:rsidRDefault="002F1A2F" w:rsidP="003770FF">
            <w:pPr>
              <w:jc w:val="both"/>
              <w:rPr>
                <w:rFonts w:ascii="Times New Roman" w:hAnsi="Times New Roman" w:cs="Times New Roman"/>
                <w:sz w:val="24"/>
                <w:szCs w:val="24"/>
                <w:shd w:val="clear" w:color="auto" w:fill="FFFFFF"/>
              </w:rPr>
            </w:pPr>
            <w:bookmarkStart w:id="0" w:name="_Hlk133340156"/>
            <w:r w:rsidRPr="004E3225">
              <w:rPr>
                <w:rFonts w:ascii="Times New Roman" w:hAnsi="Times New Roman" w:cs="Times New Roman"/>
                <w:sz w:val="24"/>
                <w:szCs w:val="24"/>
                <w:shd w:val="clear" w:color="auto" w:fill="FFFFFF"/>
              </w:rPr>
              <w:t>Noteikumu projekts</w:t>
            </w:r>
            <w:r w:rsidR="00B43885">
              <w:rPr>
                <w:rFonts w:ascii="Times New Roman" w:hAnsi="Times New Roman" w:cs="Times New Roman"/>
                <w:sz w:val="24"/>
                <w:szCs w:val="24"/>
                <w:shd w:val="clear" w:color="auto" w:fill="FFFFFF"/>
              </w:rPr>
              <w:t xml:space="preserve">, </w:t>
            </w:r>
            <w:r w:rsidR="000D2119">
              <w:rPr>
                <w:rFonts w:ascii="Times New Roman" w:hAnsi="Times New Roman" w:cs="Times New Roman"/>
                <w:sz w:val="24"/>
                <w:szCs w:val="24"/>
                <w:shd w:val="clear" w:color="auto" w:fill="FFFFFF"/>
              </w:rPr>
              <w:t>tostarp</w:t>
            </w:r>
            <w:r w:rsidR="00306671">
              <w:rPr>
                <w:rFonts w:ascii="Times New Roman" w:hAnsi="Times New Roman" w:cs="Times New Roman"/>
                <w:sz w:val="24"/>
                <w:szCs w:val="24"/>
                <w:shd w:val="clear" w:color="auto" w:fill="FFFFFF"/>
              </w:rPr>
              <w:t>,</w:t>
            </w:r>
            <w:r w:rsidR="000D2119">
              <w:rPr>
                <w:rFonts w:ascii="Times New Roman" w:hAnsi="Times New Roman" w:cs="Times New Roman"/>
                <w:sz w:val="24"/>
                <w:szCs w:val="24"/>
                <w:shd w:val="clear" w:color="auto" w:fill="FFFFFF"/>
              </w:rPr>
              <w:t xml:space="preserve"> </w:t>
            </w:r>
            <w:r w:rsidR="00B43885">
              <w:rPr>
                <w:rFonts w:ascii="Times New Roman" w:hAnsi="Times New Roman" w:cs="Times New Roman"/>
                <w:sz w:val="24"/>
                <w:szCs w:val="24"/>
                <w:shd w:val="clear" w:color="auto" w:fill="FFFFFF"/>
              </w:rPr>
              <w:t xml:space="preserve">ņemot vērā ECB pamatnostādni </w:t>
            </w:r>
            <w:r w:rsidR="000C2186">
              <w:rPr>
                <w:rFonts w:ascii="Times New Roman" w:hAnsi="Times New Roman" w:cs="Times New Roman"/>
                <w:sz w:val="24"/>
                <w:szCs w:val="24"/>
                <w:shd w:val="clear" w:color="auto" w:fill="FFFFFF"/>
              </w:rPr>
              <w:t>Nr. </w:t>
            </w:r>
            <w:r w:rsidR="00B43885" w:rsidRPr="00B43885">
              <w:rPr>
                <w:rFonts w:ascii="Times New Roman" w:hAnsi="Times New Roman" w:cs="Times New Roman"/>
                <w:sz w:val="24"/>
                <w:szCs w:val="24"/>
                <w:shd w:val="clear" w:color="auto" w:fill="FFFFFF"/>
              </w:rPr>
              <w:t>2017/697</w:t>
            </w:r>
            <w:r w:rsidR="00B43885">
              <w:rPr>
                <w:rFonts w:ascii="Times New Roman" w:hAnsi="Times New Roman" w:cs="Times New Roman"/>
                <w:sz w:val="24"/>
                <w:szCs w:val="24"/>
                <w:shd w:val="clear" w:color="auto" w:fill="FFFFFF"/>
              </w:rPr>
              <w:t xml:space="preserve"> un </w:t>
            </w:r>
            <w:r w:rsidR="00B43885" w:rsidRPr="00B43885">
              <w:rPr>
                <w:rFonts w:ascii="Times New Roman" w:hAnsi="Times New Roman" w:cs="Times New Roman"/>
                <w:sz w:val="24"/>
                <w:szCs w:val="24"/>
                <w:shd w:val="clear" w:color="auto" w:fill="FFFFFF"/>
              </w:rPr>
              <w:t>ECB pamatnostādn</w:t>
            </w:r>
            <w:r w:rsidR="00B43885">
              <w:rPr>
                <w:rFonts w:ascii="Times New Roman" w:hAnsi="Times New Roman" w:cs="Times New Roman"/>
                <w:sz w:val="24"/>
                <w:szCs w:val="24"/>
                <w:shd w:val="clear" w:color="auto" w:fill="FFFFFF"/>
              </w:rPr>
              <w:t>i</w:t>
            </w:r>
            <w:r w:rsidR="000C2186">
              <w:rPr>
                <w:rFonts w:ascii="Times New Roman" w:hAnsi="Times New Roman" w:cs="Times New Roman"/>
                <w:sz w:val="24"/>
                <w:szCs w:val="24"/>
                <w:shd w:val="clear" w:color="auto" w:fill="FFFFFF"/>
              </w:rPr>
              <w:t xml:space="preserve"> Nr. </w:t>
            </w:r>
            <w:r w:rsidR="00B43885" w:rsidRPr="00B43885">
              <w:rPr>
                <w:rFonts w:ascii="Times New Roman" w:hAnsi="Times New Roman" w:cs="Times New Roman"/>
                <w:sz w:val="24"/>
                <w:szCs w:val="24"/>
                <w:shd w:val="clear" w:color="auto" w:fill="FFFFFF"/>
              </w:rPr>
              <w:t>2022/508</w:t>
            </w:r>
            <w:r w:rsidR="00C54E7F" w:rsidRPr="004E3225">
              <w:rPr>
                <w:rFonts w:ascii="Times New Roman" w:hAnsi="Times New Roman" w:cs="Times New Roman"/>
                <w:sz w:val="24"/>
                <w:szCs w:val="24"/>
                <w:shd w:val="clear" w:color="auto" w:fill="FFFFFF"/>
              </w:rPr>
              <w:t>:</w:t>
            </w:r>
          </w:p>
          <w:bookmarkEnd w:id="0"/>
          <w:p w14:paraId="034F7030" w14:textId="31EA96AD" w:rsidR="0005215D" w:rsidRPr="004E3225" w:rsidRDefault="00C54E7F" w:rsidP="0005215D">
            <w:pPr>
              <w:jc w:val="both"/>
              <w:rPr>
                <w:rFonts w:ascii="Times New Roman" w:hAnsi="Times New Roman" w:cs="Times New Roman"/>
                <w:sz w:val="24"/>
                <w:szCs w:val="24"/>
                <w:shd w:val="clear" w:color="auto" w:fill="FFFFFF"/>
              </w:rPr>
            </w:pPr>
            <w:r w:rsidRPr="004E3225">
              <w:rPr>
                <w:rFonts w:ascii="Times New Roman" w:hAnsi="Times New Roman" w:cs="Times New Roman"/>
                <w:sz w:val="24"/>
                <w:szCs w:val="24"/>
                <w:shd w:val="clear" w:color="auto" w:fill="FFFFFF"/>
              </w:rPr>
              <w:t xml:space="preserve">1) </w:t>
            </w:r>
            <w:r w:rsidR="009105C7" w:rsidRPr="004E3225">
              <w:rPr>
                <w:rFonts w:ascii="Times New Roman" w:hAnsi="Times New Roman" w:cs="Times New Roman"/>
                <w:sz w:val="24"/>
                <w:szCs w:val="24"/>
                <w:shd w:val="clear" w:color="auto" w:fill="FFFFFF"/>
              </w:rPr>
              <w:t xml:space="preserve">nosaka </w:t>
            </w:r>
            <w:r w:rsidR="00906154" w:rsidRPr="004E3225">
              <w:rPr>
                <w:rFonts w:ascii="Times New Roman" w:hAnsi="Times New Roman" w:cs="Times New Roman"/>
                <w:sz w:val="24"/>
                <w:szCs w:val="24"/>
                <w:shd w:val="clear" w:color="auto" w:fill="FFFFFF"/>
              </w:rPr>
              <w:t xml:space="preserve">prasību </w:t>
            </w:r>
            <w:r w:rsidR="0005215D" w:rsidRPr="004E3225">
              <w:rPr>
                <w:rFonts w:ascii="Times New Roman" w:hAnsi="Times New Roman" w:cs="Times New Roman"/>
                <w:sz w:val="24"/>
                <w:szCs w:val="24"/>
                <w:shd w:val="clear" w:color="auto" w:fill="FFFFFF"/>
              </w:rPr>
              <w:t xml:space="preserve">pirmā līmeņa pamata </w:t>
            </w:r>
            <w:r w:rsidR="00A938BF" w:rsidRPr="004E3225">
              <w:rPr>
                <w:rFonts w:ascii="Times New Roman" w:hAnsi="Times New Roman" w:cs="Times New Roman"/>
                <w:sz w:val="24"/>
                <w:szCs w:val="24"/>
                <w:shd w:val="clear" w:color="auto" w:fill="FFFFFF"/>
              </w:rPr>
              <w:t xml:space="preserve">kapitālu </w:t>
            </w:r>
            <w:r w:rsidR="00A938BF" w:rsidRPr="009530D9">
              <w:rPr>
                <w:rFonts w:ascii="Times New Roman" w:hAnsi="Times New Roman" w:cs="Times New Roman"/>
                <w:sz w:val="24"/>
                <w:szCs w:val="24"/>
                <w:shd w:val="clear" w:color="auto" w:fill="FFFFFF"/>
              </w:rPr>
              <w:t xml:space="preserve">laikā </w:t>
            </w:r>
            <w:r w:rsidR="00BC2205" w:rsidRPr="009530D9">
              <w:rPr>
                <w:rFonts w:ascii="Times New Roman" w:hAnsi="Times New Roman" w:cs="Times New Roman"/>
                <w:sz w:val="24"/>
                <w:szCs w:val="24"/>
                <w:shd w:val="clear" w:color="auto" w:fill="FFFFFF"/>
              </w:rPr>
              <w:t>līdz 2023.</w:t>
            </w:r>
            <w:r w:rsidR="001947DB" w:rsidRPr="009530D9">
              <w:rPr>
                <w:rFonts w:ascii="Times New Roman" w:hAnsi="Times New Roman" w:cs="Times New Roman"/>
                <w:sz w:val="24"/>
                <w:szCs w:val="24"/>
                <w:shd w:val="clear" w:color="auto" w:fill="FFFFFF"/>
              </w:rPr>
              <w:t> </w:t>
            </w:r>
            <w:r w:rsidR="000C2186">
              <w:rPr>
                <w:rFonts w:ascii="Times New Roman" w:hAnsi="Times New Roman" w:cs="Times New Roman"/>
                <w:sz w:val="24"/>
                <w:szCs w:val="24"/>
                <w:shd w:val="clear" w:color="auto" w:fill="FFFFFF"/>
              </w:rPr>
              <w:t xml:space="preserve">gada 31. decembrim </w:t>
            </w:r>
            <w:r w:rsidR="00A938BF" w:rsidRPr="009530D9">
              <w:rPr>
                <w:rFonts w:ascii="Times New Roman" w:hAnsi="Times New Roman" w:cs="Times New Roman"/>
                <w:sz w:val="24"/>
                <w:szCs w:val="24"/>
                <w:shd w:val="clear" w:color="auto" w:fill="FFFFFF"/>
              </w:rPr>
              <w:t>samazin</w:t>
            </w:r>
            <w:r w:rsidR="00906154" w:rsidRPr="009530D9">
              <w:rPr>
                <w:rFonts w:ascii="Times New Roman" w:hAnsi="Times New Roman" w:cs="Times New Roman"/>
                <w:sz w:val="24"/>
                <w:szCs w:val="24"/>
                <w:shd w:val="clear" w:color="auto" w:fill="FFFFFF"/>
              </w:rPr>
              <w:t>āt</w:t>
            </w:r>
            <w:r w:rsidR="00A938BF" w:rsidRPr="004E3225">
              <w:rPr>
                <w:rFonts w:ascii="Times New Roman" w:hAnsi="Times New Roman" w:cs="Times New Roman"/>
                <w:sz w:val="24"/>
                <w:szCs w:val="24"/>
                <w:shd w:val="clear" w:color="auto" w:fill="FFFFFF"/>
              </w:rPr>
              <w:t xml:space="preserve"> </w:t>
            </w:r>
            <w:r w:rsidR="0005215D" w:rsidRPr="004E3225">
              <w:rPr>
                <w:rFonts w:ascii="Times New Roman" w:hAnsi="Times New Roman" w:cs="Times New Roman"/>
                <w:sz w:val="24"/>
                <w:szCs w:val="24"/>
                <w:shd w:val="clear" w:color="auto" w:fill="FFFFFF"/>
              </w:rPr>
              <w:t>par atliktā nodokļa aktīviem, kuru realizācija ir atkarīga no peļņas gūšanas nākotnē un kuri izveidojušies pirms 2014.</w:t>
            </w:r>
            <w:r w:rsidR="000C2186">
              <w:rPr>
                <w:rFonts w:ascii="Times New Roman" w:hAnsi="Times New Roman" w:cs="Times New Roman"/>
                <w:sz w:val="24"/>
                <w:szCs w:val="24"/>
                <w:shd w:val="clear" w:color="auto" w:fill="FFFFFF"/>
              </w:rPr>
              <w:t xml:space="preserve"> gada 1. janvāra</w:t>
            </w:r>
            <w:r w:rsidR="00A938BF" w:rsidRPr="004E3225">
              <w:rPr>
                <w:rFonts w:ascii="Times New Roman" w:hAnsi="Times New Roman" w:cs="Times New Roman"/>
                <w:sz w:val="24"/>
                <w:szCs w:val="24"/>
                <w:shd w:val="clear" w:color="auto" w:fill="FFFFFF"/>
              </w:rPr>
              <w:t>,</w:t>
            </w:r>
            <w:r w:rsidR="001947DB" w:rsidRPr="004E3225">
              <w:rPr>
                <w:rFonts w:ascii="Times New Roman" w:hAnsi="Times New Roman" w:cs="Times New Roman"/>
                <w:sz w:val="24"/>
                <w:szCs w:val="24"/>
                <w:shd w:val="clear" w:color="auto" w:fill="FFFFFF"/>
              </w:rPr>
              <w:t> </w:t>
            </w:r>
            <w:r w:rsidR="00A938BF" w:rsidRPr="004E3225">
              <w:rPr>
                <w:rFonts w:ascii="Times New Roman" w:hAnsi="Times New Roman" w:cs="Times New Roman"/>
                <w:sz w:val="24"/>
                <w:szCs w:val="24"/>
                <w:shd w:val="clear" w:color="auto" w:fill="FFFFFF"/>
              </w:rPr>
              <w:t>100</w:t>
            </w:r>
            <w:r w:rsidR="000C2186">
              <w:rPr>
                <w:rFonts w:ascii="Times New Roman" w:hAnsi="Times New Roman" w:cs="Times New Roman"/>
                <w:sz w:val="24"/>
                <w:szCs w:val="24"/>
                <w:shd w:val="clear" w:color="auto" w:fill="FFFFFF"/>
              </w:rPr>
              <w:t> </w:t>
            </w:r>
            <w:r w:rsidR="00A938BF" w:rsidRPr="004E3225">
              <w:rPr>
                <w:rFonts w:ascii="Times New Roman" w:hAnsi="Times New Roman" w:cs="Times New Roman"/>
                <w:sz w:val="24"/>
                <w:szCs w:val="24"/>
                <w:shd w:val="clear" w:color="auto" w:fill="FFFFFF"/>
              </w:rPr>
              <w:t>% apmērā</w:t>
            </w:r>
            <w:r w:rsidR="0005215D" w:rsidRPr="004E3225">
              <w:rPr>
                <w:rFonts w:ascii="Times New Roman" w:hAnsi="Times New Roman" w:cs="Times New Roman"/>
                <w:sz w:val="24"/>
                <w:szCs w:val="24"/>
                <w:shd w:val="clear" w:color="auto" w:fill="FFFFFF"/>
              </w:rPr>
              <w:t>;</w:t>
            </w:r>
          </w:p>
          <w:p w14:paraId="198F9F68" w14:textId="6B885848" w:rsidR="0005215D" w:rsidRPr="004E3225" w:rsidRDefault="0005215D" w:rsidP="0005215D">
            <w:pPr>
              <w:jc w:val="both"/>
              <w:rPr>
                <w:rFonts w:ascii="Times New Roman" w:hAnsi="Times New Roman" w:cs="Times New Roman"/>
                <w:sz w:val="24"/>
                <w:szCs w:val="24"/>
                <w:shd w:val="clear" w:color="auto" w:fill="FFFFFF"/>
              </w:rPr>
            </w:pPr>
            <w:r w:rsidRPr="004E3225">
              <w:rPr>
                <w:rFonts w:ascii="Times New Roman" w:hAnsi="Times New Roman" w:cs="Times New Roman"/>
                <w:sz w:val="24"/>
                <w:szCs w:val="24"/>
                <w:shd w:val="clear" w:color="auto" w:fill="FFFFFF"/>
              </w:rPr>
              <w:t xml:space="preserve">2) </w:t>
            </w:r>
            <w:r w:rsidR="009105C7" w:rsidRPr="004E3225">
              <w:rPr>
                <w:rFonts w:ascii="Times New Roman" w:hAnsi="Times New Roman" w:cs="Times New Roman"/>
                <w:sz w:val="24"/>
                <w:szCs w:val="24"/>
                <w:shd w:val="clear" w:color="auto" w:fill="FFFFFF"/>
              </w:rPr>
              <w:t xml:space="preserve">nosaka </w:t>
            </w:r>
            <w:r w:rsidRPr="004E3225">
              <w:rPr>
                <w:rFonts w:ascii="Times New Roman" w:hAnsi="Times New Roman" w:cs="Times New Roman"/>
                <w:sz w:val="24"/>
                <w:szCs w:val="24"/>
                <w:shd w:val="clear" w:color="auto" w:fill="FFFFFF"/>
              </w:rPr>
              <w:t xml:space="preserve">atbrīvojumus no lielo riska darījumu ierobežojumiem, tostarp prasības </w:t>
            </w:r>
            <w:r w:rsidR="0021474E">
              <w:rPr>
                <w:rFonts w:ascii="Times New Roman" w:hAnsi="Times New Roman" w:cs="Times New Roman"/>
                <w:sz w:val="24"/>
                <w:szCs w:val="24"/>
                <w:shd w:val="clear" w:color="auto" w:fill="FFFFFF"/>
              </w:rPr>
              <w:t xml:space="preserve">saņemt </w:t>
            </w:r>
            <w:r w:rsidRPr="004E3225">
              <w:rPr>
                <w:rFonts w:ascii="Times New Roman" w:hAnsi="Times New Roman" w:cs="Times New Roman"/>
                <w:sz w:val="24"/>
                <w:szCs w:val="24"/>
                <w:shd w:val="clear" w:color="auto" w:fill="FFFFFF"/>
              </w:rPr>
              <w:t>Latvijas Bankas atļauj</w:t>
            </w:r>
            <w:r w:rsidR="0021474E">
              <w:rPr>
                <w:rFonts w:ascii="Times New Roman" w:hAnsi="Times New Roman" w:cs="Times New Roman"/>
                <w:sz w:val="24"/>
                <w:szCs w:val="24"/>
                <w:shd w:val="clear" w:color="auto" w:fill="FFFFFF"/>
              </w:rPr>
              <w:t>u</w:t>
            </w:r>
            <w:r w:rsidRPr="004E3225">
              <w:rPr>
                <w:rFonts w:ascii="Times New Roman" w:hAnsi="Times New Roman" w:cs="Times New Roman"/>
                <w:sz w:val="24"/>
                <w:szCs w:val="24"/>
                <w:shd w:val="clear" w:color="auto" w:fill="FFFFFF"/>
              </w:rPr>
              <w:t xml:space="preserve"> neierobežot riska darījumus ar iestādes mātes sabiedrību</w:t>
            </w:r>
            <w:r w:rsidR="0021474E">
              <w:rPr>
                <w:rFonts w:ascii="Times New Roman" w:hAnsi="Times New Roman" w:cs="Times New Roman"/>
                <w:sz w:val="24"/>
                <w:szCs w:val="24"/>
                <w:shd w:val="clear" w:color="auto" w:fill="FFFFFF"/>
              </w:rPr>
              <w:t>,</w:t>
            </w:r>
            <w:r w:rsidRPr="004E3225">
              <w:rPr>
                <w:rFonts w:ascii="Times New Roman" w:hAnsi="Times New Roman" w:cs="Times New Roman"/>
                <w:sz w:val="24"/>
                <w:szCs w:val="24"/>
                <w:shd w:val="clear" w:color="auto" w:fill="FFFFFF"/>
              </w:rPr>
              <w:t xml:space="preserve"> iestādes meitas sabiedrībām vai iestādes mātes sabiedrības citām meitas sabiedrībām, ja minētās sabiedrības ir pakļautas konsolidētajai uzraudzībai, kurai pakļauta arī pati iestāde</w:t>
            </w:r>
            <w:r w:rsidR="002969DA">
              <w:rPr>
                <w:rFonts w:ascii="Times New Roman" w:hAnsi="Times New Roman" w:cs="Times New Roman"/>
                <w:sz w:val="24"/>
                <w:szCs w:val="24"/>
                <w:shd w:val="clear" w:color="auto" w:fill="FFFFFF"/>
              </w:rPr>
              <w:t xml:space="preserve">. Noteikumu projekta </w:t>
            </w:r>
            <w:r w:rsidR="00306671">
              <w:rPr>
                <w:rFonts w:ascii="Times New Roman" w:hAnsi="Times New Roman" w:cs="Times New Roman"/>
                <w:sz w:val="24"/>
                <w:szCs w:val="24"/>
                <w:shd w:val="clear" w:color="auto" w:fill="FFFFFF"/>
              </w:rPr>
              <w:t>6</w:t>
            </w:r>
            <w:r w:rsidR="002969DA">
              <w:rPr>
                <w:rFonts w:ascii="Times New Roman" w:hAnsi="Times New Roman" w:cs="Times New Roman"/>
                <w:sz w:val="24"/>
                <w:szCs w:val="24"/>
                <w:shd w:val="clear" w:color="auto" w:fill="FFFFFF"/>
              </w:rPr>
              <w:t>.1. </w:t>
            </w:r>
            <w:r w:rsidR="00306671">
              <w:rPr>
                <w:rFonts w:ascii="Times New Roman" w:hAnsi="Times New Roman" w:cs="Times New Roman"/>
                <w:sz w:val="24"/>
                <w:szCs w:val="24"/>
                <w:shd w:val="clear" w:color="auto" w:fill="FFFFFF"/>
              </w:rPr>
              <w:t>apakš</w:t>
            </w:r>
            <w:r w:rsidR="002969DA">
              <w:rPr>
                <w:rFonts w:ascii="Times New Roman" w:hAnsi="Times New Roman" w:cs="Times New Roman"/>
                <w:sz w:val="24"/>
                <w:szCs w:val="24"/>
                <w:shd w:val="clear" w:color="auto" w:fill="FFFFFF"/>
              </w:rPr>
              <w:t xml:space="preserve">punktā minētās ārvalstis, </w:t>
            </w:r>
            <w:r w:rsidR="00844507" w:rsidRPr="002969DA">
              <w:rPr>
                <w:rFonts w:ascii="Times New Roman" w:hAnsi="Times New Roman" w:cs="Times New Roman"/>
                <w:sz w:val="24"/>
                <w:szCs w:val="24"/>
                <w:shd w:val="clear" w:color="auto" w:fill="FFFFFF"/>
              </w:rPr>
              <w:t>kurā</w:t>
            </w:r>
            <w:r w:rsidR="002969DA">
              <w:rPr>
                <w:rFonts w:ascii="Times New Roman" w:hAnsi="Times New Roman" w:cs="Times New Roman"/>
                <w:sz w:val="24"/>
                <w:szCs w:val="24"/>
                <w:shd w:val="clear" w:color="auto" w:fill="FFFFFF"/>
              </w:rPr>
              <w:t>s</w:t>
            </w:r>
            <w:r w:rsidR="00844507" w:rsidRPr="002969DA">
              <w:rPr>
                <w:rFonts w:ascii="Times New Roman" w:hAnsi="Times New Roman" w:cs="Times New Roman"/>
                <w:sz w:val="24"/>
                <w:szCs w:val="24"/>
                <w:shd w:val="clear" w:color="auto" w:fill="FFFFFF"/>
              </w:rPr>
              <w:t xml:space="preserve"> konsolidētā uzraudzība notiek saskaņā ar prasībām, kas ir līdzvērtīgas Eiropas Savienībā noteiktajām prasībām</w:t>
            </w:r>
            <w:r w:rsidR="002969DA">
              <w:rPr>
                <w:rFonts w:ascii="Times New Roman" w:hAnsi="Times New Roman" w:cs="Times New Roman"/>
                <w:sz w:val="24"/>
                <w:szCs w:val="24"/>
                <w:shd w:val="clear" w:color="auto" w:fill="FFFFFF"/>
              </w:rPr>
              <w:t xml:space="preserve">, </w:t>
            </w:r>
            <w:r w:rsidR="00844507" w:rsidRPr="00844507">
              <w:rPr>
                <w:rFonts w:ascii="Times New Roman" w:hAnsi="Times New Roman" w:cs="Times New Roman"/>
                <w:sz w:val="24"/>
                <w:szCs w:val="24"/>
                <w:shd w:val="clear" w:color="auto" w:fill="FFFFFF"/>
              </w:rPr>
              <w:t>ir noteiktas ar Komisijas 2021.</w:t>
            </w:r>
            <w:r w:rsidR="000D2119">
              <w:rPr>
                <w:rFonts w:ascii="Times New Roman" w:hAnsi="Times New Roman" w:cs="Times New Roman"/>
                <w:sz w:val="24"/>
                <w:szCs w:val="24"/>
                <w:shd w:val="clear" w:color="auto" w:fill="FFFFFF"/>
              </w:rPr>
              <w:t> </w:t>
            </w:r>
            <w:r w:rsidR="00844507" w:rsidRPr="00844507">
              <w:rPr>
                <w:rFonts w:ascii="Times New Roman" w:hAnsi="Times New Roman" w:cs="Times New Roman"/>
                <w:sz w:val="24"/>
                <w:szCs w:val="24"/>
                <w:shd w:val="clear" w:color="auto" w:fill="FFFFFF"/>
              </w:rPr>
              <w:t>gada 1.</w:t>
            </w:r>
            <w:r w:rsidR="000D2119">
              <w:rPr>
                <w:rFonts w:ascii="Times New Roman" w:hAnsi="Times New Roman" w:cs="Times New Roman"/>
                <w:sz w:val="24"/>
                <w:szCs w:val="24"/>
                <w:shd w:val="clear" w:color="auto" w:fill="FFFFFF"/>
              </w:rPr>
              <w:t> </w:t>
            </w:r>
            <w:r w:rsidR="00844507" w:rsidRPr="00844507">
              <w:rPr>
                <w:rFonts w:ascii="Times New Roman" w:hAnsi="Times New Roman" w:cs="Times New Roman"/>
                <w:sz w:val="24"/>
                <w:szCs w:val="24"/>
                <w:shd w:val="clear" w:color="auto" w:fill="FFFFFF"/>
              </w:rPr>
              <w:t>oktobra Īstenošanas lēmumu (ES) 2021/1753 par dažu trešo valstu un teritoriju uzraudzības un regulatīvo prasību līdzvērtīgumu, lai riska darījumiem piemērotu pieeju atbilstīgi Eiropas Parlamenta un Padomes Regulai (ES) Nr.</w:t>
            </w:r>
            <w:r w:rsidR="000D2119">
              <w:rPr>
                <w:rFonts w:ascii="Times New Roman" w:hAnsi="Times New Roman" w:cs="Times New Roman"/>
                <w:sz w:val="24"/>
                <w:szCs w:val="24"/>
                <w:shd w:val="clear" w:color="auto" w:fill="FFFFFF"/>
              </w:rPr>
              <w:t> </w:t>
            </w:r>
            <w:r w:rsidR="00844507" w:rsidRPr="00844507">
              <w:rPr>
                <w:rFonts w:ascii="Times New Roman" w:hAnsi="Times New Roman" w:cs="Times New Roman"/>
                <w:sz w:val="24"/>
                <w:szCs w:val="24"/>
                <w:shd w:val="clear" w:color="auto" w:fill="FFFFFF"/>
              </w:rPr>
              <w:t>575/2013</w:t>
            </w:r>
            <w:r w:rsidRPr="004E3225">
              <w:rPr>
                <w:rFonts w:ascii="Times New Roman" w:hAnsi="Times New Roman" w:cs="Times New Roman"/>
                <w:sz w:val="24"/>
                <w:szCs w:val="24"/>
                <w:shd w:val="clear" w:color="auto" w:fill="FFFFFF"/>
              </w:rPr>
              <w:t>;</w:t>
            </w:r>
          </w:p>
          <w:p w14:paraId="35E31494" w14:textId="0E3748E0" w:rsidR="0005215D" w:rsidRPr="004E3225" w:rsidRDefault="0005215D" w:rsidP="0005215D">
            <w:pPr>
              <w:jc w:val="both"/>
              <w:rPr>
                <w:rFonts w:ascii="Times New Roman" w:hAnsi="Times New Roman" w:cs="Times New Roman"/>
                <w:sz w:val="24"/>
                <w:szCs w:val="24"/>
                <w:shd w:val="clear" w:color="auto" w:fill="FFFFFF"/>
              </w:rPr>
            </w:pPr>
            <w:r w:rsidRPr="004E3225">
              <w:rPr>
                <w:rFonts w:ascii="Times New Roman" w:hAnsi="Times New Roman" w:cs="Times New Roman"/>
                <w:sz w:val="24"/>
                <w:szCs w:val="24"/>
                <w:shd w:val="clear" w:color="auto" w:fill="FFFFFF"/>
              </w:rPr>
              <w:t xml:space="preserve">3) </w:t>
            </w:r>
            <w:r w:rsidR="00350B45" w:rsidRPr="004E3225">
              <w:rPr>
                <w:rFonts w:ascii="Times New Roman" w:hAnsi="Times New Roman" w:cs="Times New Roman"/>
                <w:sz w:val="24"/>
                <w:szCs w:val="24"/>
                <w:shd w:val="clear" w:color="auto" w:fill="FFFFFF"/>
              </w:rPr>
              <w:t xml:space="preserve">nosaka </w:t>
            </w:r>
            <w:r w:rsidRPr="004E3225">
              <w:rPr>
                <w:rFonts w:ascii="Times New Roman" w:hAnsi="Times New Roman" w:cs="Times New Roman"/>
                <w:sz w:val="24"/>
                <w:szCs w:val="24"/>
                <w:shd w:val="clear" w:color="auto" w:fill="FFFFFF"/>
              </w:rPr>
              <w:t xml:space="preserve">prasību </w:t>
            </w:r>
            <w:r w:rsidR="00C54E7F" w:rsidRPr="004E3225">
              <w:rPr>
                <w:rFonts w:ascii="Times New Roman" w:hAnsi="Times New Roman" w:cs="Times New Roman"/>
                <w:sz w:val="24"/>
                <w:szCs w:val="24"/>
                <w:shd w:val="clear" w:color="auto" w:fill="FFFFFF"/>
              </w:rPr>
              <w:t>piemērot 1250</w:t>
            </w:r>
            <w:r w:rsidR="000C2186">
              <w:rPr>
                <w:rFonts w:ascii="Times New Roman" w:hAnsi="Times New Roman" w:cs="Times New Roman"/>
                <w:sz w:val="24"/>
                <w:szCs w:val="24"/>
                <w:shd w:val="clear" w:color="auto" w:fill="FFFFFF"/>
              </w:rPr>
              <w:t> </w:t>
            </w:r>
            <w:r w:rsidR="00C54E7F" w:rsidRPr="004E3225">
              <w:rPr>
                <w:rFonts w:ascii="Times New Roman" w:hAnsi="Times New Roman" w:cs="Times New Roman"/>
                <w:sz w:val="24"/>
                <w:szCs w:val="24"/>
                <w:shd w:val="clear" w:color="auto" w:fill="FFFFFF"/>
              </w:rPr>
              <w:t>% riska pakāpi</w:t>
            </w:r>
            <w:r w:rsidR="004E6EBB" w:rsidRPr="004E3225">
              <w:rPr>
                <w:rFonts w:ascii="Times New Roman" w:hAnsi="Times New Roman" w:cs="Times New Roman"/>
                <w:sz w:val="24"/>
                <w:szCs w:val="24"/>
                <w:shd w:val="clear" w:color="auto" w:fill="FFFFFF"/>
              </w:rPr>
              <w:t xml:space="preserve"> </w:t>
            </w:r>
            <w:r w:rsidR="006D6052" w:rsidRPr="004E3225">
              <w:rPr>
                <w:rFonts w:ascii="Times New Roman" w:hAnsi="Times New Roman" w:cs="Times New Roman"/>
                <w:sz w:val="24"/>
                <w:szCs w:val="24"/>
                <w:shd w:val="clear" w:color="auto" w:fill="FFFFFF"/>
              </w:rPr>
              <w:t xml:space="preserve">lielākajai </w:t>
            </w:r>
            <w:r w:rsidR="004E6EBB" w:rsidRPr="004E3225">
              <w:rPr>
                <w:rFonts w:ascii="Times New Roman" w:hAnsi="Times New Roman" w:cs="Times New Roman"/>
                <w:sz w:val="24"/>
                <w:szCs w:val="24"/>
                <w:shd w:val="clear" w:color="auto" w:fill="FFFFFF"/>
              </w:rPr>
              <w:t>no šādām summām – būtiskas līdzdalības nefinanšu sektor</w:t>
            </w:r>
            <w:r w:rsidR="00BF396C" w:rsidRPr="004E3225">
              <w:rPr>
                <w:rFonts w:ascii="Times New Roman" w:hAnsi="Times New Roman" w:cs="Times New Roman"/>
                <w:sz w:val="24"/>
                <w:szCs w:val="24"/>
                <w:shd w:val="clear" w:color="auto" w:fill="FFFFFF"/>
              </w:rPr>
              <w:t>a uzņēmumos</w:t>
            </w:r>
            <w:r w:rsidR="004E6EBB" w:rsidRPr="004E3225">
              <w:rPr>
                <w:rFonts w:ascii="Times New Roman" w:hAnsi="Times New Roman" w:cs="Times New Roman"/>
                <w:sz w:val="24"/>
                <w:szCs w:val="24"/>
                <w:shd w:val="clear" w:color="auto" w:fill="FFFFFF"/>
              </w:rPr>
              <w:t xml:space="preserve"> </w:t>
            </w:r>
            <w:r w:rsidR="006D6052" w:rsidRPr="004E3225">
              <w:rPr>
                <w:rFonts w:ascii="Times New Roman" w:hAnsi="Times New Roman" w:cs="Times New Roman"/>
                <w:sz w:val="24"/>
                <w:szCs w:val="24"/>
                <w:shd w:val="clear" w:color="auto" w:fill="FFFFFF"/>
              </w:rPr>
              <w:t>apmēram</w:t>
            </w:r>
            <w:r w:rsidR="004E6EBB" w:rsidRPr="004E3225">
              <w:rPr>
                <w:rFonts w:ascii="Times New Roman" w:hAnsi="Times New Roman" w:cs="Times New Roman"/>
                <w:sz w:val="24"/>
                <w:szCs w:val="24"/>
                <w:shd w:val="clear" w:color="auto" w:fill="FFFFFF"/>
              </w:rPr>
              <w:t>, kas pārsniedz 15</w:t>
            </w:r>
            <w:r w:rsidR="000C2186">
              <w:rPr>
                <w:rFonts w:ascii="Times New Roman" w:hAnsi="Times New Roman" w:cs="Times New Roman"/>
                <w:sz w:val="24"/>
                <w:szCs w:val="24"/>
                <w:shd w:val="clear" w:color="auto" w:fill="FFFFFF"/>
              </w:rPr>
              <w:t> </w:t>
            </w:r>
            <w:r w:rsidR="004E6EBB" w:rsidRPr="004E3225">
              <w:rPr>
                <w:rFonts w:ascii="Times New Roman" w:hAnsi="Times New Roman" w:cs="Times New Roman"/>
                <w:sz w:val="24"/>
                <w:szCs w:val="24"/>
                <w:shd w:val="clear" w:color="auto" w:fill="FFFFFF"/>
              </w:rPr>
              <w:t>% no iestādes atbilstošā kapitāla, vai būtiskas līdzdalības nefinanšu sektor</w:t>
            </w:r>
            <w:r w:rsidR="00BF396C" w:rsidRPr="004E3225">
              <w:rPr>
                <w:rFonts w:ascii="Times New Roman" w:hAnsi="Times New Roman" w:cs="Times New Roman"/>
                <w:sz w:val="24"/>
                <w:szCs w:val="24"/>
                <w:shd w:val="clear" w:color="auto" w:fill="FFFFFF"/>
              </w:rPr>
              <w:t>a uzņēmumos</w:t>
            </w:r>
            <w:r w:rsidR="004E6EBB" w:rsidRPr="004E3225">
              <w:rPr>
                <w:rFonts w:ascii="Times New Roman" w:hAnsi="Times New Roman" w:cs="Times New Roman"/>
                <w:sz w:val="24"/>
                <w:szCs w:val="24"/>
                <w:shd w:val="clear" w:color="auto" w:fill="FFFFFF"/>
              </w:rPr>
              <w:t xml:space="preserve"> </w:t>
            </w:r>
            <w:r w:rsidR="006D6052" w:rsidRPr="004E3225">
              <w:rPr>
                <w:rFonts w:ascii="Times New Roman" w:hAnsi="Times New Roman" w:cs="Times New Roman"/>
                <w:sz w:val="24"/>
                <w:szCs w:val="24"/>
                <w:shd w:val="clear" w:color="auto" w:fill="FFFFFF"/>
              </w:rPr>
              <w:t>kopējam apmēram</w:t>
            </w:r>
            <w:r w:rsidR="004E6EBB" w:rsidRPr="004E3225">
              <w:rPr>
                <w:rFonts w:ascii="Times New Roman" w:hAnsi="Times New Roman" w:cs="Times New Roman"/>
                <w:sz w:val="24"/>
                <w:szCs w:val="24"/>
                <w:shd w:val="clear" w:color="auto" w:fill="FFFFFF"/>
              </w:rPr>
              <w:t>, kas pārsniedz 60</w:t>
            </w:r>
            <w:r w:rsidR="000C2186">
              <w:rPr>
                <w:rFonts w:ascii="Times New Roman" w:hAnsi="Times New Roman" w:cs="Times New Roman"/>
                <w:sz w:val="24"/>
                <w:szCs w:val="24"/>
                <w:shd w:val="clear" w:color="auto" w:fill="FFFFFF"/>
              </w:rPr>
              <w:t> </w:t>
            </w:r>
            <w:r w:rsidR="004E6EBB" w:rsidRPr="004E3225">
              <w:rPr>
                <w:rFonts w:ascii="Times New Roman" w:hAnsi="Times New Roman" w:cs="Times New Roman"/>
                <w:sz w:val="24"/>
                <w:szCs w:val="24"/>
                <w:shd w:val="clear" w:color="auto" w:fill="FFFFFF"/>
              </w:rPr>
              <w:t>% no iestādes atbilstošā kapitāla;</w:t>
            </w:r>
            <w:r w:rsidR="00C54E7F" w:rsidRPr="004E3225">
              <w:rPr>
                <w:rFonts w:ascii="Times New Roman" w:hAnsi="Times New Roman" w:cs="Times New Roman"/>
                <w:sz w:val="24"/>
                <w:szCs w:val="24"/>
                <w:shd w:val="clear" w:color="auto" w:fill="FFFFFF"/>
              </w:rPr>
              <w:t xml:space="preserve"> </w:t>
            </w:r>
          </w:p>
          <w:p w14:paraId="521959E9" w14:textId="3432C10F" w:rsidR="00A315F0" w:rsidRDefault="0005215D" w:rsidP="00BC2205">
            <w:pPr>
              <w:jc w:val="both"/>
              <w:rPr>
                <w:rFonts w:ascii="Times New Roman" w:hAnsi="Times New Roman" w:cs="Times New Roman"/>
                <w:sz w:val="24"/>
                <w:szCs w:val="24"/>
                <w:shd w:val="clear" w:color="auto" w:fill="FFFFFF"/>
              </w:rPr>
            </w:pPr>
            <w:bookmarkStart w:id="1" w:name="_Hlk133340172"/>
            <w:r w:rsidRPr="004E3225">
              <w:rPr>
                <w:rFonts w:ascii="Times New Roman" w:hAnsi="Times New Roman" w:cs="Times New Roman"/>
                <w:sz w:val="24"/>
                <w:szCs w:val="24"/>
                <w:shd w:val="clear" w:color="auto" w:fill="FFFFFF"/>
              </w:rPr>
              <w:t>4)</w:t>
            </w:r>
            <w:r w:rsidR="00BC2205" w:rsidRPr="004E3225">
              <w:rPr>
                <w:rFonts w:ascii="Times New Roman" w:hAnsi="Times New Roman" w:cs="Times New Roman"/>
                <w:sz w:val="24"/>
                <w:szCs w:val="24"/>
                <w:shd w:val="clear" w:color="auto" w:fill="FFFFFF"/>
              </w:rPr>
              <w:t xml:space="preserve"> </w:t>
            </w:r>
            <w:r w:rsidR="00364E81" w:rsidRPr="004E3225">
              <w:rPr>
                <w:rFonts w:ascii="Times New Roman" w:hAnsi="Times New Roman" w:cs="Times New Roman"/>
                <w:sz w:val="24"/>
                <w:szCs w:val="24"/>
                <w:shd w:val="clear" w:color="auto" w:fill="FFFFFF"/>
              </w:rPr>
              <w:t xml:space="preserve">attiecībā uz </w:t>
            </w:r>
            <w:r w:rsidR="00BC4FB2" w:rsidRPr="004E3225">
              <w:rPr>
                <w:rFonts w:ascii="Times New Roman" w:hAnsi="Times New Roman" w:cs="Times New Roman"/>
                <w:sz w:val="24"/>
                <w:szCs w:val="24"/>
                <w:shd w:val="clear" w:color="auto" w:fill="FFFFFF"/>
              </w:rPr>
              <w:t>likviditātes rādītāju</w:t>
            </w:r>
            <w:r w:rsidR="0022022D" w:rsidRPr="004E3225">
              <w:rPr>
                <w:rFonts w:ascii="Times New Roman" w:hAnsi="Times New Roman" w:cs="Times New Roman"/>
                <w:sz w:val="24"/>
                <w:szCs w:val="24"/>
                <w:shd w:val="clear" w:color="auto" w:fill="FFFFFF"/>
              </w:rPr>
              <w:t xml:space="preserve"> aprēķinu</w:t>
            </w:r>
            <w:r w:rsidR="00364E81" w:rsidRPr="004E3225">
              <w:rPr>
                <w:rFonts w:ascii="Times New Roman" w:hAnsi="Times New Roman" w:cs="Times New Roman"/>
                <w:sz w:val="24"/>
                <w:szCs w:val="24"/>
                <w:shd w:val="clear" w:color="auto" w:fill="FFFFFF"/>
              </w:rPr>
              <w:t xml:space="preserve"> </w:t>
            </w:r>
            <w:r w:rsidR="009105C7" w:rsidRPr="004E3225">
              <w:rPr>
                <w:rFonts w:ascii="Times New Roman" w:hAnsi="Times New Roman" w:cs="Times New Roman"/>
                <w:sz w:val="24"/>
                <w:szCs w:val="24"/>
                <w:shd w:val="clear" w:color="auto" w:fill="FFFFFF"/>
              </w:rPr>
              <w:t xml:space="preserve">nosaka </w:t>
            </w:r>
            <w:r w:rsidR="00A6362C" w:rsidRPr="004E3225">
              <w:rPr>
                <w:rFonts w:ascii="Times New Roman" w:hAnsi="Times New Roman" w:cs="Times New Roman"/>
                <w:sz w:val="24"/>
                <w:szCs w:val="24"/>
                <w:shd w:val="clear" w:color="auto" w:fill="FFFFFF"/>
              </w:rPr>
              <w:t xml:space="preserve">nosacījumus </w:t>
            </w:r>
            <w:r w:rsidRPr="004E3225">
              <w:rPr>
                <w:rFonts w:ascii="Times New Roman" w:hAnsi="Times New Roman" w:cs="Times New Roman"/>
                <w:sz w:val="24"/>
                <w:szCs w:val="24"/>
                <w:shd w:val="clear" w:color="auto" w:fill="FFFFFF"/>
              </w:rPr>
              <w:t xml:space="preserve">dalībvalsts </w:t>
            </w:r>
            <w:r w:rsidR="002969DA" w:rsidRPr="002969DA">
              <w:rPr>
                <w:rFonts w:ascii="Times New Roman" w:hAnsi="Times New Roman" w:cs="Times New Roman"/>
                <w:sz w:val="24"/>
                <w:szCs w:val="24"/>
                <w:shd w:val="clear" w:color="auto" w:fill="FFFFFF"/>
              </w:rPr>
              <w:t>Kredītiestāžu likuma 1. panta 44.</w:t>
            </w:r>
            <w:r w:rsidR="00E66974">
              <w:rPr>
                <w:rFonts w:ascii="Times New Roman" w:hAnsi="Times New Roman" w:cs="Times New Roman"/>
                <w:sz w:val="24"/>
                <w:szCs w:val="24"/>
                <w:shd w:val="clear" w:color="auto" w:fill="FFFFFF"/>
              </w:rPr>
              <w:t> </w:t>
            </w:r>
            <w:r w:rsidR="002969DA" w:rsidRPr="002969DA">
              <w:rPr>
                <w:rFonts w:ascii="Times New Roman" w:hAnsi="Times New Roman" w:cs="Times New Roman"/>
                <w:sz w:val="24"/>
                <w:szCs w:val="24"/>
                <w:shd w:val="clear" w:color="auto" w:fill="FFFFFF"/>
              </w:rPr>
              <w:t xml:space="preserve">punkta izpratnē </w:t>
            </w:r>
            <w:r w:rsidRPr="004E3225">
              <w:rPr>
                <w:rFonts w:ascii="Times New Roman" w:hAnsi="Times New Roman" w:cs="Times New Roman"/>
                <w:sz w:val="24"/>
                <w:szCs w:val="24"/>
                <w:shd w:val="clear" w:color="auto" w:fill="FFFFFF"/>
              </w:rPr>
              <w:t xml:space="preserve">vai </w:t>
            </w:r>
            <w:r w:rsidR="00E947CF" w:rsidRPr="004E3225">
              <w:rPr>
                <w:rFonts w:ascii="Times New Roman" w:hAnsi="Times New Roman" w:cs="Times New Roman"/>
                <w:sz w:val="24"/>
                <w:szCs w:val="24"/>
                <w:shd w:val="clear" w:color="auto" w:fill="FFFFFF"/>
              </w:rPr>
              <w:t>ār</w:t>
            </w:r>
            <w:r w:rsidRPr="004E3225">
              <w:rPr>
                <w:rFonts w:ascii="Times New Roman" w:hAnsi="Times New Roman" w:cs="Times New Roman"/>
                <w:sz w:val="24"/>
                <w:szCs w:val="24"/>
                <w:shd w:val="clear" w:color="auto" w:fill="FFFFFF"/>
              </w:rPr>
              <w:t xml:space="preserve">valsts galveno akciju indeksu </w:t>
            </w:r>
            <w:r w:rsidR="0022022D" w:rsidRPr="004E3225">
              <w:rPr>
                <w:rFonts w:ascii="Times New Roman" w:hAnsi="Times New Roman" w:cs="Times New Roman"/>
                <w:sz w:val="24"/>
                <w:szCs w:val="24"/>
                <w:shd w:val="clear" w:color="auto" w:fill="FFFFFF"/>
              </w:rPr>
              <w:t>identificēšanai</w:t>
            </w:r>
            <w:r w:rsidR="00E947CF" w:rsidRPr="004E3225">
              <w:rPr>
                <w:rFonts w:ascii="Times New Roman" w:hAnsi="Times New Roman" w:cs="Times New Roman"/>
                <w:sz w:val="24"/>
                <w:szCs w:val="24"/>
                <w:shd w:val="clear" w:color="auto" w:fill="FFFFFF"/>
              </w:rPr>
              <w:t xml:space="preserve"> </w:t>
            </w:r>
            <w:r w:rsidR="00B26689" w:rsidRPr="004E3225">
              <w:rPr>
                <w:rFonts w:ascii="Times New Roman" w:hAnsi="Times New Roman" w:cs="Times New Roman"/>
                <w:sz w:val="24"/>
                <w:szCs w:val="24"/>
                <w:shd w:val="clear" w:color="auto" w:fill="FFFFFF"/>
              </w:rPr>
              <w:t xml:space="preserve">un nošķirtu aktīvu apgrūtinājuma termiņa noteikšanai, kā arī nosacījumus attiecībā uz </w:t>
            </w:r>
            <w:r w:rsidRPr="004E3225">
              <w:rPr>
                <w:rFonts w:ascii="Times New Roman" w:hAnsi="Times New Roman" w:cs="Times New Roman"/>
                <w:sz w:val="24"/>
                <w:szCs w:val="24"/>
                <w:shd w:val="clear" w:color="auto" w:fill="FFFFFF"/>
              </w:rPr>
              <w:t>nepieciešamā stabilā finansējuma koeficientu noteikšanu ārpusbilances riska darījumiem</w:t>
            </w:r>
            <w:r w:rsidR="008E611A" w:rsidRPr="004E3225">
              <w:rPr>
                <w:rFonts w:ascii="Times New Roman" w:hAnsi="Times New Roman" w:cs="Times New Roman"/>
                <w:sz w:val="24"/>
                <w:szCs w:val="24"/>
                <w:shd w:val="clear" w:color="auto" w:fill="FFFFFF"/>
              </w:rPr>
              <w:t>;</w:t>
            </w:r>
          </w:p>
          <w:p w14:paraId="0270797B" w14:textId="60B74175" w:rsidR="000B5A74" w:rsidRPr="004E3225" w:rsidRDefault="000B5A74" w:rsidP="00BC2205">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5) </w:t>
            </w:r>
            <w:r w:rsidR="000D2119">
              <w:rPr>
                <w:rFonts w:ascii="Times New Roman" w:hAnsi="Times New Roman" w:cs="Times New Roman"/>
                <w:sz w:val="24"/>
                <w:szCs w:val="24"/>
                <w:shd w:val="clear" w:color="auto" w:fill="FFFFFF"/>
              </w:rPr>
              <w:t xml:space="preserve">pārņem </w:t>
            </w:r>
            <w:r w:rsidR="000D2119" w:rsidRPr="000D2119">
              <w:rPr>
                <w:rFonts w:ascii="Times New Roman" w:hAnsi="Times New Roman" w:cs="Times New Roman"/>
                <w:sz w:val="24"/>
                <w:szCs w:val="24"/>
                <w:shd w:val="clear" w:color="auto" w:fill="FFFFFF"/>
              </w:rPr>
              <w:t>Finanšu un kapitāla tirgus komisijas 2020.</w:t>
            </w:r>
            <w:r w:rsidR="000D2119">
              <w:rPr>
                <w:rFonts w:ascii="Times New Roman" w:hAnsi="Times New Roman" w:cs="Times New Roman"/>
                <w:sz w:val="24"/>
                <w:szCs w:val="24"/>
                <w:shd w:val="clear" w:color="auto" w:fill="FFFFFF"/>
              </w:rPr>
              <w:t> </w:t>
            </w:r>
            <w:r w:rsidR="000D2119" w:rsidRPr="000D2119">
              <w:rPr>
                <w:rFonts w:ascii="Times New Roman" w:hAnsi="Times New Roman" w:cs="Times New Roman"/>
                <w:sz w:val="24"/>
                <w:szCs w:val="24"/>
                <w:shd w:val="clear" w:color="auto" w:fill="FFFFFF"/>
              </w:rPr>
              <w:t>gada 22.</w:t>
            </w:r>
            <w:r w:rsidR="000D2119">
              <w:rPr>
                <w:rFonts w:ascii="Times New Roman" w:hAnsi="Times New Roman" w:cs="Times New Roman"/>
                <w:sz w:val="24"/>
                <w:szCs w:val="24"/>
                <w:shd w:val="clear" w:color="auto" w:fill="FFFFFF"/>
              </w:rPr>
              <w:t> </w:t>
            </w:r>
            <w:r w:rsidR="000D2119" w:rsidRPr="000D2119">
              <w:rPr>
                <w:rFonts w:ascii="Times New Roman" w:hAnsi="Times New Roman" w:cs="Times New Roman"/>
                <w:sz w:val="24"/>
                <w:szCs w:val="24"/>
                <w:shd w:val="clear" w:color="auto" w:fill="FFFFFF"/>
              </w:rPr>
              <w:t>decembra normatīv</w:t>
            </w:r>
            <w:r w:rsidR="000D2119">
              <w:rPr>
                <w:rFonts w:ascii="Times New Roman" w:hAnsi="Times New Roman" w:cs="Times New Roman"/>
                <w:sz w:val="24"/>
                <w:szCs w:val="24"/>
                <w:shd w:val="clear" w:color="auto" w:fill="FFFFFF"/>
              </w:rPr>
              <w:t>ajos</w:t>
            </w:r>
            <w:r w:rsidR="000D2119" w:rsidRPr="000D2119">
              <w:rPr>
                <w:rFonts w:ascii="Times New Roman" w:hAnsi="Times New Roman" w:cs="Times New Roman"/>
                <w:sz w:val="24"/>
                <w:szCs w:val="24"/>
                <w:shd w:val="clear" w:color="auto" w:fill="FFFFFF"/>
              </w:rPr>
              <w:t xml:space="preserve"> noteikum</w:t>
            </w:r>
            <w:r w:rsidR="000D2119">
              <w:rPr>
                <w:rFonts w:ascii="Times New Roman" w:hAnsi="Times New Roman" w:cs="Times New Roman"/>
                <w:sz w:val="24"/>
                <w:szCs w:val="24"/>
                <w:shd w:val="clear" w:color="auto" w:fill="FFFFFF"/>
              </w:rPr>
              <w:t>os</w:t>
            </w:r>
            <w:r w:rsidR="000D2119" w:rsidRPr="000D2119">
              <w:rPr>
                <w:rFonts w:ascii="Times New Roman" w:hAnsi="Times New Roman" w:cs="Times New Roman"/>
                <w:sz w:val="24"/>
                <w:szCs w:val="24"/>
                <w:shd w:val="clear" w:color="auto" w:fill="FFFFFF"/>
              </w:rPr>
              <w:t xml:space="preserve"> Nr.</w:t>
            </w:r>
            <w:r w:rsidR="000D2119">
              <w:rPr>
                <w:rFonts w:ascii="Times New Roman" w:hAnsi="Times New Roman" w:cs="Times New Roman"/>
                <w:sz w:val="24"/>
                <w:szCs w:val="24"/>
                <w:shd w:val="clear" w:color="auto" w:fill="FFFFFF"/>
              </w:rPr>
              <w:t> </w:t>
            </w:r>
            <w:r w:rsidR="000D2119" w:rsidRPr="000D2119">
              <w:rPr>
                <w:rFonts w:ascii="Times New Roman" w:hAnsi="Times New Roman" w:cs="Times New Roman"/>
                <w:sz w:val="24"/>
                <w:szCs w:val="24"/>
                <w:shd w:val="clear" w:color="auto" w:fill="FFFFFF"/>
              </w:rPr>
              <w:t>243 "Normatīvie noteikumi par konsolidācijas metodēm"</w:t>
            </w:r>
            <w:r w:rsidR="000D2119">
              <w:rPr>
                <w:rFonts w:ascii="Times New Roman" w:hAnsi="Times New Roman" w:cs="Times New Roman"/>
                <w:sz w:val="24"/>
                <w:szCs w:val="24"/>
                <w:shd w:val="clear" w:color="auto" w:fill="FFFFFF"/>
              </w:rPr>
              <w:t xml:space="preserve"> noteiktās </w:t>
            </w:r>
            <w:r w:rsidR="000D2119" w:rsidRPr="000D2119">
              <w:rPr>
                <w:rFonts w:ascii="Times New Roman" w:hAnsi="Times New Roman" w:cs="Times New Roman"/>
                <w:sz w:val="24"/>
                <w:szCs w:val="24"/>
                <w:shd w:val="clear" w:color="auto" w:fill="FFFFFF"/>
              </w:rPr>
              <w:t>izvēles iespējas attiecībā uz konsolidācijas grupā ietveramo komercsabiedrību konsolidācijas metožu piemērošanu</w:t>
            </w:r>
            <w:r w:rsidR="000D2119">
              <w:rPr>
                <w:rFonts w:ascii="Times New Roman" w:hAnsi="Times New Roman" w:cs="Times New Roman"/>
                <w:sz w:val="24"/>
                <w:szCs w:val="24"/>
                <w:shd w:val="clear" w:color="auto" w:fill="FFFFFF"/>
              </w:rPr>
              <w:t xml:space="preserve">. </w:t>
            </w:r>
            <w:r w:rsidR="00B02A6D">
              <w:rPr>
                <w:rFonts w:ascii="Times New Roman" w:hAnsi="Times New Roman" w:cs="Times New Roman"/>
                <w:sz w:val="24"/>
                <w:szCs w:val="24"/>
                <w:shd w:val="clear" w:color="auto" w:fill="FFFFFF"/>
              </w:rPr>
              <w:t>Noteikumu projekta 2.</w:t>
            </w:r>
            <w:r w:rsidR="00601CE0">
              <w:rPr>
                <w:rFonts w:ascii="Times New Roman" w:hAnsi="Times New Roman" w:cs="Times New Roman"/>
                <w:sz w:val="24"/>
                <w:szCs w:val="24"/>
                <w:shd w:val="clear" w:color="auto" w:fill="FFFFFF"/>
              </w:rPr>
              <w:t xml:space="preserve"> un</w:t>
            </w:r>
            <w:r w:rsidR="00B02A6D">
              <w:rPr>
                <w:rFonts w:ascii="Times New Roman" w:hAnsi="Times New Roman" w:cs="Times New Roman"/>
                <w:sz w:val="24"/>
                <w:szCs w:val="24"/>
                <w:shd w:val="clear" w:color="auto" w:fill="FFFFFF"/>
              </w:rPr>
              <w:t xml:space="preserve"> 3. punktā un </w:t>
            </w:r>
            <w:r w:rsidR="00B02A6D">
              <w:rPr>
                <w:rFonts w:ascii="Times New Roman" w:hAnsi="Times New Roman" w:cs="Times New Roman"/>
                <w:sz w:val="24"/>
                <w:szCs w:val="24"/>
                <w:shd w:val="clear" w:color="auto" w:fill="FFFFFF"/>
              </w:rPr>
              <w:lastRenderedPageBreak/>
              <w:t xml:space="preserve">7.2.1. apakšpunktā minētā pilnas konsolidācijas metode ir aprakstīta </w:t>
            </w:r>
            <w:r w:rsidR="00B02A6D" w:rsidRPr="00F728D9">
              <w:rPr>
                <w:rFonts w:ascii="Times New Roman" w:hAnsi="Times New Roman" w:cs="Times New Roman"/>
                <w:sz w:val="24"/>
                <w:szCs w:val="24"/>
                <w:shd w:val="clear" w:color="auto" w:fill="FFFFFF"/>
              </w:rPr>
              <w:t>Komisijas 2008. gada 3. novembr</w:t>
            </w:r>
            <w:r w:rsidR="00B02A6D">
              <w:rPr>
                <w:rFonts w:ascii="Times New Roman" w:hAnsi="Times New Roman" w:cs="Times New Roman"/>
                <w:sz w:val="24"/>
                <w:szCs w:val="24"/>
                <w:shd w:val="clear" w:color="auto" w:fill="FFFFFF"/>
              </w:rPr>
              <w:t>a</w:t>
            </w:r>
            <w:r w:rsidR="00B02A6D" w:rsidRPr="00F728D9">
              <w:rPr>
                <w:rFonts w:ascii="Times New Roman" w:hAnsi="Times New Roman" w:cs="Times New Roman"/>
                <w:sz w:val="24"/>
                <w:szCs w:val="24"/>
                <w:shd w:val="clear" w:color="auto" w:fill="FFFFFF"/>
              </w:rPr>
              <w:t xml:space="preserve"> Regula</w:t>
            </w:r>
            <w:r w:rsidR="00B02A6D">
              <w:rPr>
                <w:rFonts w:ascii="Times New Roman" w:hAnsi="Times New Roman" w:cs="Times New Roman"/>
                <w:sz w:val="24"/>
                <w:szCs w:val="24"/>
                <w:shd w:val="clear" w:color="auto" w:fill="FFFFFF"/>
              </w:rPr>
              <w:t>s</w:t>
            </w:r>
            <w:r w:rsidR="00B02A6D" w:rsidRPr="00F728D9">
              <w:rPr>
                <w:rFonts w:ascii="Times New Roman" w:hAnsi="Times New Roman" w:cs="Times New Roman"/>
                <w:sz w:val="24"/>
                <w:szCs w:val="24"/>
                <w:shd w:val="clear" w:color="auto" w:fill="FFFFFF"/>
              </w:rPr>
              <w:t xml:space="preserve"> (EK) Nr. 1126/2008, ar ko pieņem vairākus starptautiskos grāmatvedības standartus saskaņā </w:t>
            </w:r>
            <w:r w:rsidR="00B02A6D" w:rsidRPr="003422ED">
              <w:rPr>
                <w:rFonts w:ascii="Times New Roman" w:hAnsi="Times New Roman" w:cs="Times New Roman"/>
                <w:sz w:val="24"/>
                <w:szCs w:val="24"/>
                <w:shd w:val="clear" w:color="auto" w:fill="FFFFFF"/>
              </w:rPr>
              <w:t>ar Eiropas Parlamenta un Padomes Regulu (EK) Nr. 1606/2002, 10. Starptautiskā Finanšu pārskatu standarta B pielikuma B86 punktā.</w:t>
            </w:r>
            <w:r w:rsidR="00B02A6D">
              <w:rPr>
                <w:rFonts w:ascii="Times New Roman" w:hAnsi="Times New Roman" w:cs="Times New Roman"/>
                <w:sz w:val="24"/>
                <w:szCs w:val="24"/>
                <w:shd w:val="clear" w:color="auto" w:fill="FFFFFF"/>
              </w:rPr>
              <w:t xml:space="preserve"> </w:t>
            </w:r>
            <w:r w:rsidR="000D2119">
              <w:rPr>
                <w:rFonts w:ascii="Times New Roman" w:hAnsi="Times New Roman" w:cs="Times New Roman"/>
                <w:sz w:val="24"/>
                <w:szCs w:val="24"/>
                <w:shd w:val="clear" w:color="auto" w:fill="FFFFFF"/>
              </w:rPr>
              <w:t>Līdz ar šā noteikumu projekta stāšanos spēkā minētie normatīvie noteikumi zaudēs spēku;</w:t>
            </w:r>
          </w:p>
          <w:bookmarkEnd w:id="1"/>
          <w:p w14:paraId="28D32265" w14:textId="027204FA" w:rsidR="00EC7BB0" w:rsidRPr="00822148" w:rsidRDefault="000B5A74" w:rsidP="00D935EB">
            <w:pPr>
              <w:jc w:val="both"/>
              <w:rPr>
                <w:rFonts w:ascii="Times New Roman" w:hAnsi="Times New Roman" w:cs="Times New Roman"/>
                <w:color w:val="FF0000"/>
                <w:sz w:val="24"/>
                <w:szCs w:val="24"/>
                <w:highlight w:val="yellow"/>
                <w:shd w:val="clear" w:color="auto" w:fill="FFFFFF"/>
              </w:rPr>
            </w:pPr>
            <w:r>
              <w:rPr>
                <w:rFonts w:ascii="Times New Roman" w:hAnsi="Times New Roman" w:cs="Times New Roman"/>
                <w:sz w:val="24"/>
                <w:szCs w:val="24"/>
                <w:shd w:val="clear" w:color="auto" w:fill="FFFFFF"/>
              </w:rPr>
              <w:t>6</w:t>
            </w:r>
            <w:r w:rsidR="008E611A" w:rsidRPr="004E3225">
              <w:rPr>
                <w:rFonts w:ascii="Times New Roman" w:hAnsi="Times New Roman" w:cs="Times New Roman"/>
                <w:sz w:val="24"/>
                <w:szCs w:val="24"/>
                <w:shd w:val="clear" w:color="auto" w:fill="FFFFFF"/>
              </w:rPr>
              <w:t xml:space="preserve">) </w:t>
            </w:r>
            <w:r w:rsidR="00997819" w:rsidRPr="003422ED">
              <w:rPr>
                <w:rFonts w:ascii="Times New Roman" w:hAnsi="Times New Roman" w:cs="Times New Roman"/>
                <w:sz w:val="24"/>
                <w:szCs w:val="24"/>
                <w:shd w:val="clear" w:color="auto" w:fill="FFFFFF"/>
              </w:rPr>
              <w:t xml:space="preserve">turpmāk neparedz prasību </w:t>
            </w:r>
            <w:r w:rsidR="00A315F0" w:rsidRPr="003422ED">
              <w:rPr>
                <w:rFonts w:ascii="Times New Roman" w:hAnsi="Times New Roman" w:cs="Times New Roman"/>
                <w:sz w:val="24"/>
                <w:szCs w:val="24"/>
                <w:shd w:val="clear" w:color="auto" w:fill="FFFFFF"/>
              </w:rPr>
              <w:t>piemērot 100</w:t>
            </w:r>
            <w:r w:rsidR="00A315F0" w:rsidRPr="004E3225">
              <w:rPr>
                <w:rFonts w:ascii="Times New Roman" w:hAnsi="Times New Roman" w:cs="Times New Roman"/>
                <w:sz w:val="24"/>
                <w:szCs w:val="24"/>
                <w:shd w:val="clear" w:color="auto" w:fill="FFFFFF"/>
              </w:rPr>
              <w:t xml:space="preserve"> </w:t>
            </w:r>
            <w:r w:rsidR="000C2186">
              <w:rPr>
                <w:rFonts w:ascii="Times New Roman" w:hAnsi="Times New Roman" w:cs="Times New Roman"/>
                <w:sz w:val="24"/>
                <w:szCs w:val="24"/>
                <w:shd w:val="clear" w:color="auto" w:fill="FFFFFF"/>
              </w:rPr>
              <w:t>%</w:t>
            </w:r>
            <w:r w:rsidR="000C2186" w:rsidRPr="004E3225">
              <w:rPr>
                <w:rFonts w:ascii="Times New Roman" w:hAnsi="Times New Roman" w:cs="Times New Roman"/>
                <w:sz w:val="24"/>
                <w:szCs w:val="24"/>
                <w:shd w:val="clear" w:color="auto" w:fill="FFFFFF"/>
              </w:rPr>
              <w:t xml:space="preserve"> </w:t>
            </w:r>
            <w:r w:rsidR="00A315F0" w:rsidRPr="004E3225">
              <w:rPr>
                <w:rFonts w:ascii="Times New Roman" w:hAnsi="Times New Roman" w:cs="Times New Roman"/>
                <w:sz w:val="24"/>
                <w:szCs w:val="24"/>
                <w:shd w:val="clear" w:color="auto" w:fill="FFFFFF"/>
              </w:rPr>
              <w:t xml:space="preserve">riska pakāpi, rēķinot riska darījumu, kas ir nodrošināti ar hipotēku uz Latvijā reģistrētu komerciālo nekustamo īpašumu, riska svērto vērtību saskaņā ar </w:t>
            </w:r>
            <w:r w:rsidR="000C2186">
              <w:rPr>
                <w:rFonts w:ascii="Times New Roman" w:hAnsi="Times New Roman" w:cs="Times New Roman"/>
                <w:sz w:val="24"/>
                <w:szCs w:val="24"/>
                <w:shd w:val="clear" w:color="auto" w:fill="FFFFFF"/>
              </w:rPr>
              <w:t>R</w:t>
            </w:r>
            <w:r w:rsidR="00A315F0" w:rsidRPr="004E3225">
              <w:rPr>
                <w:rFonts w:ascii="Times New Roman" w:hAnsi="Times New Roman" w:cs="Times New Roman"/>
                <w:sz w:val="24"/>
                <w:szCs w:val="24"/>
                <w:shd w:val="clear" w:color="auto" w:fill="FFFFFF"/>
              </w:rPr>
              <w:t>egulas Nr.</w:t>
            </w:r>
            <w:r w:rsidR="001947DB" w:rsidRPr="004E3225">
              <w:rPr>
                <w:rFonts w:ascii="Times New Roman" w:hAnsi="Times New Roman" w:cs="Times New Roman"/>
                <w:sz w:val="24"/>
                <w:szCs w:val="24"/>
                <w:shd w:val="clear" w:color="auto" w:fill="FFFFFF"/>
              </w:rPr>
              <w:t> </w:t>
            </w:r>
            <w:r w:rsidR="00A315F0" w:rsidRPr="004E3225">
              <w:rPr>
                <w:rFonts w:ascii="Times New Roman" w:hAnsi="Times New Roman" w:cs="Times New Roman"/>
                <w:sz w:val="24"/>
                <w:szCs w:val="24"/>
                <w:shd w:val="clear" w:color="auto" w:fill="FFFFFF"/>
              </w:rPr>
              <w:t>575/2013 126.</w:t>
            </w:r>
            <w:r w:rsidR="001947DB" w:rsidRPr="004E3225">
              <w:rPr>
                <w:rFonts w:ascii="Times New Roman" w:hAnsi="Times New Roman" w:cs="Times New Roman"/>
                <w:sz w:val="24"/>
                <w:szCs w:val="24"/>
                <w:shd w:val="clear" w:color="auto" w:fill="FFFFFF"/>
              </w:rPr>
              <w:t> </w:t>
            </w:r>
            <w:r w:rsidR="00A315F0" w:rsidRPr="004E3225">
              <w:rPr>
                <w:rFonts w:ascii="Times New Roman" w:hAnsi="Times New Roman" w:cs="Times New Roman"/>
                <w:sz w:val="24"/>
                <w:szCs w:val="24"/>
                <w:shd w:val="clear" w:color="auto" w:fill="FFFFFF"/>
              </w:rPr>
              <w:t xml:space="preserve">pantu. </w:t>
            </w:r>
            <w:r w:rsidR="00EC7BB0">
              <w:rPr>
                <w:rFonts w:ascii="Times New Roman" w:hAnsi="Times New Roman" w:cs="Times New Roman"/>
                <w:sz w:val="24"/>
                <w:szCs w:val="24"/>
                <w:shd w:val="clear" w:color="auto" w:fill="FFFFFF"/>
              </w:rPr>
              <w:t>Minētā prasība par riska pakāpes piemērošanu izslēgta no noteikumiem, jo, ņemot vērā</w:t>
            </w:r>
            <w:r w:rsidR="00EC7BB0">
              <w:t xml:space="preserve"> </w:t>
            </w:r>
            <w:r w:rsidR="000C2186">
              <w:rPr>
                <w:rFonts w:ascii="Times New Roman" w:hAnsi="Times New Roman" w:cs="Times New Roman"/>
                <w:sz w:val="24"/>
                <w:szCs w:val="24"/>
                <w:shd w:val="clear" w:color="auto" w:fill="FFFFFF"/>
              </w:rPr>
              <w:t>R</w:t>
            </w:r>
            <w:r w:rsidR="00EC7BB0" w:rsidRPr="00EC7BB0">
              <w:rPr>
                <w:rFonts w:ascii="Times New Roman" w:hAnsi="Times New Roman" w:cs="Times New Roman"/>
                <w:sz w:val="24"/>
                <w:szCs w:val="24"/>
                <w:shd w:val="clear" w:color="auto" w:fill="FFFFFF"/>
              </w:rPr>
              <w:t>egulas Nr.</w:t>
            </w:r>
            <w:r w:rsidR="00662DCD">
              <w:rPr>
                <w:rFonts w:ascii="Times New Roman" w:hAnsi="Times New Roman" w:cs="Times New Roman"/>
                <w:sz w:val="24"/>
                <w:szCs w:val="24"/>
                <w:shd w:val="clear" w:color="auto" w:fill="FFFFFF"/>
              </w:rPr>
              <w:t> </w:t>
            </w:r>
            <w:r w:rsidR="00EC7BB0" w:rsidRPr="00EC7BB0">
              <w:rPr>
                <w:rFonts w:ascii="Times New Roman" w:hAnsi="Times New Roman" w:cs="Times New Roman"/>
                <w:sz w:val="24"/>
                <w:szCs w:val="24"/>
                <w:shd w:val="clear" w:color="auto" w:fill="FFFFFF"/>
              </w:rPr>
              <w:t>575/2013 124.</w:t>
            </w:r>
            <w:r w:rsidR="000C2186">
              <w:rPr>
                <w:rFonts w:ascii="Times New Roman" w:hAnsi="Times New Roman" w:cs="Times New Roman"/>
                <w:sz w:val="24"/>
                <w:szCs w:val="24"/>
                <w:shd w:val="clear" w:color="auto" w:fill="FFFFFF"/>
              </w:rPr>
              <w:t> </w:t>
            </w:r>
            <w:r w:rsidR="00EC7BB0" w:rsidRPr="00EC7BB0">
              <w:rPr>
                <w:rFonts w:ascii="Times New Roman" w:hAnsi="Times New Roman" w:cs="Times New Roman"/>
                <w:sz w:val="24"/>
                <w:szCs w:val="24"/>
                <w:shd w:val="clear" w:color="auto" w:fill="FFFFFF"/>
              </w:rPr>
              <w:t>pantā noteikto prasību par tās regulāru (</w:t>
            </w:r>
            <w:r w:rsidR="00662DCD">
              <w:rPr>
                <w:rFonts w:ascii="Times New Roman" w:hAnsi="Times New Roman" w:cs="Times New Roman"/>
                <w:sz w:val="24"/>
                <w:szCs w:val="24"/>
                <w:shd w:val="clear" w:color="auto" w:fill="FFFFFF"/>
              </w:rPr>
              <w:t>vismaz reizi gadā</w:t>
            </w:r>
            <w:r w:rsidR="00EC7BB0" w:rsidRPr="00EC7BB0">
              <w:rPr>
                <w:rFonts w:ascii="Times New Roman" w:hAnsi="Times New Roman" w:cs="Times New Roman"/>
                <w:sz w:val="24"/>
                <w:szCs w:val="24"/>
                <w:shd w:val="clear" w:color="auto" w:fill="FFFFFF"/>
              </w:rPr>
              <w:t>) pārskatīšanu</w:t>
            </w:r>
            <w:r w:rsidR="00EC7BB0">
              <w:rPr>
                <w:rFonts w:ascii="Times New Roman" w:hAnsi="Times New Roman" w:cs="Times New Roman"/>
                <w:sz w:val="24"/>
                <w:szCs w:val="24"/>
                <w:shd w:val="clear" w:color="auto" w:fill="FFFFFF"/>
              </w:rPr>
              <w:t xml:space="preserve">, tā turpmāk tiks noteikta ar Latvijas Bankas padomes lēmumu, kas ļaus izvairīties no nepieciešamības veikt grozījumus noteikumos ik reizi, kad tiks mainīts riska pakāpes apmērs. </w:t>
            </w:r>
            <w:r w:rsidR="00D935EB">
              <w:rPr>
                <w:rFonts w:ascii="Times New Roman" w:hAnsi="Times New Roman" w:cs="Times New Roman"/>
                <w:sz w:val="24"/>
                <w:szCs w:val="24"/>
                <w:shd w:val="clear" w:color="auto" w:fill="FFFFFF"/>
              </w:rPr>
              <w:t xml:space="preserve">Minētais Latvijas Bankas padomes lēmums tiks publicēts </w:t>
            </w:r>
            <w:r w:rsidR="00D935EB" w:rsidRPr="00D935EB">
              <w:rPr>
                <w:rFonts w:ascii="Times New Roman" w:hAnsi="Times New Roman" w:cs="Times New Roman"/>
                <w:sz w:val="24"/>
                <w:szCs w:val="24"/>
                <w:shd w:val="clear" w:color="auto" w:fill="FFFFFF"/>
              </w:rPr>
              <w:t>oficiālajā izdevumā "Latvijas Vēstnesis"</w:t>
            </w:r>
            <w:r w:rsidR="00D935EB">
              <w:rPr>
                <w:rFonts w:ascii="Times New Roman" w:hAnsi="Times New Roman" w:cs="Times New Roman"/>
                <w:sz w:val="24"/>
                <w:szCs w:val="24"/>
                <w:shd w:val="clear" w:color="auto" w:fill="FFFFFF"/>
              </w:rPr>
              <w:t xml:space="preserve">, kā arī informācija par noteiktās riska pakāpes apmēru atbilstoši </w:t>
            </w:r>
            <w:r w:rsidR="000C2186">
              <w:rPr>
                <w:rFonts w:ascii="Times New Roman" w:hAnsi="Times New Roman" w:cs="Times New Roman"/>
                <w:sz w:val="24"/>
                <w:szCs w:val="24"/>
                <w:shd w:val="clear" w:color="auto" w:fill="FFFFFF"/>
              </w:rPr>
              <w:t>R</w:t>
            </w:r>
            <w:r w:rsidR="00D935EB">
              <w:rPr>
                <w:rFonts w:ascii="Times New Roman" w:hAnsi="Times New Roman" w:cs="Times New Roman"/>
                <w:sz w:val="24"/>
                <w:szCs w:val="24"/>
                <w:shd w:val="clear" w:color="auto" w:fill="FFFFFF"/>
              </w:rPr>
              <w:t>egulas Nr.</w:t>
            </w:r>
            <w:r w:rsidR="000C2186">
              <w:rPr>
                <w:rFonts w:ascii="Times New Roman" w:hAnsi="Times New Roman" w:cs="Times New Roman"/>
                <w:sz w:val="24"/>
                <w:szCs w:val="24"/>
                <w:shd w:val="clear" w:color="auto" w:fill="FFFFFF"/>
              </w:rPr>
              <w:t> </w:t>
            </w:r>
            <w:r w:rsidR="00D935EB">
              <w:rPr>
                <w:rFonts w:ascii="Times New Roman" w:hAnsi="Times New Roman" w:cs="Times New Roman"/>
                <w:sz w:val="24"/>
                <w:szCs w:val="24"/>
                <w:shd w:val="clear" w:color="auto" w:fill="FFFFFF"/>
              </w:rPr>
              <w:t xml:space="preserve">575/2013 124. pantam tiks publicēta Eiropas Banku iestādes </w:t>
            </w:r>
            <w:r w:rsidR="00601CE0">
              <w:rPr>
                <w:rFonts w:ascii="Times New Roman" w:hAnsi="Times New Roman" w:cs="Times New Roman"/>
                <w:sz w:val="24"/>
                <w:szCs w:val="24"/>
                <w:shd w:val="clear" w:color="auto" w:fill="FFFFFF"/>
              </w:rPr>
              <w:t xml:space="preserve">tīmekļvietnē </w:t>
            </w:r>
            <w:r w:rsidR="00D935EB">
              <w:rPr>
                <w:rFonts w:ascii="Times New Roman" w:hAnsi="Times New Roman" w:cs="Times New Roman"/>
                <w:sz w:val="24"/>
                <w:szCs w:val="24"/>
                <w:shd w:val="clear" w:color="auto" w:fill="FFFFFF"/>
              </w:rPr>
              <w:t xml:space="preserve">un </w:t>
            </w:r>
            <w:r w:rsidR="002E35C4" w:rsidRPr="002E35C4">
              <w:rPr>
                <w:rFonts w:ascii="Times New Roman" w:hAnsi="Times New Roman" w:cs="Times New Roman"/>
                <w:sz w:val="24"/>
                <w:szCs w:val="24"/>
                <w:shd w:val="clear" w:color="auto" w:fill="FFFFFF"/>
              </w:rPr>
              <w:t>Eiropas Sistēmisko risku kolēģija</w:t>
            </w:r>
            <w:r w:rsidR="002E35C4">
              <w:rPr>
                <w:rFonts w:ascii="Times New Roman" w:hAnsi="Times New Roman" w:cs="Times New Roman"/>
                <w:sz w:val="24"/>
                <w:szCs w:val="24"/>
                <w:shd w:val="clear" w:color="auto" w:fill="FFFFFF"/>
              </w:rPr>
              <w:t>s</w:t>
            </w:r>
            <w:r w:rsidR="00D935EB">
              <w:rPr>
                <w:rFonts w:ascii="Times New Roman" w:hAnsi="Times New Roman" w:cs="Times New Roman"/>
                <w:sz w:val="24"/>
                <w:szCs w:val="24"/>
                <w:shd w:val="clear" w:color="auto" w:fill="FFFFFF"/>
              </w:rPr>
              <w:t xml:space="preserve"> tīmekļvietnē.</w:t>
            </w:r>
          </w:p>
        </w:tc>
      </w:tr>
      <w:tr w:rsidR="00A61684" w:rsidRPr="00A61684" w14:paraId="7FF36E12" w14:textId="77777777" w:rsidTr="003A2DF0">
        <w:tc>
          <w:tcPr>
            <w:tcW w:w="2547" w:type="dxa"/>
          </w:tcPr>
          <w:p w14:paraId="486EBB70" w14:textId="66ADACDF" w:rsidR="00822148" w:rsidRPr="003F22A4" w:rsidRDefault="009E6A95" w:rsidP="00B74AB9">
            <w:pPr>
              <w:rPr>
                <w:rFonts w:ascii="Times New Roman" w:hAnsi="Times New Roman" w:cs="Times New Roman"/>
                <w:b/>
                <w:bCs/>
                <w:sz w:val="24"/>
                <w:szCs w:val="24"/>
              </w:rPr>
            </w:pPr>
            <w:r w:rsidRPr="003F22A4">
              <w:rPr>
                <w:rFonts w:ascii="Times New Roman" w:hAnsi="Times New Roman" w:cs="Times New Roman"/>
                <w:b/>
                <w:bCs/>
                <w:sz w:val="24"/>
                <w:szCs w:val="24"/>
              </w:rPr>
              <w:lastRenderedPageBreak/>
              <w:t>Leģitīmais mērķis</w:t>
            </w:r>
          </w:p>
        </w:tc>
        <w:tc>
          <w:tcPr>
            <w:tcW w:w="5812" w:type="dxa"/>
            <w:shd w:val="clear" w:color="auto" w:fill="auto"/>
          </w:tcPr>
          <w:p w14:paraId="6CBE823A" w14:textId="79987B62" w:rsidR="009E6A95" w:rsidRPr="00997819" w:rsidRDefault="00954061" w:rsidP="003A2DF0">
            <w:pPr>
              <w:jc w:val="both"/>
              <w:rPr>
                <w:rFonts w:ascii="Times New Roman" w:hAnsi="Times New Roman" w:cs="Times New Roman"/>
                <w:sz w:val="24"/>
                <w:szCs w:val="24"/>
              </w:rPr>
            </w:pPr>
            <w:r w:rsidRPr="00997819">
              <w:rPr>
                <w:rFonts w:ascii="Times New Roman" w:hAnsi="Times New Roman" w:cs="Times New Roman"/>
                <w:sz w:val="24"/>
                <w:szCs w:val="24"/>
              </w:rPr>
              <w:t>Noteikumu projekts nepieciešams, lai veicinātu vienotu tirgus dalībnieku izpratni un pieeju regulējošo prasību interpretācijai un piemērošanai</w:t>
            </w:r>
            <w:r w:rsidR="00787487" w:rsidRPr="00997819">
              <w:rPr>
                <w:rFonts w:ascii="Times New Roman" w:hAnsi="Times New Roman" w:cs="Times New Roman"/>
                <w:sz w:val="24"/>
                <w:szCs w:val="24"/>
              </w:rPr>
              <w:t xml:space="preserve"> attiecībā uz </w:t>
            </w:r>
            <w:r w:rsidR="000C2186">
              <w:rPr>
                <w:rFonts w:ascii="Times New Roman" w:hAnsi="Times New Roman" w:cs="Times New Roman"/>
                <w:sz w:val="24"/>
                <w:szCs w:val="24"/>
              </w:rPr>
              <w:t>R</w:t>
            </w:r>
            <w:r w:rsidR="007A52B9" w:rsidRPr="00997819">
              <w:rPr>
                <w:rFonts w:ascii="Times New Roman" w:hAnsi="Times New Roman" w:cs="Times New Roman"/>
                <w:sz w:val="24"/>
                <w:szCs w:val="24"/>
              </w:rPr>
              <w:t>egulā Nr.</w:t>
            </w:r>
            <w:r w:rsidR="001947DB">
              <w:rPr>
                <w:rFonts w:ascii="Times New Roman" w:hAnsi="Times New Roman" w:cs="Times New Roman"/>
                <w:sz w:val="24"/>
                <w:szCs w:val="24"/>
              </w:rPr>
              <w:t> </w:t>
            </w:r>
            <w:r w:rsidR="007A52B9" w:rsidRPr="00997819">
              <w:rPr>
                <w:rFonts w:ascii="Times New Roman" w:hAnsi="Times New Roman" w:cs="Times New Roman"/>
                <w:sz w:val="24"/>
                <w:szCs w:val="24"/>
              </w:rPr>
              <w:t xml:space="preserve">575/2013 un </w:t>
            </w:r>
            <w:r w:rsidR="000C2186">
              <w:rPr>
                <w:rFonts w:ascii="Times New Roman" w:hAnsi="Times New Roman" w:cs="Times New Roman"/>
                <w:sz w:val="24"/>
                <w:szCs w:val="24"/>
              </w:rPr>
              <w:t>D</w:t>
            </w:r>
            <w:r w:rsidR="007A52B9" w:rsidRPr="00997819">
              <w:rPr>
                <w:rFonts w:ascii="Times New Roman" w:hAnsi="Times New Roman" w:cs="Times New Roman"/>
                <w:sz w:val="24"/>
                <w:szCs w:val="24"/>
              </w:rPr>
              <w:t>eleģēt</w:t>
            </w:r>
            <w:r w:rsidR="00A20C44">
              <w:rPr>
                <w:rFonts w:ascii="Times New Roman" w:hAnsi="Times New Roman" w:cs="Times New Roman"/>
                <w:sz w:val="24"/>
                <w:szCs w:val="24"/>
              </w:rPr>
              <w:t>aj</w:t>
            </w:r>
            <w:r w:rsidR="007A52B9" w:rsidRPr="00997819">
              <w:rPr>
                <w:rFonts w:ascii="Times New Roman" w:hAnsi="Times New Roman" w:cs="Times New Roman"/>
                <w:sz w:val="24"/>
                <w:szCs w:val="24"/>
              </w:rPr>
              <w:t xml:space="preserve">ā regulā </w:t>
            </w:r>
            <w:r w:rsidR="000C2186">
              <w:rPr>
                <w:rFonts w:ascii="Times New Roman" w:hAnsi="Times New Roman" w:cs="Times New Roman"/>
                <w:sz w:val="24"/>
                <w:szCs w:val="24"/>
              </w:rPr>
              <w:t>Nr. </w:t>
            </w:r>
            <w:r w:rsidR="007A52B9" w:rsidRPr="00997819">
              <w:rPr>
                <w:rFonts w:ascii="Times New Roman" w:hAnsi="Times New Roman" w:cs="Times New Roman"/>
                <w:sz w:val="24"/>
                <w:szCs w:val="24"/>
              </w:rPr>
              <w:t>2015/61 (turpmāk</w:t>
            </w:r>
            <w:r w:rsidR="000C2186">
              <w:rPr>
                <w:rFonts w:ascii="Times New Roman" w:hAnsi="Times New Roman" w:cs="Times New Roman"/>
                <w:sz w:val="24"/>
                <w:szCs w:val="24"/>
              </w:rPr>
              <w:t> </w:t>
            </w:r>
            <w:r w:rsidR="007A52B9" w:rsidRPr="00997819">
              <w:rPr>
                <w:rFonts w:ascii="Times New Roman" w:hAnsi="Times New Roman" w:cs="Times New Roman"/>
                <w:sz w:val="24"/>
                <w:szCs w:val="24"/>
              </w:rPr>
              <w:t>–</w:t>
            </w:r>
            <w:r w:rsidR="00A20C44">
              <w:rPr>
                <w:rFonts w:ascii="Times New Roman" w:hAnsi="Times New Roman" w:cs="Times New Roman"/>
                <w:sz w:val="24"/>
                <w:szCs w:val="24"/>
              </w:rPr>
              <w:t xml:space="preserve"> </w:t>
            </w:r>
            <w:r w:rsidR="003A2DF0" w:rsidRPr="00997819">
              <w:rPr>
                <w:rFonts w:ascii="Times New Roman" w:hAnsi="Times New Roman" w:cs="Times New Roman"/>
                <w:sz w:val="24"/>
                <w:szCs w:val="24"/>
              </w:rPr>
              <w:t xml:space="preserve">tieši </w:t>
            </w:r>
            <w:r w:rsidR="007A52B9" w:rsidRPr="00997819">
              <w:rPr>
                <w:rFonts w:ascii="Times New Roman" w:hAnsi="Times New Roman" w:cs="Times New Roman"/>
                <w:sz w:val="24"/>
                <w:szCs w:val="24"/>
              </w:rPr>
              <w:t xml:space="preserve">piemērojamie </w:t>
            </w:r>
            <w:r w:rsidR="00A20C44">
              <w:rPr>
                <w:rFonts w:ascii="Times New Roman" w:hAnsi="Times New Roman" w:cs="Times New Roman"/>
                <w:sz w:val="24"/>
                <w:szCs w:val="24"/>
              </w:rPr>
              <w:t xml:space="preserve">Eiropas Savienības </w:t>
            </w:r>
            <w:r w:rsidR="003A2DF0" w:rsidRPr="00997819">
              <w:rPr>
                <w:rFonts w:ascii="Times New Roman" w:hAnsi="Times New Roman" w:cs="Times New Roman"/>
                <w:sz w:val="24"/>
                <w:szCs w:val="24"/>
              </w:rPr>
              <w:t>tiesību akt</w:t>
            </w:r>
            <w:r w:rsidR="007A52B9" w:rsidRPr="00997819">
              <w:rPr>
                <w:rFonts w:ascii="Times New Roman" w:hAnsi="Times New Roman" w:cs="Times New Roman"/>
                <w:sz w:val="24"/>
                <w:szCs w:val="24"/>
              </w:rPr>
              <w:t xml:space="preserve">i) </w:t>
            </w:r>
            <w:r w:rsidR="00C92804" w:rsidRPr="00997819">
              <w:rPr>
                <w:rFonts w:ascii="Times New Roman" w:hAnsi="Times New Roman" w:cs="Times New Roman"/>
                <w:sz w:val="24"/>
                <w:szCs w:val="24"/>
              </w:rPr>
              <w:t>paredzēt</w:t>
            </w:r>
            <w:r w:rsidR="003A2DF0" w:rsidRPr="00997819">
              <w:rPr>
                <w:rFonts w:ascii="Times New Roman" w:hAnsi="Times New Roman" w:cs="Times New Roman"/>
                <w:sz w:val="24"/>
                <w:szCs w:val="24"/>
              </w:rPr>
              <w:t>o</w:t>
            </w:r>
            <w:r w:rsidR="00C92804" w:rsidRPr="00997819">
              <w:rPr>
                <w:rFonts w:ascii="Times New Roman" w:hAnsi="Times New Roman" w:cs="Times New Roman"/>
                <w:sz w:val="24"/>
                <w:szCs w:val="24"/>
              </w:rPr>
              <w:t xml:space="preserve"> izvēles iespēj</w:t>
            </w:r>
            <w:r w:rsidR="003A2DF0" w:rsidRPr="00997819">
              <w:rPr>
                <w:rFonts w:ascii="Times New Roman" w:hAnsi="Times New Roman" w:cs="Times New Roman"/>
                <w:sz w:val="24"/>
                <w:szCs w:val="24"/>
              </w:rPr>
              <w:t>u</w:t>
            </w:r>
            <w:r w:rsidR="00C92804" w:rsidRPr="00997819">
              <w:rPr>
                <w:rFonts w:ascii="Times New Roman" w:hAnsi="Times New Roman" w:cs="Times New Roman"/>
                <w:sz w:val="24"/>
                <w:szCs w:val="24"/>
              </w:rPr>
              <w:t xml:space="preserve"> piemērošan</w:t>
            </w:r>
            <w:r w:rsidR="003A2DF0" w:rsidRPr="00997819">
              <w:rPr>
                <w:rFonts w:ascii="Times New Roman" w:hAnsi="Times New Roman" w:cs="Times New Roman"/>
                <w:sz w:val="24"/>
                <w:szCs w:val="24"/>
              </w:rPr>
              <w:t>u Latvijas Republikā</w:t>
            </w:r>
            <w:r w:rsidRPr="00997819">
              <w:rPr>
                <w:rFonts w:ascii="Times New Roman" w:hAnsi="Times New Roman" w:cs="Times New Roman"/>
                <w:sz w:val="24"/>
                <w:szCs w:val="24"/>
              </w:rPr>
              <w:t xml:space="preserve">.  </w:t>
            </w:r>
          </w:p>
          <w:p w14:paraId="5B199845" w14:textId="0941DB6B" w:rsidR="005A6E97" w:rsidRPr="00F5604D" w:rsidRDefault="005A6E97" w:rsidP="003A2DF0">
            <w:pPr>
              <w:jc w:val="both"/>
              <w:rPr>
                <w:rFonts w:ascii="Times New Roman" w:hAnsi="Times New Roman" w:cs="Times New Roman"/>
                <w:color w:val="FF0000"/>
                <w:sz w:val="24"/>
                <w:szCs w:val="24"/>
                <w:highlight w:val="yellow"/>
              </w:rPr>
            </w:pPr>
            <w:r w:rsidRPr="00997819">
              <w:rPr>
                <w:rFonts w:ascii="Times New Roman" w:hAnsi="Times New Roman" w:cs="Times New Roman"/>
                <w:sz w:val="24"/>
                <w:szCs w:val="24"/>
              </w:rPr>
              <w:t>Noteikumu projekts ir izstrādāts, lai nodrošinātu</w:t>
            </w:r>
            <w:r w:rsidR="00E3388B" w:rsidRPr="00997819">
              <w:t xml:space="preserve"> </w:t>
            </w:r>
            <w:r w:rsidR="000266E8">
              <w:rPr>
                <w:rFonts w:ascii="Times New Roman" w:hAnsi="Times New Roman" w:cs="Times New Roman"/>
                <w:sz w:val="24"/>
                <w:szCs w:val="24"/>
              </w:rPr>
              <w:t>tieši piemērojamajos</w:t>
            </w:r>
            <w:r w:rsidR="00A20C44">
              <w:rPr>
                <w:rFonts w:ascii="Times New Roman" w:hAnsi="Times New Roman" w:cs="Times New Roman"/>
                <w:sz w:val="24"/>
                <w:szCs w:val="24"/>
              </w:rPr>
              <w:t xml:space="preserve"> Eiropas Savienības</w:t>
            </w:r>
            <w:r w:rsidR="000266E8">
              <w:rPr>
                <w:rFonts w:ascii="Times New Roman" w:hAnsi="Times New Roman" w:cs="Times New Roman"/>
                <w:sz w:val="24"/>
                <w:szCs w:val="24"/>
              </w:rPr>
              <w:t xml:space="preserve"> tiesību aktos</w:t>
            </w:r>
            <w:r w:rsidR="0098262B" w:rsidRPr="00997819">
              <w:rPr>
                <w:rFonts w:ascii="Times New Roman" w:hAnsi="Times New Roman" w:cs="Times New Roman"/>
                <w:sz w:val="24"/>
                <w:szCs w:val="24"/>
              </w:rPr>
              <w:t xml:space="preserve"> paredzēto izvēles iespēju piemērošanu Latvijas Republikā</w:t>
            </w:r>
            <w:r w:rsidR="009105C7">
              <w:rPr>
                <w:rFonts w:ascii="Times New Roman" w:hAnsi="Times New Roman" w:cs="Times New Roman"/>
                <w:sz w:val="24"/>
                <w:szCs w:val="24"/>
              </w:rPr>
              <w:t xml:space="preserve">, ņemot vērā </w:t>
            </w:r>
            <w:r w:rsidR="009105C7" w:rsidRPr="009105C7">
              <w:rPr>
                <w:rFonts w:ascii="Times New Roman" w:hAnsi="Times New Roman" w:cs="Times New Roman"/>
                <w:sz w:val="24"/>
                <w:szCs w:val="24"/>
              </w:rPr>
              <w:t xml:space="preserve">ECB </w:t>
            </w:r>
            <w:r w:rsidR="00A20C44">
              <w:rPr>
                <w:rFonts w:ascii="Times New Roman" w:hAnsi="Times New Roman" w:cs="Times New Roman"/>
                <w:sz w:val="24"/>
                <w:szCs w:val="24"/>
              </w:rPr>
              <w:t>p</w:t>
            </w:r>
            <w:r w:rsidR="009105C7" w:rsidRPr="009105C7">
              <w:rPr>
                <w:rFonts w:ascii="Times New Roman" w:hAnsi="Times New Roman" w:cs="Times New Roman"/>
                <w:sz w:val="24"/>
                <w:szCs w:val="24"/>
              </w:rPr>
              <w:t>amatnostādn</w:t>
            </w:r>
            <w:r w:rsidR="009105C7">
              <w:rPr>
                <w:rFonts w:ascii="Times New Roman" w:hAnsi="Times New Roman" w:cs="Times New Roman"/>
                <w:sz w:val="24"/>
                <w:szCs w:val="24"/>
              </w:rPr>
              <w:t>ē</w:t>
            </w:r>
            <w:r w:rsidR="009105C7" w:rsidRPr="009105C7">
              <w:rPr>
                <w:rFonts w:ascii="Times New Roman" w:hAnsi="Times New Roman" w:cs="Times New Roman"/>
                <w:sz w:val="24"/>
                <w:szCs w:val="24"/>
              </w:rPr>
              <w:t xml:space="preserve"> </w:t>
            </w:r>
            <w:r w:rsidR="000C2186">
              <w:rPr>
                <w:rFonts w:ascii="Times New Roman" w:hAnsi="Times New Roman" w:cs="Times New Roman"/>
                <w:sz w:val="24"/>
                <w:szCs w:val="24"/>
              </w:rPr>
              <w:t>Nr. </w:t>
            </w:r>
            <w:r w:rsidR="009105C7" w:rsidRPr="009105C7">
              <w:rPr>
                <w:rFonts w:ascii="Times New Roman" w:hAnsi="Times New Roman" w:cs="Times New Roman"/>
                <w:sz w:val="24"/>
                <w:szCs w:val="24"/>
              </w:rPr>
              <w:t>2017/697</w:t>
            </w:r>
            <w:r w:rsidR="009105C7">
              <w:rPr>
                <w:rFonts w:ascii="Times New Roman" w:hAnsi="Times New Roman" w:cs="Times New Roman"/>
                <w:sz w:val="24"/>
                <w:szCs w:val="24"/>
              </w:rPr>
              <w:t xml:space="preserve"> un</w:t>
            </w:r>
            <w:r w:rsidR="009105C7">
              <w:t xml:space="preserve"> </w:t>
            </w:r>
            <w:r w:rsidR="009105C7" w:rsidRPr="009105C7">
              <w:rPr>
                <w:rFonts w:ascii="Times New Roman" w:hAnsi="Times New Roman" w:cs="Times New Roman"/>
                <w:sz w:val="24"/>
                <w:szCs w:val="24"/>
              </w:rPr>
              <w:t xml:space="preserve">ECB </w:t>
            </w:r>
            <w:r w:rsidR="00A20C44">
              <w:rPr>
                <w:rFonts w:ascii="Times New Roman" w:hAnsi="Times New Roman" w:cs="Times New Roman"/>
                <w:sz w:val="24"/>
                <w:szCs w:val="24"/>
              </w:rPr>
              <w:t>p</w:t>
            </w:r>
            <w:r w:rsidR="009105C7" w:rsidRPr="009105C7">
              <w:rPr>
                <w:rFonts w:ascii="Times New Roman" w:hAnsi="Times New Roman" w:cs="Times New Roman"/>
                <w:sz w:val="24"/>
                <w:szCs w:val="24"/>
              </w:rPr>
              <w:t>amatnostādn</w:t>
            </w:r>
            <w:r w:rsidR="009105C7">
              <w:rPr>
                <w:rFonts w:ascii="Times New Roman" w:hAnsi="Times New Roman" w:cs="Times New Roman"/>
                <w:sz w:val="24"/>
                <w:szCs w:val="24"/>
              </w:rPr>
              <w:t>ē</w:t>
            </w:r>
            <w:r w:rsidR="009105C7" w:rsidRPr="009105C7">
              <w:rPr>
                <w:rFonts w:ascii="Times New Roman" w:hAnsi="Times New Roman" w:cs="Times New Roman"/>
                <w:sz w:val="24"/>
                <w:szCs w:val="24"/>
              </w:rPr>
              <w:t xml:space="preserve"> </w:t>
            </w:r>
            <w:r w:rsidR="000C2186">
              <w:rPr>
                <w:rFonts w:ascii="Times New Roman" w:hAnsi="Times New Roman" w:cs="Times New Roman"/>
                <w:sz w:val="24"/>
                <w:szCs w:val="24"/>
              </w:rPr>
              <w:t>Nr. </w:t>
            </w:r>
            <w:r w:rsidR="009105C7" w:rsidRPr="009105C7">
              <w:rPr>
                <w:rFonts w:ascii="Times New Roman" w:hAnsi="Times New Roman" w:cs="Times New Roman"/>
                <w:sz w:val="24"/>
                <w:szCs w:val="24"/>
              </w:rPr>
              <w:t>2022/697</w:t>
            </w:r>
            <w:r w:rsidR="009105C7">
              <w:rPr>
                <w:rFonts w:ascii="Times New Roman" w:hAnsi="Times New Roman" w:cs="Times New Roman"/>
                <w:sz w:val="24"/>
                <w:szCs w:val="24"/>
              </w:rPr>
              <w:t xml:space="preserve"> noteikto</w:t>
            </w:r>
            <w:r w:rsidR="009105C7">
              <w:t xml:space="preserve"> </w:t>
            </w:r>
            <w:r w:rsidR="009105C7" w:rsidRPr="009105C7">
              <w:rPr>
                <w:rFonts w:ascii="Times New Roman" w:hAnsi="Times New Roman" w:cs="Times New Roman"/>
                <w:sz w:val="24"/>
                <w:szCs w:val="24"/>
              </w:rPr>
              <w:t>vienot</w:t>
            </w:r>
            <w:r w:rsidR="009105C7">
              <w:rPr>
                <w:rFonts w:ascii="Times New Roman" w:hAnsi="Times New Roman" w:cs="Times New Roman"/>
                <w:sz w:val="24"/>
                <w:szCs w:val="24"/>
              </w:rPr>
              <w:t>o</w:t>
            </w:r>
            <w:r w:rsidR="009105C7" w:rsidRPr="009105C7">
              <w:rPr>
                <w:rFonts w:ascii="Times New Roman" w:hAnsi="Times New Roman" w:cs="Times New Roman"/>
                <w:sz w:val="24"/>
                <w:szCs w:val="24"/>
              </w:rPr>
              <w:t xml:space="preserve"> pieeju </w:t>
            </w:r>
            <w:r w:rsidR="000266E8">
              <w:rPr>
                <w:rFonts w:ascii="Times New Roman" w:hAnsi="Times New Roman" w:cs="Times New Roman"/>
                <w:sz w:val="24"/>
                <w:szCs w:val="24"/>
              </w:rPr>
              <w:t xml:space="preserve">tieši piemērojamajos </w:t>
            </w:r>
            <w:r w:rsidR="00A20C44">
              <w:rPr>
                <w:rFonts w:ascii="Times New Roman" w:hAnsi="Times New Roman" w:cs="Times New Roman"/>
                <w:sz w:val="24"/>
                <w:szCs w:val="24"/>
              </w:rPr>
              <w:t xml:space="preserve">Eiropas Savienības </w:t>
            </w:r>
            <w:r w:rsidR="000266E8">
              <w:rPr>
                <w:rFonts w:ascii="Times New Roman" w:hAnsi="Times New Roman" w:cs="Times New Roman"/>
                <w:sz w:val="24"/>
                <w:szCs w:val="24"/>
              </w:rPr>
              <w:t>tiesību aktos</w:t>
            </w:r>
            <w:r w:rsidR="009105C7" w:rsidRPr="009105C7">
              <w:rPr>
                <w:rFonts w:ascii="Times New Roman" w:hAnsi="Times New Roman" w:cs="Times New Roman"/>
                <w:sz w:val="24"/>
                <w:szCs w:val="24"/>
              </w:rPr>
              <w:t xml:space="preserve"> paredzēto izvēles iespēju piemērošanai Vienotajā uzraudzības mehānismā iesaistītajās dalībvalstīs</w:t>
            </w:r>
            <w:r w:rsidR="0098262B" w:rsidRPr="00997819">
              <w:rPr>
                <w:rFonts w:ascii="Times New Roman" w:hAnsi="Times New Roman" w:cs="Times New Roman"/>
                <w:sz w:val="24"/>
                <w:szCs w:val="24"/>
              </w:rPr>
              <w:t>.</w:t>
            </w:r>
          </w:p>
        </w:tc>
      </w:tr>
      <w:tr w:rsidR="00A61684" w:rsidRPr="00A61684" w14:paraId="1F6AF38A" w14:textId="77777777" w:rsidTr="004D7D20">
        <w:tc>
          <w:tcPr>
            <w:tcW w:w="2547" w:type="dxa"/>
          </w:tcPr>
          <w:p w14:paraId="5B2AC1B8" w14:textId="2F4B9FD5" w:rsidR="00822148" w:rsidRPr="003F22A4" w:rsidRDefault="009E6A95" w:rsidP="00822148">
            <w:pPr>
              <w:jc w:val="both"/>
              <w:rPr>
                <w:rFonts w:ascii="Times New Roman" w:hAnsi="Times New Roman" w:cs="Times New Roman"/>
                <w:b/>
                <w:bCs/>
                <w:color w:val="FF0000"/>
                <w:sz w:val="24"/>
                <w:szCs w:val="24"/>
              </w:rPr>
            </w:pPr>
            <w:r w:rsidRPr="003F22A4">
              <w:rPr>
                <w:rFonts w:ascii="Times New Roman" w:hAnsi="Times New Roman" w:cs="Times New Roman"/>
                <w:b/>
                <w:bCs/>
                <w:sz w:val="24"/>
                <w:szCs w:val="24"/>
              </w:rPr>
              <w:t>Samērīgums</w:t>
            </w:r>
          </w:p>
        </w:tc>
        <w:tc>
          <w:tcPr>
            <w:tcW w:w="5812" w:type="dxa"/>
          </w:tcPr>
          <w:p w14:paraId="34FBE82D" w14:textId="22A738C6" w:rsidR="00E4740D" w:rsidRDefault="000266E8" w:rsidP="00786B1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7A52B9" w:rsidRPr="00997819">
              <w:rPr>
                <w:rFonts w:ascii="Times New Roman" w:eastAsia="Times New Roman" w:hAnsi="Times New Roman" w:cs="Times New Roman"/>
                <w:sz w:val="24"/>
                <w:szCs w:val="24"/>
              </w:rPr>
              <w:t xml:space="preserve">ieši piemērojamie </w:t>
            </w:r>
            <w:r w:rsidR="00A20C44">
              <w:rPr>
                <w:rFonts w:ascii="Times New Roman" w:eastAsia="Times New Roman" w:hAnsi="Times New Roman" w:cs="Times New Roman"/>
                <w:sz w:val="24"/>
                <w:szCs w:val="24"/>
              </w:rPr>
              <w:t xml:space="preserve">Eiropas Savienības </w:t>
            </w:r>
            <w:r w:rsidR="00DF1E5D">
              <w:rPr>
                <w:rFonts w:ascii="Times New Roman" w:eastAsia="Times New Roman" w:hAnsi="Times New Roman" w:cs="Times New Roman"/>
                <w:sz w:val="24"/>
                <w:szCs w:val="24"/>
              </w:rPr>
              <w:t xml:space="preserve">tiesību </w:t>
            </w:r>
            <w:r w:rsidR="007A52B9" w:rsidRPr="00997819">
              <w:rPr>
                <w:rFonts w:ascii="Times New Roman" w:eastAsia="Times New Roman" w:hAnsi="Times New Roman" w:cs="Times New Roman"/>
                <w:sz w:val="24"/>
                <w:szCs w:val="24"/>
              </w:rPr>
              <w:t>akti paredz izvēles iespējas attiecībā uz prudenciālo prasību noteikšanu šo tiesību aktu noteikumu piemērošan</w:t>
            </w:r>
            <w:r w:rsidR="00601CE0">
              <w:rPr>
                <w:rFonts w:ascii="Times New Roman" w:eastAsia="Times New Roman" w:hAnsi="Times New Roman" w:cs="Times New Roman"/>
                <w:sz w:val="24"/>
                <w:szCs w:val="24"/>
              </w:rPr>
              <w:t>ai</w:t>
            </w:r>
            <w:r w:rsidR="007A52B9" w:rsidRPr="00997819">
              <w:rPr>
                <w:rFonts w:ascii="Times New Roman" w:eastAsia="Times New Roman" w:hAnsi="Times New Roman" w:cs="Times New Roman"/>
                <w:sz w:val="24"/>
                <w:szCs w:val="24"/>
              </w:rPr>
              <w:t>, kā arī paredz pienākumu Latvijas Bankai noteikt minētaj</w:t>
            </w:r>
            <w:r w:rsidR="00695650" w:rsidRPr="00997819">
              <w:rPr>
                <w:rFonts w:ascii="Times New Roman" w:eastAsia="Times New Roman" w:hAnsi="Times New Roman" w:cs="Times New Roman"/>
                <w:sz w:val="24"/>
                <w:szCs w:val="24"/>
              </w:rPr>
              <w:t>os</w:t>
            </w:r>
            <w:r w:rsidR="007A52B9" w:rsidRPr="00997819">
              <w:rPr>
                <w:rFonts w:ascii="Times New Roman" w:eastAsia="Times New Roman" w:hAnsi="Times New Roman" w:cs="Times New Roman"/>
                <w:sz w:val="24"/>
                <w:szCs w:val="24"/>
              </w:rPr>
              <w:t xml:space="preserve"> </w:t>
            </w:r>
            <w:r w:rsidR="00695650" w:rsidRPr="00997819">
              <w:rPr>
                <w:rFonts w:ascii="Times New Roman" w:eastAsia="Times New Roman" w:hAnsi="Times New Roman" w:cs="Times New Roman"/>
                <w:sz w:val="24"/>
                <w:szCs w:val="24"/>
              </w:rPr>
              <w:t>tiesību aktos</w:t>
            </w:r>
            <w:r w:rsidR="007A52B9" w:rsidRPr="00997819">
              <w:rPr>
                <w:rFonts w:ascii="Times New Roman" w:eastAsia="Times New Roman" w:hAnsi="Times New Roman" w:cs="Times New Roman"/>
                <w:sz w:val="24"/>
                <w:szCs w:val="24"/>
              </w:rPr>
              <w:t xml:space="preserve"> paredzēto izvēles iespēju piemērošanu Latvijas Republikā.</w:t>
            </w:r>
            <w:r w:rsidR="00820D87">
              <w:rPr>
                <w:rFonts w:ascii="Times New Roman" w:eastAsia="Times New Roman" w:hAnsi="Times New Roman" w:cs="Times New Roman"/>
                <w:sz w:val="24"/>
                <w:szCs w:val="24"/>
              </w:rPr>
              <w:t xml:space="preserve"> </w:t>
            </w:r>
          </w:p>
          <w:p w14:paraId="35CF8CD1" w14:textId="77777777" w:rsidR="00B02A6D" w:rsidRDefault="00B02A6D" w:rsidP="00786B14">
            <w:pPr>
              <w:jc w:val="both"/>
              <w:rPr>
                <w:rFonts w:ascii="Times New Roman" w:eastAsia="Times New Roman" w:hAnsi="Times New Roman" w:cs="Times New Roman"/>
                <w:sz w:val="24"/>
                <w:szCs w:val="24"/>
              </w:rPr>
            </w:pPr>
          </w:p>
          <w:p w14:paraId="5DC9B70C" w14:textId="71B7DE14" w:rsidR="00820D87" w:rsidRDefault="001356E5" w:rsidP="00786B1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820D87">
              <w:rPr>
                <w:rFonts w:ascii="Times New Roman" w:eastAsia="Times New Roman" w:hAnsi="Times New Roman" w:cs="Times New Roman"/>
                <w:sz w:val="24"/>
                <w:szCs w:val="24"/>
              </w:rPr>
              <w:t>inētās izvēles iespējas</w:t>
            </w:r>
            <w:r>
              <w:rPr>
                <w:rFonts w:ascii="Times New Roman" w:eastAsia="Times New Roman" w:hAnsi="Times New Roman" w:cs="Times New Roman"/>
                <w:sz w:val="24"/>
                <w:szCs w:val="24"/>
              </w:rPr>
              <w:t xml:space="preserve"> noteiktas, ņemot vērā Latvijas Bankai saistošo </w:t>
            </w:r>
            <w:r w:rsidRPr="001356E5">
              <w:rPr>
                <w:rFonts w:ascii="Times New Roman" w:eastAsia="Times New Roman" w:hAnsi="Times New Roman" w:cs="Times New Roman"/>
                <w:sz w:val="24"/>
                <w:szCs w:val="24"/>
              </w:rPr>
              <w:t xml:space="preserve">ECB pamatnostādni </w:t>
            </w:r>
            <w:r w:rsidR="000C2186">
              <w:rPr>
                <w:rFonts w:ascii="Times New Roman" w:eastAsia="Times New Roman" w:hAnsi="Times New Roman" w:cs="Times New Roman"/>
                <w:sz w:val="24"/>
                <w:szCs w:val="24"/>
              </w:rPr>
              <w:t>Nr. </w:t>
            </w:r>
            <w:r w:rsidRPr="001356E5">
              <w:rPr>
                <w:rFonts w:ascii="Times New Roman" w:eastAsia="Times New Roman" w:hAnsi="Times New Roman" w:cs="Times New Roman"/>
                <w:sz w:val="24"/>
                <w:szCs w:val="24"/>
              </w:rPr>
              <w:t xml:space="preserve">2017/697 un ECB pamatnostādni </w:t>
            </w:r>
            <w:r w:rsidR="000C2186">
              <w:rPr>
                <w:rFonts w:ascii="Times New Roman" w:eastAsia="Times New Roman" w:hAnsi="Times New Roman" w:cs="Times New Roman"/>
                <w:sz w:val="24"/>
                <w:szCs w:val="24"/>
              </w:rPr>
              <w:t>Nr. </w:t>
            </w:r>
            <w:r w:rsidRPr="001356E5">
              <w:rPr>
                <w:rFonts w:ascii="Times New Roman" w:eastAsia="Times New Roman" w:hAnsi="Times New Roman" w:cs="Times New Roman"/>
                <w:sz w:val="24"/>
                <w:szCs w:val="24"/>
              </w:rPr>
              <w:t>2022/508</w:t>
            </w:r>
            <w:r>
              <w:rPr>
                <w:rFonts w:ascii="Times New Roman" w:eastAsia="Times New Roman" w:hAnsi="Times New Roman" w:cs="Times New Roman"/>
                <w:sz w:val="24"/>
                <w:szCs w:val="24"/>
              </w:rPr>
              <w:t>.</w:t>
            </w:r>
          </w:p>
          <w:p w14:paraId="0C61531C" w14:textId="77777777" w:rsidR="00B02A6D" w:rsidRDefault="00B02A6D" w:rsidP="00786B14">
            <w:pPr>
              <w:jc w:val="both"/>
              <w:rPr>
                <w:rFonts w:ascii="Times New Roman" w:eastAsia="Times New Roman" w:hAnsi="Times New Roman" w:cs="Times New Roman"/>
                <w:sz w:val="24"/>
                <w:szCs w:val="24"/>
              </w:rPr>
            </w:pPr>
          </w:p>
          <w:p w14:paraId="676D2D6E" w14:textId="4A007028" w:rsidR="00DD59EA" w:rsidRDefault="00DD59EA" w:rsidP="00786B14">
            <w:pPr>
              <w:jc w:val="both"/>
              <w:rPr>
                <w:rFonts w:ascii="Times New Roman" w:eastAsia="Times New Roman" w:hAnsi="Times New Roman" w:cs="Times New Roman"/>
                <w:sz w:val="24"/>
                <w:szCs w:val="24"/>
              </w:rPr>
            </w:pPr>
            <w:r w:rsidRPr="00997819">
              <w:rPr>
                <w:rFonts w:ascii="Times New Roman" w:eastAsia="Times New Roman" w:hAnsi="Times New Roman" w:cs="Times New Roman"/>
                <w:sz w:val="24"/>
                <w:szCs w:val="24"/>
              </w:rPr>
              <w:lastRenderedPageBreak/>
              <w:t xml:space="preserve">Tiesību norma atbilst samērīguma principam, jo, pirmkārt, ar noteikumu projekta ieviešanu tiek sasniegts leģitīmais mērķis (vienota </w:t>
            </w:r>
            <w:r w:rsidR="007A52B9" w:rsidRPr="00997819">
              <w:rPr>
                <w:rFonts w:ascii="Times New Roman" w:eastAsia="Times New Roman" w:hAnsi="Times New Roman" w:cs="Times New Roman"/>
                <w:sz w:val="24"/>
                <w:szCs w:val="24"/>
              </w:rPr>
              <w:t xml:space="preserve">pieeja </w:t>
            </w:r>
            <w:r w:rsidR="000C0DC9" w:rsidRPr="00997819">
              <w:rPr>
                <w:rFonts w:ascii="Times New Roman" w:eastAsia="Times New Roman" w:hAnsi="Times New Roman" w:cs="Times New Roman"/>
                <w:sz w:val="24"/>
                <w:szCs w:val="24"/>
              </w:rPr>
              <w:t xml:space="preserve">attiecībā uz </w:t>
            </w:r>
            <w:r w:rsidR="007A52B9" w:rsidRPr="00997819">
              <w:rPr>
                <w:rFonts w:ascii="Times New Roman" w:eastAsia="Times New Roman" w:hAnsi="Times New Roman" w:cs="Times New Roman"/>
                <w:sz w:val="24"/>
                <w:szCs w:val="24"/>
              </w:rPr>
              <w:t xml:space="preserve">tieši piemērojamajos </w:t>
            </w:r>
            <w:r w:rsidR="00A20C44">
              <w:rPr>
                <w:rFonts w:ascii="Times New Roman" w:eastAsia="Times New Roman" w:hAnsi="Times New Roman" w:cs="Times New Roman"/>
                <w:sz w:val="24"/>
                <w:szCs w:val="24"/>
              </w:rPr>
              <w:t xml:space="preserve">Eiropas Savienības </w:t>
            </w:r>
            <w:r w:rsidR="007A52B9" w:rsidRPr="00997819">
              <w:rPr>
                <w:rFonts w:ascii="Times New Roman" w:eastAsia="Times New Roman" w:hAnsi="Times New Roman" w:cs="Times New Roman"/>
                <w:sz w:val="24"/>
                <w:szCs w:val="24"/>
              </w:rPr>
              <w:t>tiesību aktos</w:t>
            </w:r>
            <w:r w:rsidR="000C0DC9" w:rsidRPr="00997819">
              <w:rPr>
                <w:rFonts w:ascii="Times New Roman" w:eastAsia="Times New Roman" w:hAnsi="Times New Roman" w:cs="Times New Roman"/>
                <w:sz w:val="24"/>
                <w:szCs w:val="24"/>
              </w:rPr>
              <w:t xml:space="preserve"> paredzēto izvēles iespēju piemērošanu Latvijas Republikā</w:t>
            </w:r>
            <w:r w:rsidRPr="00997819">
              <w:rPr>
                <w:rFonts w:ascii="Times New Roman" w:eastAsia="Times New Roman" w:hAnsi="Times New Roman" w:cs="Times New Roman"/>
                <w:sz w:val="24"/>
                <w:szCs w:val="24"/>
              </w:rPr>
              <w:t xml:space="preserve">). Otrkārt, </w:t>
            </w:r>
            <w:r w:rsidR="000A49BC" w:rsidRPr="00997819">
              <w:rPr>
                <w:rFonts w:ascii="Times New Roman" w:eastAsia="Times New Roman" w:hAnsi="Times New Roman" w:cs="Times New Roman"/>
                <w:sz w:val="24"/>
                <w:szCs w:val="24"/>
              </w:rPr>
              <w:t xml:space="preserve">atbilstošākais </w:t>
            </w:r>
            <w:r w:rsidR="00905C0A" w:rsidRPr="00997819">
              <w:rPr>
                <w:rFonts w:ascii="Times New Roman" w:eastAsia="Times New Roman" w:hAnsi="Times New Roman" w:cs="Times New Roman"/>
                <w:sz w:val="24"/>
                <w:szCs w:val="24"/>
              </w:rPr>
              <w:t xml:space="preserve">veids, kā noteikt </w:t>
            </w:r>
            <w:r w:rsidR="007A52B9" w:rsidRPr="00997819">
              <w:rPr>
                <w:rFonts w:ascii="Times New Roman" w:eastAsia="Times New Roman" w:hAnsi="Times New Roman" w:cs="Times New Roman"/>
                <w:sz w:val="24"/>
                <w:szCs w:val="24"/>
              </w:rPr>
              <w:t xml:space="preserve">tirgus dalībniekiem </w:t>
            </w:r>
            <w:r w:rsidR="00905C0A" w:rsidRPr="00997819">
              <w:rPr>
                <w:rFonts w:ascii="Times New Roman" w:eastAsia="Times New Roman" w:hAnsi="Times New Roman" w:cs="Times New Roman"/>
                <w:sz w:val="24"/>
                <w:szCs w:val="24"/>
              </w:rPr>
              <w:t xml:space="preserve">vienotas </w:t>
            </w:r>
            <w:r w:rsidR="00C92804" w:rsidRPr="00997819">
              <w:rPr>
                <w:rFonts w:ascii="Times New Roman" w:eastAsia="Times New Roman" w:hAnsi="Times New Roman" w:cs="Times New Roman"/>
                <w:sz w:val="24"/>
                <w:szCs w:val="24"/>
              </w:rPr>
              <w:t xml:space="preserve">un saistošas </w:t>
            </w:r>
            <w:r w:rsidR="00905C0A" w:rsidRPr="00997819">
              <w:rPr>
                <w:rFonts w:ascii="Times New Roman" w:eastAsia="Times New Roman" w:hAnsi="Times New Roman" w:cs="Times New Roman"/>
                <w:sz w:val="24"/>
                <w:szCs w:val="24"/>
              </w:rPr>
              <w:t>prasības, tādējādi nodrošinot vienotu tirgus dalībnieku izpratni un pieeju</w:t>
            </w:r>
            <w:r w:rsidR="00C92804" w:rsidRPr="00997819">
              <w:t xml:space="preserve"> </w:t>
            </w:r>
            <w:r w:rsidR="00C92804" w:rsidRPr="00997819">
              <w:rPr>
                <w:rFonts w:ascii="Times New Roman" w:eastAsia="Times New Roman" w:hAnsi="Times New Roman" w:cs="Times New Roman"/>
                <w:sz w:val="24"/>
                <w:szCs w:val="24"/>
              </w:rPr>
              <w:t xml:space="preserve">attiecībā uz </w:t>
            </w:r>
            <w:r w:rsidR="00695650" w:rsidRPr="00997819">
              <w:rPr>
                <w:rFonts w:ascii="Times New Roman" w:eastAsia="Times New Roman" w:hAnsi="Times New Roman" w:cs="Times New Roman"/>
                <w:sz w:val="24"/>
                <w:szCs w:val="24"/>
              </w:rPr>
              <w:t>tieši piemērojamajos</w:t>
            </w:r>
            <w:r w:rsidR="00A20C44">
              <w:rPr>
                <w:rFonts w:ascii="Times New Roman" w:eastAsia="Times New Roman" w:hAnsi="Times New Roman" w:cs="Times New Roman"/>
                <w:sz w:val="24"/>
                <w:szCs w:val="24"/>
              </w:rPr>
              <w:t xml:space="preserve"> Eiropas Savienības</w:t>
            </w:r>
            <w:r w:rsidR="00695650" w:rsidRPr="00997819">
              <w:rPr>
                <w:rFonts w:ascii="Times New Roman" w:eastAsia="Times New Roman" w:hAnsi="Times New Roman" w:cs="Times New Roman"/>
                <w:sz w:val="24"/>
                <w:szCs w:val="24"/>
              </w:rPr>
              <w:t xml:space="preserve"> tiesību aktos</w:t>
            </w:r>
            <w:r w:rsidR="00C92804" w:rsidRPr="00997819">
              <w:rPr>
                <w:rFonts w:ascii="Times New Roman" w:eastAsia="Times New Roman" w:hAnsi="Times New Roman" w:cs="Times New Roman"/>
                <w:sz w:val="24"/>
                <w:szCs w:val="24"/>
              </w:rPr>
              <w:t xml:space="preserve"> paredzēto izvēles iespēju piemērošanu Latvijas Republikā</w:t>
            </w:r>
            <w:r w:rsidR="000A49BC" w:rsidRPr="00997819">
              <w:rPr>
                <w:rFonts w:ascii="Times New Roman" w:eastAsia="Times New Roman" w:hAnsi="Times New Roman" w:cs="Times New Roman"/>
                <w:sz w:val="24"/>
                <w:szCs w:val="24"/>
              </w:rPr>
              <w:t xml:space="preserve">, </w:t>
            </w:r>
            <w:r w:rsidR="00905C0A" w:rsidRPr="00997819">
              <w:rPr>
                <w:rFonts w:ascii="Times New Roman" w:eastAsia="Times New Roman" w:hAnsi="Times New Roman" w:cs="Times New Roman"/>
                <w:sz w:val="24"/>
                <w:szCs w:val="24"/>
              </w:rPr>
              <w:t xml:space="preserve">ir izdot </w:t>
            </w:r>
            <w:r w:rsidR="00695650" w:rsidRPr="00997819">
              <w:rPr>
                <w:rFonts w:ascii="Times New Roman" w:eastAsia="Times New Roman" w:hAnsi="Times New Roman" w:cs="Times New Roman"/>
                <w:sz w:val="24"/>
                <w:szCs w:val="24"/>
              </w:rPr>
              <w:t>tiem</w:t>
            </w:r>
            <w:r w:rsidR="00905C0A" w:rsidRPr="00997819">
              <w:rPr>
                <w:rFonts w:ascii="Times New Roman" w:eastAsia="Times New Roman" w:hAnsi="Times New Roman" w:cs="Times New Roman"/>
                <w:sz w:val="24"/>
                <w:szCs w:val="24"/>
              </w:rPr>
              <w:t xml:space="preserve"> saistošus noteikumus. Citas alternatīvas jautājuma noregulēšanai un vienotu prasību noteikšanai nebūtu efektīvas un nesasniegtu izvirzīto mērķi, jo nenodrošinātu vienveidīgu piemērošanu.</w:t>
            </w:r>
            <w:r w:rsidR="00E66974">
              <w:rPr>
                <w:rFonts w:ascii="Times New Roman" w:eastAsia="Times New Roman" w:hAnsi="Times New Roman" w:cs="Times New Roman"/>
                <w:sz w:val="24"/>
                <w:szCs w:val="24"/>
              </w:rPr>
              <w:t xml:space="preserve"> Turklāt minētās izvēles iespējas ierobežo </w:t>
            </w:r>
            <w:r w:rsidR="00E66974" w:rsidRPr="001356E5">
              <w:rPr>
                <w:rFonts w:ascii="Times New Roman" w:eastAsia="Times New Roman" w:hAnsi="Times New Roman" w:cs="Times New Roman"/>
                <w:sz w:val="24"/>
                <w:szCs w:val="24"/>
              </w:rPr>
              <w:t>ECB pamatnostādn</w:t>
            </w:r>
            <w:r w:rsidR="00E66974">
              <w:rPr>
                <w:rFonts w:ascii="Times New Roman" w:eastAsia="Times New Roman" w:hAnsi="Times New Roman" w:cs="Times New Roman"/>
                <w:sz w:val="24"/>
                <w:szCs w:val="24"/>
              </w:rPr>
              <w:t>e</w:t>
            </w:r>
            <w:r w:rsidR="00E66974" w:rsidRPr="001356E5">
              <w:rPr>
                <w:rFonts w:ascii="Times New Roman" w:eastAsia="Times New Roman" w:hAnsi="Times New Roman" w:cs="Times New Roman"/>
                <w:sz w:val="24"/>
                <w:szCs w:val="24"/>
              </w:rPr>
              <w:t xml:space="preserve"> </w:t>
            </w:r>
            <w:r w:rsidR="000C2186">
              <w:rPr>
                <w:rFonts w:ascii="Times New Roman" w:eastAsia="Times New Roman" w:hAnsi="Times New Roman" w:cs="Times New Roman"/>
                <w:sz w:val="24"/>
                <w:szCs w:val="24"/>
              </w:rPr>
              <w:t>Nr. </w:t>
            </w:r>
            <w:r w:rsidR="00E66974" w:rsidRPr="001356E5">
              <w:rPr>
                <w:rFonts w:ascii="Times New Roman" w:eastAsia="Times New Roman" w:hAnsi="Times New Roman" w:cs="Times New Roman"/>
                <w:sz w:val="24"/>
                <w:szCs w:val="24"/>
              </w:rPr>
              <w:t>2017/697 un ECB pamatnostādn</w:t>
            </w:r>
            <w:r w:rsidR="00E66974">
              <w:rPr>
                <w:rFonts w:ascii="Times New Roman" w:eastAsia="Times New Roman" w:hAnsi="Times New Roman" w:cs="Times New Roman"/>
                <w:sz w:val="24"/>
                <w:szCs w:val="24"/>
              </w:rPr>
              <w:t>e</w:t>
            </w:r>
            <w:r w:rsidR="00E66974" w:rsidRPr="001356E5">
              <w:rPr>
                <w:rFonts w:ascii="Times New Roman" w:eastAsia="Times New Roman" w:hAnsi="Times New Roman" w:cs="Times New Roman"/>
                <w:sz w:val="24"/>
                <w:szCs w:val="24"/>
              </w:rPr>
              <w:t xml:space="preserve"> </w:t>
            </w:r>
            <w:r w:rsidR="000C2186">
              <w:rPr>
                <w:rFonts w:ascii="Times New Roman" w:eastAsia="Times New Roman" w:hAnsi="Times New Roman" w:cs="Times New Roman"/>
                <w:sz w:val="24"/>
                <w:szCs w:val="24"/>
              </w:rPr>
              <w:t>Nr. </w:t>
            </w:r>
            <w:r w:rsidR="00E66974" w:rsidRPr="001356E5">
              <w:rPr>
                <w:rFonts w:ascii="Times New Roman" w:eastAsia="Times New Roman" w:hAnsi="Times New Roman" w:cs="Times New Roman"/>
                <w:sz w:val="24"/>
                <w:szCs w:val="24"/>
              </w:rPr>
              <w:t>2022/508</w:t>
            </w:r>
            <w:r w:rsidR="007D1262">
              <w:rPr>
                <w:rFonts w:ascii="Times New Roman" w:eastAsia="Times New Roman" w:hAnsi="Times New Roman" w:cs="Times New Roman"/>
                <w:sz w:val="24"/>
                <w:szCs w:val="24"/>
              </w:rPr>
              <w:t>, atbilstoši kurām noteikumu projekts izstrādāts.</w:t>
            </w:r>
          </w:p>
          <w:p w14:paraId="1FA954FB" w14:textId="77777777" w:rsidR="00B02A6D" w:rsidRPr="00997819" w:rsidRDefault="00B02A6D" w:rsidP="00786B14">
            <w:pPr>
              <w:jc w:val="both"/>
              <w:rPr>
                <w:rFonts w:ascii="Times New Roman" w:eastAsia="Times New Roman" w:hAnsi="Times New Roman" w:cs="Times New Roman"/>
                <w:sz w:val="24"/>
                <w:szCs w:val="24"/>
              </w:rPr>
            </w:pPr>
          </w:p>
          <w:p w14:paraId="12569A52" w14:textId="5980F230" w:rsidR="005E1EC8" w:rsidRPr="00822148" w:rsidRDefault="00786B14" w:rsidP="00DD59EA">
            <w:pPr>
              <w:jc w:val="both"/>
              <w:rPr>
                <w:rFonts w:ascii="Times New Roman" w:hAnsi="Times New Roman" w:cs="Times New Roman"/>
                <w:color w:val="FF0000"/>
                <w:sz w:val="24"/>
                <w:szCs w:val="24"/>
              </w:rPr>
            </w:pPr>
            <w:r w:rsidRPr="005E1EC8">
              <w:rPr>
                <w:rFonts w:ascii="Times New Roman" w:eastAsia="Times New Roman" w:hAnsi="Times New Roman" w:cs="Times New Roman"/>
                <w:sz w:val="24"/>
                <w:szCs w:val="24"/>
              </w:rPr>
              <w:t>Ņemot vērā iepriekš minētos apstākļus, sabiedrības ieguvums būs lielāks par papildu slogu un resursu ieguldījumu, kas konkrētajam tirgus dalībniekam varētu rasties ar uzliktajiem pienākumiem, un tos atsver sagaidāmie ilgtermiņa ieguvumi</w:t>
            </w:r>
            <w:r w:rsidR="00C92804" w:rsidRPr="00A20C44">
              <w:rPr>
                <w:rFonts w:ascii="Times New Roman" w:eastAsia="Times New Roman" w:hAnsi="Times New Roman" w:cs="Times New Roman"/>
                <w:sz w:val="24"/>
                <w:szCs w:val="24"/>
              </w:rPr>
              <w:t xml:space="preserve"> </w:t>
            </w:r>
            <w:r w:rsidR="00A20C44" w:rsidRPr="00A20C44">
              <w:rPr>
                <w:rFonts w:ascii="Times New Roman" w:eastAsia="Times New Roman" w:hAnsi="Times New Roman" w:cs="Times New Roman"/>
                <w:sz w:val="24"/>
                <w:szCs w:val="24"/>
              </w:rPr>
              <w:t xml:space="preserve">no </w:t>
            </w:r>
            <w:r w:rsidR="00C92804" w:rsidRPr="005E1EC8">
              <w:rPr>
                <w:rFonts w:ascii="Times New Roman" w:eastAsia="Times New Roman" w:hAnsi="Times New Roman" w:cs="Times New Roman"/>
                <w:sz w:val="24"/>
                <w:szCs w:val="24"/>
              </w:rPr>
              <w:t xml:space="preserve">vienotas pieejas attiecībā uz </w:t>
            </w:r>
            <w:r w:rsidR="00695650" w:rsidRPr="005E1EC8">
              <w:rPr>
                <w:rFonts w:ascii="Times New Roman" w:eastAsia="Times New Roman" w:hAnsi="Times New Roman" w:cs="Times New Roman"/>
                <w:sz w:val="24"/>
                <w:szCs w:val="24"/>
              </w:rPr>
              <w:t xml:space="preserve">tieši piemērojamajos </w:t>
            </w:r>
            <w:r w:rsidR="00A20C44">
              <w:rPr>
                <w:rFonts w:ascii="Times New Roman" w:eastAsia="Times New Roman" w:hAnsi="Times New Roman" w:cs="Times New Roman"/>
                <w:sz w:val="24"/>
                <w:szCs w:val="24"/>
              </w:rPr>
              <w:t xml:space="preserve">Eiropas Savienības </w:t>
            </w:r>
            <w:r w:rsidR="00695650" w:rsidRPr="005E1EC8">
              <w:rPr>
                <w:rFonts w:ascii="Times New Roman" w:eastAsia="Times New Roman" w:hAnsi="Times New Roman" w:cs="Times New Roman"/>
                <w:sz w:val="24"/>
                <w:szCs w:val="24"/>
              </w:rPr>
              <w:t>tiesību aktos</w:t>
            </w:r>
            <w:r w:rsidR="00C92804" w:rsidRPr="005E1EC8">
              <w:rPr>
                <w:rFonts w:ascii="Times New Roman" w:eastAsia="Times New Roman" w:hAnsi="Times New Roman" w:cs="Times New Roman"/>
                <w:sz w:val="24"/>
                <w:szCs w:val="24"/>
              </w:rPr>
              <w:t xml:space="preserve"> paredzēto izvēles iespēju piemērošanu Latvijas Republikā un līdz ar to arī</w:t>
            </w:r>
            <w:r w:rsidRPr="005E1EC8">
              <w:rPr>
                <w:rFonts w:ascii="Times New Roman" w:eastAsia="Times New Roman" w:hAnsi="Times New Roman" w:cs="Times New Roman"/>
                <w:sz w:val="24"/>
                <w:szCs w:val="24"/>
              </w:rPr>
              <w:t xml:space="preserve"> </w:t>
            </w:r>
            <w:r w:rsidR="00F75ACA">
              <w:rPr>
                <w:rFonts w:ascii="Times New Roman" w:eastAsia="Times New Roman" w:hAnsi="Times New Roman" w:cs="Times New Roman"/>
                <w:sz w:val="24"/>
                <w:szCs w:val="24"/>
              </w:rPr>
              <w:t xml:space="preserve">no </w:t>
            </w:r>
            <w:r w:rsidRPr="005E1EC8">
              <w:rPr>
                <w:rFonts w:ascii="Times New Roman" w:eastAsia="Times New Roman" w:hAnsi="Times New Roman" w:cs="Times New Roman"/>
                <w:sz w:val="24"/>
                <w:szCs w:val="24"/>
              </w:rPr>
              <w:t>stabilāka finanšu sektora.</w:t>
            </w:r>
          </w:p>
        </w:tc>
      </w:tr>
      <w:tr w:rsidR="00A61684" w:rsidRPr="00A61684" w14:paraId="73006DC9" w14:textId="77777777" w:rsidTr="004D7D20">
        <w:tc>
          <w:tcPr>
            <w:tcW w:w="2547" w:type="dxa"/>
          </w:tcPr>
          <w:p w14:paraId="57036A8D" w14:textId="76ABCFE9" w:rsidR="00822148" w:rsidRPr="003F22A4" w:rsidRDefault="009E6A95" w:rsidP="00B74AB9">
            <w:pPr>
              <w:rPr>
                <w:rFonts w:ascii="Times New Roman" w:hAnsi="Times New Roman" w:cs="Times New Roman"/>
                <w:b/>
                <w:bCs/>
                <w:sz w:val="24"/>
                <w:szCs w:val="24"/>
              </w:rPr>
            </w:pPr>
            <w:r w:rsidRPr="003F22A4">
              <w:rPr>
                <w:rFonts w:ascii="Times New Roman" w:hAnsi="Times New Roman" w:cs="Times New Roman"/>
                <w:b/>
                <w:bCs/>
                <w:sz w:val="24"/>
                <w:szCs w:val="24"/>
              </w:rPr>
              <w:lastRenderedPageBreak/>
              <w:t>Spēkā stāšanās</w:t>
            </w:r>
          </w:p>
        </w:tc>
        <w:tc>
          <w:tcPr>
            <w:tcW w:w="5812" w:type="dxa"/>
          </w:tcPr>
          <w:p w14:paraId="391B9A6F" w14:textId="3CD22E8F" w:rsidR="00D34E4F" w:rsidRPr="00F5604D" w:rsidRDefault="00962FA0" w:rsidP="00CB2ED4">
            <w:pPr>
              <w:jc w:val="both"/>
              <w:rPr>
                <w:rFonts w:ascii="Times New Roman" w:hAnsi="Times New Roman" w:cs="Times New Roman"/>
                <w:color w:val="FF0000"/>
                <w:sz w:val="24"/>
                <w:szCs w:val="24"/>
              </w:rPr>
            </w:pPr>
            <w:r w:rsidRPr="000D6B73">
              <w:rPr>
                <w:rFonts w:ascii="Times New Roman" w:hAnsi="Times New Roman" w:cs="Times New Roman"/>
                <w:sz w:val="24"/>
                <w:szCs w:val="24"/>
              </w:rPr>
              <w:t>N</w:t>
            </w:r>
            <w:r w:rsidR="00426B2C" w:rsidRPr="000D6B73">
              <w:rPr>
                <w:rFonts w:ascii="Times New Roman" w:hAnsi="Times New Roman" w:cs="Times New Roman"/>
                <w:sz w:val="24"/>
                <w:szCs w:val="24"/>
              </w:rPr>
              <w:t xml:space="preserve">ākamajā dienā pēc publicēšanas oficiālajā izdevumā "Latvijas </w:t>
            </w:r>
            <w:r w:rsidR="00A6362C">
              <w:rPr>
                <w:rFonts w:ascii="Times New Roman" w:hAnsi="Times New Roman" w:cs="Times New Roman"/>
                <w:sz w:val="24"/>
                <w:szCs w:val="24"/>
              </w:rPr>
              <w:t>V</w:t>
            </w:r>
            <w:r w:rsidR="00A6362C" w:rsidRPr="000D6B73">
              <w:rPr>
                <w:rFonts w:ascii="Times New Roman" w:hAnsi="Times New Roman" w:cs="Times New Roman"/>
                <w:sz w:val="24"/>
                <w:szCs w:val="24"/>
              </w:rPr>
              <w:t>ēstnesis</w:t>
            </w:r>
            <w:r w:rsidR="00426B2C" w:rsidRPr="000D6B73">
              <w:rPr>
                <w:rFonts w:ascii="Times New Roman" w:hAnsi="Times New Roman" w:cs="Times New Roman"/>
                <w:sz w:val="24"/>
                <w:szCs w:val="24"/>
              </w:rPr>
              <w:t>"</w:t>
            </w:r>
            <w:r w:rsidR="005721A2" w:rsidRPr="000D6B73">
              <w:rPr>
                <w:rFonts w:ascii="Times New Roman" w:hAnsi="Times New Roman" w:cs="Times New Roman"/>
                <w:sz w:val="24"/>
                <w:szCs w:val="24"/>
              </w:rPr>
              <w:t>.</w:t>
            </w:r>
          </w:p>
        </w:tc>
      </w:tr>
      <w:tr w:rsidR="00A61684" w:rsidRPr="00A61684" w14:paraId="3E1DDE9F" w14:textId="77777777" w:rsidTr="00731A18">
        <w:tc>
          <w:tcPr>
            <w:tcW w:w="2547" w:type="dxa"/>
          </w:tcPr>
          <w:p w14:paraId="5FBEDEFD" w14:textId="712405EF" w:rsidR="00822148" w:rsidRPr="003F22A4" w:rsidRDefault="009E6A95" w:rsidP="00B74AB9">
            <w:pPr>
              <w:rPr>
                <w:rFonts w:ascii="Times New Roman" w:hAnsi="Times New Roman" w:cs="Times New Roman"/>
                <w:b/>
                <w:bCs/>
                <w:sz w:val="24"/>
                <w:szCs w:val="24"/>
              </w:rPr>
            </w:pPr>
            <w:r w:rsidRPr="003F22A4">
              <w:rPr>
                <w:rFonts w:ascii="Times New Roman" w:hAnsi="Times New Roman" w:cs="Times New Roman"/>
                <w:b/>
                <w:bCs/>
                <w:sz w:val="24"/>
                <w:szCs w:val="24"/>
              </w:rPr>
              <w:t>Ietekme uz Latvijas Bankas budžetu</w:t>
            </w:r>
          </w:p>
        </w:tc>
        <w:tc>
          <w:tcPr>
            <w:tcW w:w="5812" w:type="dxa"/>
            <w:shd w:val="clear" w:color="auto" w:fill="auto"/>
          </w:tcPr>
          <w:p w14:paraId="387D687A" w14:textId="4BDA436B" w:rsidR="009E6A95" w:rsidRPr="00962FA0" w:rsidRDefault="00952874" w:rsidP="00CB2ED4">
            <w:pPr>
              <w:jc w:val="both"/>
              <w:rPr>
                <w:rFonts w:ascii="Times New Roman" w:hAnsi="Times New Roman" w:cs="Times New Roman"/>
                <w:sz w:val="24"/>
                <w:szCs w:val="24"/>
              </w:rPr>
            </w:pPr>
            <w:r w:rsidRPr="00962FA0">
              <w:rPr>
                <w:rFonts w:ascii="Times New Roman" w:hAnsi="Times New Roman" w:cs="Times New Roman"/>
                <w:sz w:val="24"/>
                <w:szCs w:val="24"/>
              </w:rPr>
              <w:t>Noteikumu izdošana nerada ietekmi uz Latvijas Bankas budžetu.</w:t>
            </w:r>
          </w:p>
        </w:tc>
      </w:tr>
      <w:tr w:rsidR="00A61684" w:rsidRPr="00A61684" w14:paraId="4266A97A" w14:textId="77777777" w:rsidTr="004D7D20">
        <w:tc>
          <w:tcPr>
            <w:tcW w:w="2547" w:type="dxa"/>
          </w:tcPr>
          <w:p w14:paraId="2C58F0AD" w14:textId="56CA1F33" w:rsidR="00822148" w:rsidRPr="003F22A4" w:rsidRDefault="0099611F" w:rsidP="00B74AB9">
            <w:pPr>
              <w:rPr>
                <w:rFonts w:ascii="Times New Roman" w:hAnsi="Times New Roman" w:cs="Times New Roman"/>
                <w:b/>
                <w:bCs/>
                <w:color w:val="FF0000"/>
                <w:sz w:val="24"/>
                <w:szCs w:val="24"/>
              </w:rPr>
            </w:pPr>
            <w:r w:rsidRPr="003F22A4">
              <w:rPr>
                <w:rFonts w:ascii="Times New Roman" w:hAnsi="Times New Roman" w:cs="Times New Roman"/>
                <w:b/>
                <w:bCs/>
                <w:sz w:val="24"/>
                <w:szCs w:val="24"/>
              </w:rPr>
              <w:t>Administratīvā sloga un izmaksu novērtējums (tirgus dalībniekiem)</w:t>
            </w:r>
          </w:p>
        </w:tc>
        <w:tc>
          <w:tcPr>
            <w:tcW w:w="5812" w:type="dxa"/>
          </w:tcPr>
          <w:p w14:paraId="6B15E7B3" w14:textId="4C460F34" w:rsidR="0098262B" w:rsidRPr="00F5604D" w:rsidRDefault="00AF5FAB" w:rsidP="00F5604D">
            <w:pPr>
              <w:jc w:val="both"/>
              <w:rPr>
                <w:rFonts w:ascii="Times New Roman" w:hAnsi="Times New Roman" w:cs="Times New Roman"/>
                <w:sz w:val="24"/>
                <w:szCs w:val="24"/>
                <w:highlight w:val="yellow"/>
              </w:rPr>
            </w:pPr>
            <w:r w:rsidRPr="002834C5">
              <w:rPr>
                <w:rFonts w:ascii="Times New Roman" w:hAnsi="Times New Roman" w:cs="Times New Roman"/>
                <w:sz w:val="24"/>
                <w:szCs w:val="24"/>
                <w:lang w:eastAsia="lv-LV"/>
              </w:rPr>
              <w:t>Ar noteikumu projektu netiek ieviestas jaunas prasības</w:t>
            </w:r>
            <w:r w:rsidR="00AE062E" w:rsidRPr="002834C5">
              <w:rPr>
                <w:rFonts w:ascii="Times New Roman" w:hAnsi="Times New Roman" w:cs="Times New Roman"/>
                <w:sz w:val="24"/>
                <w:szCs w:val="24"/>
                <w:lang w:eastAsia="lv-LV"/>
              </w:rPr>
              <w:t xml:space="preserve"> attiecībā uz izvēles iespējām</w:t>
            </w:r>
            <w:r w:rsidR="005E1EC8" w:rsidRPr="002834C5">
              <w:rPr>
                <w:rFonts w:ascii="Times New Roman" w:hAnsi="Times New Roman" w:cs="Times New Roman"/>
                <w:sz w:val="24"/>
                <w:szCs w:val="24"/>
                <w:lang w:eastAsia="lv-LV"/>
              </w:rPr>
              <w:t xml:space="preserve">, </w:t>
            </w:r>
            <w:r w:rsidR="003422ED" w:rsidRPr="00830D61">
              <w:rPr>
                <w:rFonts w:ascii="Times New Roman" w:hAnsi="Times New Roman" w:cs="Times New Roman"/>
                <w:sz w:val="24"/>
                <w:szCs w:val="24"/>
                <w:lang w:eastAsia="lv-LV"/>
              </w:rPr>
              <w:t>proti,</w:t>
            </w:r>
            <w:r w:rsidR="003422ED" w:rsidRPr="002834C5">
              <w:rPr>
                <w:rFonts w:ascii="Times New Roman" w:hAnsi="Times New Roman" w:cs="Times New Roman"/>
                <w:sz w:val="24"/>
                <w:szCs w:val="24"/>
                <w:lang w:eastAsia="lv-LV"/>
              </w:rPr>
              <w:t xml:space="preserve"> </w:t>
            </w:r>
            <w:r w:rsidR="005E1EC8" w:rsidRPr="002834C5">
              <w:rPr>
                <w:rFonts w:ascii="Times New Roman" w:hAnsi="Times New Roman" w:cs="Times New Roman"/>
                <w:sz w:val="24"/>
                <w:szCs w:val="24"/>
                <w:lang w:eastAsia="lv-LV"/>
              </w:rPr>
              <w:t xml:space="preserve">tiek </w:t>
            </w:r>
            <w:r w:rsidR="0098262B" w:rsidRPr="002834C5">
              <w:rPr>
                <w:rFonts w:ascii="Times New Roman" w:hAnsi="Times New Roman" w:cs="Times New Roman"/>
                <w:sz w:val="24"/>
                <w:szCs w:val="24"/>
                <w:lang w:eastAsia="lv-LV"/>
              </w:rPr>
              <w:t xml:space="preserve">saglabātas pašlaik spēkā </w:t>
            </w:r>
            <w:r w:rsidR="00AE062E" w:rsidRPr="002834C5">
              <w:rPr>
                <w:rFonts w:ascii="Times New Roman" w:hAnsi="Times New Roman" w:cs="Times New Roman"/>
                <w:sz w:val="24"/>
                <w:szCs w:val="24"/>
                <w:lang w:eastAsia="lv-LV"/>
              </w:rPr>
              <w:t xml:space="preserve">jau </w:t>
            </w:r>
            <w:r w:rsidR="0098262B" w:rsidRPr="002834C5">
              <w:rPr>
                <w:rFonts w:ascii="Times New Roman" w:hAnsi="Times New Roman" w:cs="Times New Roman"/>
                <w:sz w:val="24"/>
                <w:szCs w:val="24"/>
                <w:lang w:eastAsia="lv-LV"/>
              </w:rPr>
              <w:t>esošās prasības</w:t>
            </w:r>
            <w:r w:rsidR="00AE062E" w:rsidRPr="002834C5">
              <w:t xml:space="preserve"> </w:t>
            </w:r>
            <w:r w:rsidR="00AE062E" w:rsidRPr="002834C5">
              <w:rPr>
                <w:rFonts w:ascii="Times New Roman" w:hAnsi="Times New Roman" w:cs="Times New Roman"/>
                <w:sz w:val="24"/>
                <w:szCs w:val="24"/>
                <w:lang w:eastAsia="lv-LV"/>
              </w:rPr>
              <w:t>attiecībā uz izvēles iespējām</w:t>
            </w:r>
            <w:r w:rsidR="005E1EC8" w:rsidRPr="002834C5">
              <w:rPr>
                <w:rFonts w:ascii="Times New Roman" w:hAnsi="Times New Roman" w:cs="Times New Roman"/>
                <w:sz w:val="24"/>
                <w:szCs w:val="24"/>
                <w:lang w:eastAsia="lv-LV"/>
              </w:rPr>
              <w:t>.</w:t>
            </w:r>
          </w:p>
        </w:tc>
      </w:tr>
      <w:tr w:rsidR="00A61684" w:rsidRPr="00A61684" w14:paraId="78453D7D" w14:textId="77777777" w:rsidTr="004D7D20">
        <w:tc>
          <w:tcPr>
            <w:tcW w:w="2547" w:type="dxa"/>
          </w:tcPr>
          <w:p w14:paraId="5AF60CCD" w14:textId="40437210" w:rsidR="00822148" w:rsidRPr="003F22A4" w:rsidRDefault="009E6A95" w:rsidP="00B74AB9">
            <w:pPr>
              <w:rPr>
                <w:rFonts w:ascii="Times New Roman" w:hAnsi="Times New Roman" w:cs="Times New Roman"/>
                <w:b/>
                <w:bCs/>
                <w:color w:val="FF0000"/>
                <w:sz w:val="24"/>
                <w:szCs w:val="24"/>
              </w:rPr>
            </w:pPr>
            <w:r w:rsidRPr="003F22A4">
              <w:rPr>
                <w:rFonts w:ascii="Times New Roman" w:hAnsi="Times New Roman" w:cs="Times New Roman"/>
                <w:b/>
                <w:bCs/>
                <w:sz w:val="24"/>
                <w:szCs w:val="24"/>
              </w:rPr>
              <w:t>Saistītie dokumenti</w:t>
            </w:r>
          </w:p>
        </w:tc>
        <w:tc>
          <w:tcPr>
            <w:tcW w:w="5812" w:type="dxa"/>
          </w:tcPr>
          <w:p w14:paraId="2C55F282" w14:textId="4E5DFA22" w:rsidR="009E6A95" w:rsidRPr="00F5604D" w:rsidRDefault="00952874" w:rsidP="00C246CB">
            <w:pPr>
              <w:jc w:val="both"/>
              <w:rPr>
                <w:rFonts w:ascii="Times New Roman" w:hAnsi="Times New Roman" w:cs="Times New Roman"/>
                <w:sz w:val="24"/>
                <w:szCs w:val="24"/>
              </w:rPr>
            </w:pPr>
            <w:r w:rsidRPr="00962FA0">
              <w:rPr>
                <w:rFonts w:ascii="Times New Roman" w:hAnsi="Times New Roman" w:cs="Times New Roman"/>
                <w:sz w:val="24"/>
                <w:szCs w:val="24"/>
              </w:rPr>
              <w:t xml:space="preserve">Līdz ar </w:t>
            </w:r>
            <w:r w:rsidR="00FA51E9">
              <w:rPr>
                <w:rFonts w:ascii="Times New Roman" w:hAnsi="Times New Roman" w:cs="Times New Roman"/>
                <w:sz w:val="24"/>
                <w:szCs w:val="24"/>
              </w:rPr>
              <w:t>n</w:t>
            </w:r>
            <w:r w:rsidR="00FA51E9" w:rsidRPr="00962FA0">
              <w:rPr>
                <w:rFonts w:ascii="Times New Roman" w:hAnsi="Times New Roman" w:cs="Times New Roman"/>
                <w:sz w:val="24"/>
                <w:szCs w:val="24"/>
              </w:rPr>
              <w:t xml:space="preserve">oteikumu </w:t>
            </w:r>
            <w:r w:rsidRPr="00962FA0">
              <w:rPr>
                <w:rFonts w:ascii="Times New Roman" w:hAnsi="Times New Roman" w:cs="Times New Roman"/>
                <w:sz w:val="24"/>
                <w:szCs w:val="24"/>
              </w:rPr>
              <w:t xml:space="preserve">projekta stāšanos </w:t>
            </w:r>
            <w:r w:rsidR="00665CAD" w:rsidRPr="00962FA0">
              <w:rPr>
                <w:rFonts w:ascii="Times New Roman" w:hAnsi="Times New Roman" w:cs="Times New Roman"/>
                <w:sz w:val="24"/>
                <w:szCs w:val="24"/>
              </w:rPr>
              <w:t>spēkā spēku zaudē</w:t>
            </w:r>
            <w:r w:rsidR="00962FA0" w:rsidRPr="00F5604D">
              <w:rPr>
                <w:rFonts w:ascii="Times New Roman" w:hAnsi="Times New Roman" w:cs="Times New Roman"/>
                <w:sz w:val="24"/>
                <w:szCs w:val="24"/>
              </w:rPr>
              <w:t>s</w:t>
            </w:r>
            <w:r w:rsidR="00665CAD" w:rsidRPr="00962FA0">
              <w:rPr>
                <w:rFonts w:ascii="Times New Roman" w:hAnsi="Times New Roman" w:cs="Times New Roman"/>
                <w:sz w:val="24"/>
                <w:szCs w:val="24"/>
              </w:rPr>
              <w:t xml:space="preserve"> </w:t>
            </w:r>
            <w:r w:rsidR="00962FA0" w:rsidRPr="00F5604D">
              <w:rPr>
                <w:rFonts w:ascii="Times New Roman" w:hAnsi="Times New Roman" w:cs="Times New Roman"/>
                <w:sz w:val="24"/>
                <w:szCs w:val="24"/>
              </w:rPr>
              <w:t xml:space="preserve">Finanšu un kapitāla tirgus komisijas </w:t>
            </w:r>
            <w:r w:rsidR="00FC4C67" w:rsidRPr="00F5604D">
              <w:rPr>
                <w:rFonts w:ascii="Times New Roman" w:hAnsi="Times New Roman" w:cs="Times New Roman"/>
                <w:sz w:val="24"/>
                <w:szCs w:val="24"/>
              </w:rPr>
              <w:t>2020.</w:t>
            </w:r>
            <w:r w:rsidR="001947DB">
              <w:rPr>
                <w:rFonts w:ascii="Times New Roman" w:hAnsi="Times New Roman" w:cs="Times New Roman"/>
                <w:sz w:val="24"/>
                <w:szCs w:val="24"/>
              </w:rPr>
              <w:t> </w:t>
            </w:r>
            <w:r w:rsidR="00FC4C67" w:rsidRPr="00F5604D">
              <w:rPr>
                <w:rFonts w:ascii="Times New Roman" w:hAnsi="Times New Roman" w:cs="Times New Roman"/>
                <w:sz w:val="24"/>
                <w:szCs w:val="24"/>
              </w:rPr>
              <w:t xml:space="preserve">gada </w:t>
            </w:r>
            <w:r w:rsidR="007677F6" w:rsidRPr="00F5604D">
              <w:rPr>
                <w:rFonts w:ascii="Times New Roman" w:hAnsi="Times New Roman" w:cs="Times New Roman"/>
                <w:sz w:val="24"/>
                <w:szCs w:val="24"/>
              </w:rPr>
              <w:t>20</w:t>
            </w:r>
            <w:r w:rsidR="00FC4C67" w:rsidRPr="00F5604D">
              <w:rPr>
                <w:rFonts w:ascii="Times New Roman" w:hAnsi="Times New Roman" w:cs="Times New Roman"/>
                <w:sz w:val="24"/>
                <w:szCs w:val="24"/>
              </w:rPr>
              <w:t>.</w:t>
            </w:r>
            <w:r w:rsidR="001947DB">
              <w:rPr>
                <w:rFonts w:ascii="Times New Roman" w:hAnsi="Times New Roman" w:cs="Times New Roman"/>
                <w:sz w:val="24"/>
                <w:szCs w:val="24"/>
              </w:rPr>
              <w:t> </w:t>
            </w:r>
            <w:r w:rsidR="007677F6" w:rsidRPr="00F5604D">
              <w:rPr>
                <w:rFonts w:ascii="Times New Roman" w:hAnsi="Times New Roman" w:cs="Times New Roman"/>
                <w:sz w:val="24"/>
                <w:szCs w:val="24"/>
              </w:rPr>
              <w:t xml:space="preserve">oktobra </w:t>
            </w:r>
            <w:r w:rsidR="00FC4C67" w:rsidRPr="00F5604D">
              <w:rPr>
                <w:rFonts w:ascii="Times New Roman" w:hAnsi="Times New Roman" w:cs="Times New Roman"/>
                <w:sz w:val="24"/>
                <w:szCs w:val="24"/>
              </w:rPr>
              <w:t>normatīvie noteikumi Nr.</w:t>
            </w:r>
            <w:r w:rsidR="001947DB">
              <w:rPr>
                <w:rFonts w:ascii="Times New Roman" w:hAnsi="Times New Roman" w:cs="Times New Roman"/>
                <w:sz w:val="24"/>
                <w:szCs w:val="24"/>
              </w:rPr>
              <w:t> </w:t>
            </w:r>
            <w:r w:rsidR="007677F6" w:rsidRPr="00F5604D">
              <w:rPr>
                <w:rFonts w:ascii="Times New Roman" w:hAnsi="Times New Roman" w:cs="Times New Roman"/>
                <w:sz w:val="24"/>
                <w:szCs w:val="24"/>
              </w:rPr>
              <w:t xml:space="preserve">193 </w:t>
            </w:r>
            <w:r w:rsidR="00FC4C67" w:rsidRPr="00962FA0">
              <w:rPr>
                <w:rFonts w:ascii="Times New Roman" w:hAnsi="Times New Roman" w:cs="Times New Roman"/>
                <w:sz w:val="24"/>
                <w:szCs w:val="24"/>
              </w:rPr>
              <w:t>"</w:t>
            </w:r>
            <w:r w:rsidR="007677F6" w:rsidRPr="00962FA0">
              <w:rPr>
                <w:rFonts w:ascii="Times New Roman" w:hAnsi="Times New Roman" w:cs="Times New Roman"/>
                <w:sz w:val="24"/>
                <w:szCs w:val="24"/>
              </w:rPr>
              <w:t>Normatīvie noteikumi par Eiropas Savienības tieši piemērojamajos tiesību aktos par prudenciālajām prasībām paredzēto izvēles iespēju un pārejas periodu piemērošanu</w:t>
            </w:r>
            <w:r w:rsidR="00FC4C67" w:rsidRPr="00962FA0">
              <w:rPr>
                <w:rFonts w:ascii="Times New Roman" w:hAnsi="Times New Roman" w:cs="Times New Roman"/>
                <w:sz w:val="24"/>
                <w:szCs w:val="24"/>
              </w:rPr>
              <w:t>"</w:t>
            </w:r>
            <w:r w:rsidR="00D94D0E">
              <w:rPr>
                <w:rFonts w:ascii="Times New Roman" w:hAnsi="Times New Roman" w:cs="Times New Roman"/>
                <w:sz w:val="24"/>
                <w:szCs w:val="24"/>
              </w:rPr>
              <w:t xml:space="preserve"> un </w:t>
            </w:r>
            <w:r w:rsidR="00D94D0E" w:rsidRPr="00D94D0E">
              <w:rPr>
                <w:rFonts w:ascii="Times New Roman" w:hAnsi="Times New Roman" w:cs="Times New Roman"/>
                <w:sz w:val="24"/>
                <w:szCs w:val="24"/>
              </w:rPr>
              <w:t>Finanšu un kapitāla tirgus komisijas 2020.</w:t>
            </w:r>
            <w:r w:rsidR="00D94D0E">
              <w:rPr>
                <w:rFonts w:ascii="Times New Roman" w:hAnsi="Times New Roman" w:cs="Times New Roman"/>
                <w:sz w:val="24"/>
                <w:szCs w:val="24"/>
              </w:rPr>
              <w:t> </w:t>
            </w:r>
            <w:r w:rsidR="00D94D0E" w:rsidRPr="00D94D0E">
              <w:rPr>
                <w:rFonts w:ascii="Times New Roman" w:hAnsi="Times New Roman" w:cs="Times New Roman"/>
                <w:sz w:val="24"/>
                <w:szCs w:val="24"/>
              </w:rPr>
              <w:t>gada 22.</w:t>
            </w:r>
            <w:r w:rsidR="00D94D0E">
              <w:rPr>
                <w:rFonts w:ascii="Times New Roman" w:hAnsi="Times New Roman" w:cs="Times New Roman"/>
                <w:sz w:val="24"/>
                <w:szCs w:val="24"/>
              </w:rPr>
              <w:t> </w:t>
            </w:r>
            <w:r w:rsidR="00D94D0E" w:rsidRPr="00D94D0E">
              <w:rPr>
                <w:rFonts w:ascii="Times New Roman" w:hAnsi="Times New Roman" w:cs="Times New Roman"/>
                <w:sz w:val="24"/>
                <w:szCs w:val="24"/>
              </w:rPr>
              <w:t>decembra normatīv</w:t>
            </w:r>
            <w:r w:rsidR="00D94D0E">
              <w:rPr>
                <w:rFonts w:ascii="Times New Roman" w:hAnsi="Times New Roman" w:cs="Times New Roman"/>
                <w:sz w:val="24"/>
                <w:szCs w:val="24"/>
              </w:rPr>
              <w:t>ie</w:t>
            </w:r>
            <w:r w:rsidR="00D94D0E" w:rsidRPr="00D94D0E">
              <w:rPr>
                <w:rFonts w:ascii="Times New Roman" w:hAnsi="Times New Roman" w:cs="Times New Roman"/>
                <w:sz w:val="24"/>
                <w:szCs w:val="24"/>
              </w:rPr>
              <w:t xml:space="preserve"> noteikum</w:t>
            </w:r>
            <w:r w:rsidR="00D94D0E">
              <w:rPr>
                <w:rFonts w:ascii="Times New Roman" w:hAnsi="Times New Roman" w:cs="Times New Roman"/>
                <w:sz w:val="24"/>
                <w:szCs w:val="24"/>
              </w:rPr>
              <w:t>i</w:t>
            </w:r>
            <w:r w:rsidR="00D94D0E" w:rsidRPr="00D94D0E">
              <w:rPr>
                <w:rFonts w:ascii="Times New Roman" w:hAnsi="Times New Roman" w:cs="Times New Roman"/>
                <w:sz w:val="24"/>
                <w:szCs w:val="24"/>
              </w:rPr>
              <w:t xml:space="preserve"> Nr. 243 "Normatīvie noteikumi par konsolidācijas metodēm"</w:t>
            </w:r>
            <w:r w:rsidR="00665CAD" w:rsidRPr="00962FA0">
              <w:rPr>
                <w:rFonts w:ascii="Times New Roman" w:hAnsi="Times New Roman" w:cs="Times New Roman"/>
                <w:sz w:val="24"/>
                <w:szCs w:val="24"/>
              </w:rPr>
              <w:t>.</w:t>
            </w:r>
          </w:p>
        </w:tc>
      </w:tr>
      <w:tr w:rsidR="00A61684" w:rsidRPr="00A61684" w14:paraId="6E8D0230" w14:textId="77777777" w:rsidTr="004D7D20">
        <w:tc>
          <w:tcPr>
            <w:tcW w:w="2547" w:type="dxa"/>
          </w:tcPr>
          <w:p w14:paraId="36731D0A" w14:textId="5D7F3E58" w:rsidR="00822148" w:rsidRPr="003F22A4" w:rsidRDefault="009E6A95" w:rsidP="00B74AB9">
            <w:pPr>
              <w:rPr>
                <w:rFonts w:ascii="Times New Roman" w:hAnsi="Times New Roman" w:cs="Times New Roman"/>
                <w:b/>
                <w:bCs/>
                <w:sz w:val="24"/>
                <w:szCs w:val="24"/>
              </w:rPr>
            </w:pPr>
            <w:r w:rsidRPr="003F22A4">
              <w:rPr>
                <w:rFonts w:ascii="Times New Roman" w:hAnsi="Times New Roman" w:cs="Times New Roman"/>
                <w:b/>
                <w:bCs/>
                <w:sz w:val="24"/>
                <w:szCs w:val="24"/>
              </w:rPr>
              <w:t>Saskaņošana ar Eiropas Centrālo banku</w:t>
            </w:r>
          </w:p>
        </w:tc>
        <w:tc>
          <w:tcPr>
            <w:tcW w:w="5812" w:type="dxa"/>
          </w:tcPr>
          <w:p w14:paraId="792DD68E" w14:textId="53BE43BC" w:rsidR="009E6A95" w:rsidRPr="00F5604D" w:rsidRDefault="003A7C34" w:rsidP="00CB2ED4">
            <w:pPr>
              <w:jc w:val="both"/>
              <w:rPr>
                <w:rFonts w:ascii="Times New Roman" w:hAnsi="Times New Roman" w:cs="Times New Roman"/>
                <w:color w:val="FF0000"/>
                <w:sz w:val="24"/>
                <w:szCs w:val="24"/>
              </w:rPr>
            </w:pPr>
            <w:r w:rsidRPr="00822148">
              <w:rPr>
                <w:rFonts w:ascii="Times New Roman" w:hAnsi="Times New Roman" w:cs="Times New Roman"/>
                <w:sz w:val="24"/>
                <w:szCs w:val="24"/>
              </w:rPr>
              <w:t>Noteikumu</w:t>
            </w:r>
            <w:r w:rsidR="009E6A95" w:rsidRPr="00822148">
              <w:rPr>
                <w:rFonts w:ascii="Times New Roman" w:hAnsi="Times New Roman" w:cs="Times New Roman"/>
                <w:sz w:val="24"/>
                <w:szCs w:val="24"/>
              </w:rPr>
              <w:t xml:space="preserve"> </w:t>
            </w:r>
            <w:r w:rsidR="00822148" w:rsidRPr="00F5604D">
              <w:rPr>
                <w:rFonts w:ascii="Times New Roman" w:hAnsi="Times New Roman" w:cs="Times New Roman"/>
                <w:sz w:val="24"/>
                <w:szCs w:val="24"/>
              </w:rPr>
              <w:t xml:space="preserve">projekts </w:t>
            </w:r>
            <w:r w:rsidR="009E6A95" w:rsidRPr="00822148">
              <w:rPr>
                <w:rFonts w:ascii="Times New Roman" w:hAnsi="Times New Roman" w:cs="Times New Roman"/>
                <w:sz w:val="24"/>
                <w:szCs w:val="24"/>
              </w:rPr>
              <w:t xml:space="preserve">nav </w:t>
            </w:r>
            <w:r w:rsidR="00952874" w:rsidRPr="00822148">
              <w:rPr>
                <w:rFonts w:ascii="Times New Roman" w:hAnsi="Times New Roman" w:cs="Times New Roman"/>
                <w:sz w:val="24"/>
                <w:szCs w:val="24"/>
              </w:rPr>
              <w:t>jā</w:t>
            </w:r>
            <w:r w:rsidR="009E6A95" w:rsidRPr="00822148">
              <w:rPr>
                <w:rFonts w:ascii="Times New Roman" w:hAnsi="Times New Roman" w:cs="Times New Roman"/>
                <w:sz w:val="24"/>
                <w:szCs w:val="24"/>
              </w:rPr>
              <w:t>saskaņo ar Eiropas Centrālo banku.</w:t>
            </w:r>
          </w:p>
        </w:tc>
      </w:tr>
      <w:tr w:rsidR="00A61684" w:rsidRPr="00A61684" w14:paraId="48DDCC66" w14:textId="77777777" w:rsidTr="004D7D20">
        <w:tc>
          <w:tcPr>
            <w:tcW w:w="2547" w:type="dxa"/>
          </w:tcPr>
          <w:p w14:paraId="702FDD07" w14:textId="77777777" w:rsidR="00822148" w:rsidRPr="003F22A4" w:rsidRDefault="009E6A95" w:rsidP="00B74AB9">
            <w:pPr>
              <w:rPr>
                <w:rFonts w:ascii="Times New Roman" w:hAnsi="Times New Roman" w:cs="Times New Roman"/>
                <w:b/>
                <w:bCs/>
                <w:sz w:val="24"/>
                <w:szCs w:val="24"/>
              </w:rPr>
            </w:pPr>
            <w:r w:rsidRPr="003F22A4">
              <w:rPr>
                <w:rFonts w:ascii="Times New Roman" w:hAnsi="Times New Roman" w:cs="Times New Roman"/>
                <w:b/>
                <w:bCs/>
                <w:sz w:val="24"/>
                <w:szCs w:val="24"/>
              </w:rPr>
              <w:t>Saskaņošana ar citām publiskām un privātām personām</w:t>
            </w:r>
          </w:p>
          <w:p w14:paraId="58FC4ACD" w14:textId="10ABFFDE" w:rsidR="0041379E" w:rsidRPr="003F22A4" w:rsidRDefault="0041379E" w:rsidP="00822148">
            <w:pPr>
              <w:jc w:val="both"/>
              <w:rPr>
                <w:rFonts w:ascii="Times New Roman" w:hAnsi="Times New Roman" w:cs="Times New Roman"/>
                <w:b/>
                <w:bCs/>
                <w:sz w:val="24"/>
                <w:szCs w:val="24"/>
              </w:rPr>
            </w:pPr>
          </w:p>
        </w:tc>
        <w:tc>
          <w:tcPr>
            <w:tcW w:w="5812" w:type="dxa"/>
          </w:tcPr>
          <w:p w14:paraId="61CE77FB" w14:textId="1FED3FA5" w:rsidR="000755C1" w:rsidRPr="00962FA0" w:rsidRDefault="0041379E" w:rsidP="00EA0CC6">
            <w:pPr>
              <w:jc w:val="both"/>
              <w:rPr>
                <w:rFonts w:ascii="Times New Roman" w:hAnsi="Times New Roman" w:cs="Times New Roman"/>
                <w:sz w:val="24"/>
                <w:szCs w:val="24"/>
              </w:rPr>
            </w:pPr>
            <w:r w:rsidRPr="0041379E">
              <w:rPr>
                <w:rFonts w:ascii="Times New Roman" w:hAnsi="Times New Roman" w:cs="Times New Roman"/>
                <w:sz w:val="24"/>
                <w:szCs w:val="24"/>
              </w:rPr>
              <w:lastRenderedPageBreak/>
              <w:t>Noteikumu projekts 2023.</w:t>
            </w:r>
            <w:r w:rsidR="00F94C80">
              <w:rPr>
                <w:rFonts w:ascii="Times New Roman" w:hAnsi="Times New Roman" w:cs="Times New Roman"/>
                <w:sz w:val="24"/>
                <w:szCs w:val="24"/>
              </w:rPr>
              <w:t> </w:t>
            </w:r>
            <w:r w:rsidRPr="0041379E">
              <w:rPr>
                <w:rFonts w:ascii="Times New Roman" w:hAnsi="Times New Roman" w:cs="Times New Roman"/>
                <w:sz w:val="24"/>
                <w:szCs w:val="24"/>
              </w:rPr>
              <w:t xml:space="preserve">gada </w:t>
            </w:r>
            <w:r>
              <w:rPr>
                <w:rFonts w:ascii="Times New Roman" w:hAnsi="Times New Roman" w:cs="Times New Roman"/>
                <w:sz w:val="24"/>
                <w:szCs w:val="24"/>
              </w:rPr>
              <w:t>17</w:t>
            </w:r>
            <w:r w:rsidRPr="0041379E">
              <w:rPr>
                <w:rFonts w:ascii="Times New Roman" w:hAnsi="Times New Roman" w:cs="Times New Roman"/>
                <w:sz w:val="24"/>
                <w:szCs w:val="24"/>
              </w:rPr>
              <w:t>.</w:t>
            </w:r>
            <w:r w:rsidR="00F94C80">
              <w:rPr>
                <w:rFonts w:ascii="Times New Roman" w:hAnsi="Times New Roman" w:cs="Times New Roman"/>
                <w:sz w:val="24"/>
                <w:szCs w:val="24"/>
              </w:rPr>
              <w:t> </w:t>
            </w:r>
            <w:r w:rsidRPr="0041379E">
              <w:rPr>
                <w:rFonts w:ascii="Times New Roman" w:hAnsi="Times New Roman" w:cs="Times New Roman"/>
                <w:sz w:val="24"/>
                <w:szCs w:val="24"/>
              </w:rPr>
              <w:t>ma</w:t>
            </w:r>
            <w:r>
              <w:rPr>
                <w:rFonts w:ascii="Times New Roman" w:hAnsi="Times New Roman" w:cs="Times New Roman"/>
                <w:sz w:val="24"/>
                <w:szCs w:val="24"/>
              </w:rPr>
              <w:t>ijā</w:t>
            </w:r>
            <w:r w:rsidRPr="0041379E">
              <w:rPr>
                <w:rFonts w:ascii="Times New Roman" w:hAnsi="Times New Roman" w:cs="Times New Roman"/>
                <w:sz w:val="24"/>
                <w:szCs w:val="24"/>
              </w:rPr>
              <w:t xml:space="preserve"> tika publicēts Latvijas Bankas tīmekļvietnes </w:t>
            </w:r>
            <w:hyperlink r:id="rId11" w:history="1">
              <w:r w:rsidR="00F94C80" w:rsidRPr="00481EB2">
                <w:rPr>
                  <w:rStyle w:val="Hyperlink"/>
                  <w:rFonts w:ascii="Times New Roman" w:eastAsia="Times New Roman" w:hAnsi="Times New Roman" w:cs="Times New Roman"/>
                  <w:sz w:val="24"/>
                  <w:szCs w:val="24"/>
                  <w:lang w:eastAsia="lv-LV"/>
                </w:rPr>
                <w:t>www.bank.lv</w:t>
              </w:r>
            </w:hyperlink>
            <w:r w:rsidR="00F94C80">
              <w:rPr>
                <w:rFonts w:ascii="Times New Roman" w:hAnsi="Times New Roman" w:cs="Times New Roman"/>
                <w:sz w:val="24"/>
                <w:szCs w:val="24"/>
              </w:rPr>
              <w:t xml:space="preserve"> </w:t>
            </w:r>
            <w:r w:rsidRPr="0041379E">
              <w:rPr>
                <w:rFonts w:ascii="Times New Roman" w:hAnsi="Times New Roman" w:cs="Times New Roman"/>
                <w:sz w:val="24"/>
                <w:szCs w:val="24"/>
              </w:rPr>
              <w:t>sadaļā "Sabiedrības līdzdalība", un līdz 2023.</w:t>
            </w:r>
            <w:r w:rsidR="00F94C80">
              <w:rPr>
                <w:rFonts w:ascii="Times New Roman" w:hAnsi="Times New Roman" w:cs="Times New Roman"/>
                <w:sz w:val="24"/>
                <w:szCs w:val="24"/>
              </w:rPr>
              <w:t> </w:t>
            </w:r>
            <w:r w:rsidRPr="0041379E">
              <w:rPr>
                <w:rFonts w:ascii="Times New Roman" w:hAnsi="Times New Roman" w:cs="Times New Roman"/>
                <w:sz w:val="24"/>
                <w:szCs w:val="24"/>
              </w:rPr>
              <w:t xml:space="preserve">gada </w:t>
            </w:r>
            <w:r>
              <w:rPr>
                <w:rFonts w:ascii="Times New Roman" w:hAnsi="Times New Roman" w:cs="Times New Roman"/>
                <w:sz w:val="24"/>
                <w:szCs w:val="24"/>
              </w:rPr>
              <w:t>26</w:t>
            </w:r>
            <w:r w:rsidRPr="0041379E">
              <w:rPr>
                <w:rFonts w:ascii="Times New Roman" w:hAnsi="Times New Roman" w:cs="Times New Roman"/>
                <w:sz w:val="24"/>
                <w:szCs w:val="24"/>
              </w:rPr>
              <w:t>.</w:t>
            </w:r>
            <w:r w:rsidR="00F94C80">
              <w:rPr>
                <w:rFonts w:ascii="Times New Roman" w:hAnsi="Times New Roman" w:cs="Times New Roman"/>
                <w:sz w:val="24"/>
                <w:szCs w:val="24"/>
              </w:rPr>
              <w:t> </w:t>
            </w:r>
            <w:r w:rsidRPr="0041379E">
              <w:rPr>
                <w:rFonts w:ascii="Times New Roman" w:hAnsi="Times New Roman" w:cs="Times New Roman"/>
                <w:sz w:val="24"/>
                <w:szCs w:val="24"/>
              </w:rPr>
              <w:t>ma</w:t>
            </w:r>
            <w:r>
              <w:rPr>
                <w:rFonts w:ascii="Times New Roman" w:hAnsi="Times New Roman" w:cs="Times New Roman"/>
                <w:sz w:val="24"/>
                <w:szCs w:val="24"/>
              </w:rPr>
              <w:t>ijam</w:t>
            </w:r>
            <w:r w:rsidRPr="0041379E">
              <w:rPr>
                <w:rFonts w:ascii="Times New Roman" w:hAnsi="Times New Roman" w:cs="Times New Roman"/>
                <w:sz w:val="24"/>
                <w:szCs w:val="24"/>
              </w:rPr>
              <w:t xml:space="preserve"> </w:t>
            </w:r>
            <w:r w:rsidRPr="0041379E">
              <w:rPr>
                <w:rFonts w:ascii="Times New Roman" w:hAnsi="Times New Roman" w:cs="Times New Roman"/>
                <w:sz w:val="24"/>
                <w:szCs w:val="24"/>
              </w:rPr>
              <w:lastRenderedPageBreak/>
              <w:t>sabiedrībai bija iespēja iesaistīties tā apspriešanā. Vienlaikus par noteikumu projektu un notiekošo sabiedrības līdzdalību tika informēta Latvijas Finanšu nozares asociācija un kredītiestādes, kuras nav Latvijas Finanšu nozares asociācijas biedres.</w:t>
            </w:r>
          </w:p>
        </w:tc>
      </w:tr>
      <w:tr w:rsidR="00FC38CB" w:rsidRPr="00A61684" w14:paraId="69C6D010" w14:textId="77777777" w:rsidTr="004D7D20">
        <w:tc>
          <w:tcPr>
            <w:tcW w:w="2547" w:type="dxa"/>
          </w:tcPr>
          <w:p w14:paraId="2DD7770F" w14:textId="77777777" w:rsidR="00822148" w:rsidRPr="003F22A4" w:rsidRDefault="00FC38CB" w:rsidP="00B74AB9">
            <w:pPr>
              <w:rPr>
                <w:rFonts w:ascii="Times New Roman" w:eastAsia="Times New Roman" w:hAnsi="Times New Roman" w:cs="Times New Roman"/>
                <w:b/>
                <w:bCs/>
                <w:sz w:val="24"/>
                <w:szCs w:val="24"/>
                <w:lang w:eastAsia="lv-LV"/>
              </w:rPr>
            </w:pPr>
            <w:r w:rsidRPr="003F22A4">
              <w:rPr>
                <w:rFonts w:ascii="Times New Roman" w:eastAsia="Times New Roman" w:hAnsi="Times New Roman" w:cs="Times New Roman"/>
                <w:b/>
                <w:bCs/>
                <w:sz w:val="24"/>
                <w:szCs w:val="24"/>
                <w:lang w:eastAsia="lv-LV"/>
              </w:rPr>
              <w:lastRenderedPageBreak/>
              <w:t>Saskaņošanas rezultāti</w:t>
            </w:r>
          </w:p>
          <w:p w14:paraId="19ED627F" w14:textId="4AAF50EE" w:rsidR="0041379E" w:rsidRPr="003A7C34" w:rsidRDefault="0041379E" w:rsidP="00FC38CB">
            <w:pPr>
              <w:jc w:val="both"/>
              <w:rPr>
                <w:rFonts w:ascii="Times New Roman" w:hAnsi="Times New Roman" w:cs="Times New Roman"/>
                <w:sz w:val="24"/>
                <w:szCs w:val="24"/>
              </w:rPr>
            </w:pPr>
          </w:p>
        </w:tc>
        <w:tc>
          <w:tcPr>
            <w:tcW w:w="5812" w:type="dxa"/>
          </w:tcPr>
          <w:p w14:paraId="42E86DBD" w14:textId="75B35967" w:rsidR="00FC38CB" w:rsidRPr="00F5604D" w:rsidRDefault="0041379E" w:rsidP="00FC38CB">
            <w:pPr>
              <w:jc w:val="both"/>
              <w:rPr>
                <w:rFonts w:ascii="Times New Roman" w:hAnsi="Times New Roman" w:cs="Times New Roman"/>
                <w:color w:val="FF0000"/>
                <w:sz w:val="24"/>
                <w:szCs w:val="24"/>
              </w:rPr>
            </w:pPr>
            <w:r w:rsidRPr="0041379E">
              <w:rPr>
                <w:rFonts w:ascii="Times New Roman" w:eastAsia="Times New Roman" w:hAnsi="Times New Roman" w:cs="Times New Roman"/>
                <w:bCs/>
                <w:sz w:val="24"/>
                <w:szCs w:val="24"/>
                <w:lang w:eastAsia="lv-LV"/>
              </w:rPr>
              <w:t>Sabiedrības līdzdalības rezultātā par noteikumu projektu netika saņemti ieteikumi, iebildumi vai priekšlikumi. Līdz ar to noteikumu projekts ir saskaņots bez priekšlikumiem vai iebildumiem.</w:t>
            </w:r>
          </w:p>
        </w:tc>
      </w:tr>
    </w:tbl>
    <w:p w14:paraId="37E2A4CD" w14:textId="40409C4A" w:rsidR="004D7D20" w:rsidRPr="00A61684" w:rsidRDefault="004D7D20" w:rsidP="00C4181C">
      <w:pPr>
        <w:jc w:val="both"/>
        <w:rPr>
          <w:color w:val="FF0000"/>
        </w:rPr>
      </w:pPr>
    </w:p>
    <w:sectPr w:rsidR="004D7D20" w:rsidRPr="00A61684" w:rsidSect="0061206C">
      <w:headerReference w:type="defaul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2182A" w14:textId="77777777" w:rsidR="00120718" w:rsidRDefault="00120718" w:rsidP="004D7D20">
      <w:pPr>
        <w:spacing w:after="0" w:line="240" w:lineRule="auto"/>
      </w:pPr>
      <w:r>
        <w:separator/>
      </w:r>
    </w:p>
  </w:endnote>
  <w:endnote w:type="continuationSeparator" w:id="0">
    <w:p w14:paraId="3E8D701D" w14:textId="77777777" w:rsidR="00120718" w:rsidRDefault="00120718"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7FFAD" w14:textId="77777777" w:rsidR="00120718" w:rsidRDefault="00120718" w:rsidP="004D7D20">
      <w:pPr>
        <w:spacing w:after="0" w:line="240" w:lineRule="auto"/>
      </w:pPr>
      <w:r>
        <w:separator/>
      </w:r>
    </w:p>
  </w:footnote>
  <w:footnote w:type="continuationSeparator" w:id="0">
    <w:p w14:paraId="0901A349" w14:textId="77777777" w:rsidR="00120718" w:rsidRDefault="00120718"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247454"/>
      <w:docPartObj>
        <w:docPartGallery w:val="Page Numbers (Top of Page)"/>
        <w:docPartUnique/>
      </w:docPartObj>
    </w:sdtPr>
    <w:sdtEndPr>
      <w:rPr>
        <w:rFonts w:ascii="Times New Roman" w:hAnsi="Times New Roman" w:cs="Times New Roman"/>
        <w:sz w:val="24"/>
        <w:szCs w:val="24"/>
      </w:rPr>
    </w:sdtEndPr>
    <w:sdtContent>
      <w:p w14:paraId="4F33CB0E" w14:textId="77777777" w:rsidR="0021474E" w:rsidRPr="0021474E" w:rsidRDefault="0021474E">
        <w:pPr>
          <w:pStyle w:val="Header"/>
          <w:jc w:val="center"/>
          <w:rPr>
            <w:rFonts w:ascii="Times New Roman" w:hAnsi="Times New Roman" w:cs="Times New Roman"/>
            <w:sz w:val="24"/>
            <w:szCs w:val="24"/>
          </w:rPr>
        </w:pPr>
        <w:r w:rsidRPr="0021474E">
          <w:rPr>
            <w:rFonts w:ascii="Times New Roman" w:hAnsi="Times New Roman" w:cs="Times New Roman"/>
            <w:sz w:val="24"/>
            <w:szCs w:val="24"/>
          </w:rPr>
          <w:fldChar w:fldCharType="begin"/>
        </w:r>
        <w:r w:rsidRPr="0021474E">
          <w:rPr>
            <w:rFonts w:ascii="Times New Roman" w:hAnsi="Times New Roman" w:cs="Times New Roman"/>
            <w:sz w:val="24"/>
            <w:szCs w:val="24"/>
          </w:rPr>
          <w:instrText>PAGE   \* MERGEFORMAT</w:instrText>
        </w:r>
        <w:r w:rsidRPr="0021474E">
          <w:rPr>
            <w:rFonts w:ascii="Times New Roman" w:hAnsi="Times New Roman" w:cs="Times New Roman"/>
            <w:sz w:val="24"/>
            <w:szCs w:val="24"/>
          </w:rPr>
          <w:fldChar w:fldCharType="separate"/>
        </w:r>
        <w:r w:rsidRPr="0021474E">
          <w:rPr>
            <w:rFonts w:ascii="Times New Roman" w:hAnsi="Times New Roman" w:cs="Times New Roman"/>
            <w:sz w:val="24"/>
            <w:szCs w:val="24"/>
          </w:rPr>
          <w:t>2</w:t>
        </w:r>
        <w:r w:rsidRPr="0021474E">
          <w:rPr>
            <w:rFonts w:ascii="Times New Roman" w:hAnsi="Times New Roman" w:cs="Times New Roman"/>
            <w:sz w:val="24"/>
            <w:szCs w:val="24"/>
          </w:rPr>
          <w:fldChar w:fldCharType="end"/>
        </w:r>
      </w:p>
    </w:sdtContent>
  </w:sdt>
  <w:p w14:paraId="3E06CCA1" w14:textId="77777777" w:rsidR="0021474E" w:rsidRDefault="002147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148E2"/>
    <w:multiLevelType w:val="hybridMultilevel"/>
    <w:tmpl w:val="982657B0"/>
    <w:lvl w:ilvl="0" w:tplc="4D88EFA6">
      <w:start w:val="1"/>
      <w:numFmt w:val="decimal"/>
      <w:lvlText w:val="%1."/>
      <w:lvlJc w:val="left"/>
      <w:pPr>
        <w:ind w:left="2760" w:hanging="360"/>
      </w:pPr>
    </w:lvl>
    <w:lvl w:ilvl="1" w:tplc="7102DDCC">
      <w:start w:val="1"/>
      <w:numFmt w:val="decimal"/>
      <w:lvlText w:val="%2."/>
      <w:lvlJc w:val="left"/>
      <w:pPr>
        <w:ind w:left="2760" w:hanging="360"/>
      </w:pPr>
    </w:lvl>
    <w:lvl w:ilvl="2" w:tplc="84EE13F6">
      <w:start w:val="1"/>
      <w:numFmt w:val="decimal"/>
      <w:lvlText w:val="%3."/>
      <w:lvlJc w:val="left"/>
      <w:pPr>
        <w:ind w:left="2760" w:hanging="360"/>
      </w:pPr>
    </w:lvl>
    <w:lvl w:ilvl="3" w:tplc="29F4FF8E">
      <w:start w:val="1"/>
      <w:numFmt w:val="decimal"/>
      <w:lvlText w:val="%4."/>
      <w:lvlJc w:val="left"/>
      <w:pPr>
        <w:ind w:left="2760" w:hanging="360"/>
      </w:pPr>
    </w:lvl>
    <w:lvl w:ilvl="4" w:tplc="A728219E">
      <w:start w:val="1"/>
      <w:numFmt w:val="decimal"/>
      <w:lvlText w:val="%5."/>
      <w:lvlJc w:val="left"/>
      <w:pPr>
        <w:ind w:left="2760" w:hanging="360"/>
      </w:pPr>
    </w:lvl>
    <w:lvl w:ilvl="5" w:tplc="1410EEFA">
      <w:start w:val="1"/>
      <w:numFmt w:val="decimal"/>
      <w:lvlText w:val="%6."/>
      <w:lvlJc w:val="left"/>
      <w:pPr>
        <w:ind w:left="2760" w:hanging="360"/>
      </w:pPr>
    </w:lvl>
    <w:lvl w:ilvl="6" w:tplc="AF4C785A">
      <w:start w:val="1"/>
      <w:numFmt w:val="decimal"/>
      <w:lvlText w:val="%7."/>
      <w:lvlJc w:val="left"/>
      <w:pPr>
        <w:ind w:left="2760" w:hanging="360"/>
      </w:pPr>
    </w:lvl>
    <w:lvl w:ilvl="7" w:tplc="9F5E3F1A">
      <w:start w:val="1"/>
      <w:numFmt w:val="decimal"/>
      <w:lvlText w:val="%8."/>
      <w:lvlJc w:val="left"/>
      <w:pPr>
        <w:ind w:left="2760" w:hanging="360"/>
      </w:pPr>
    </w:lvl>
    <w:lvl w:ilvl="8" w:tplc="12A8FBA2">
      <w:start w:val="1"/>
      <w:numFmt w:val="decimal"/>
      <w:lvlText w:val="%9."/>
      <w:lvlJc w:val="left"/>
      <w:pPr>
        <w:ind w:left="2760" w:hanging="360"/>
      </w:pPr>
    </w:lvl>
  </w:abstractNum>
  <w:abstractNum w:abstractNumId="1"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20741383">
    <w:abstractNumId w:val="2"/>
  </w:num>
  <w:num w:numId="2" w16cid:durableId="219558385">
    <w:abstractNumId w:val="1"/>
  </w:num>
  <w:num w:numId="3" w16cid:durableId="253784293">
    <w:abstractNumId w:val="3"/>
  </w:num>
  <w:num w:numId="4" w16cid:durableId="549683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13443"/>
    <w:rsid w:val="000266E8"/>
    <w:rsid w:val="000266FD"/>
    <w:rsid w:val="00036527"/>
    <w:rsid w:val="000434F8"/>
    <w:rsid w:val="0005215D"/>
    <w:rsid w:val="00052B8F"/>
    <w:rsid w:val="00070518"/>
    <w:rsid w:val="000755C1"/>
    <w:rsid w:val="00083AF9"/>
    <w:rsid w:val="00083B07"/>
    <w:rsid w:val="00094C0B"/>
    <w:rsid w:val="000A360D"/>
    <w:rsid w:val="000A49BC"/>
    <w:rsid w:val="000B18AB"/>
    <w:rsid w:val="000B491E"/>
    <w:rsid w:val="000B4A2E"/>
    <w:rsid w:val="000B5A74"/>
    <w:rsid w:val="000C0DC9"/>
    <w:rsid w:val="000C2186"/>
    <w:rsid w:val="000C4902"/>
    <w:rsid w:val="000C76AC"/>
    <w:rsid w:val="000D2119"/>
    <w:rsid w:val="000D23B0"/>
    <w:rsid w:val="000D6B73"/>
    <w:rsid w:val="000D7B1E"/>
    <w:rsid w:val="000E5859"/>
    <w:rsid w:val="000F531C"/>
    <w:rsid w:val="00100A93"/>
    <w:rsid w:val="0010496E"/>
    <w:rsid w:val="0010598D"/>
    <w:rsid w:val="0011303F"/>
    <w:rsid w:val="001133A1"/>
    <w:rsid w:val="00113937"/>
    <w:rsid w:val="00120718"/>
    <w:rsid w:val="00123692"/>
    <w:rsid w:val="001356E5"/>
    <w:rsid w:val="00147132"/>
    <w:rsid w:val="0015367A"/>
    <w:rsid w:val="00170221"/>
    <w:rsid w:val="001816FB"/>
    <w:rsid w:val="001827C1"/>
    <w:rsid w:val="001947DB"/>
    <w:rsid w:val="001A1C30"/>
    <w:rsid w:val="001B5BA3"/>
    <w:rsid w:val="001C02E9"/>
    <w:rsid w:val="001E0BB0"/>
    <w:rsid w:val="001E34F2"/>
    <w:rsid w:val="001E701B"/>
    <w:rsid w:val="001F1F1F"/>
    <w:rsid w:val="001F60BD"/>
    <w:rsid w:val="001F6CE3"/>
    <w:rsid w:val="0020468E"/>
    <w:rsid w:val="002051F6"/>
    <w:rsid w:val="00210B1F"/>
    <w:rsid w:val="00211D34"/>
    <w:rsid w:val="00212A26"/>
    <w:rsid w:val="0021474E"/>
    <w:rsid w:val="0022022D"/>
    <w:rsid w:val="0022614E"/>
    <w:rsid w:val="00242E4C"/>
    <w:rsid w:val="00251046"/>
    <w:rsid w:val="00255F29"/>
    <w:rsid w:val="002621A4"/>
    <w:rsid w:val="00266209"/>
    <w:rsid w:val="0027276E"/>
    <w:rsid w:val="002834C5"/>
    <w:rsid w:val="002969DA"/>
    <w:rsid w:val="002A7FB5"/>
    <w:rsid w:val="002B6725"/>
    <w:rsid w:val="002C6295"/>
    <w:rsid w:val="002D3FFE"/>
    <w:rsid w:val="002E35C4"/>
    <w:rsid w:val="002E5FC9"/>
    <w:rsid w:val="002E635F"/>
    <w:rsid w:val="002F1A2F"/>
    <w:rsid w:val="002F1C0C"/>
    <w:rsid w:val="00304AD5"/>
    <w:rsid w:val="00306671"/>
    <w:rsid w:val="00312CED"/>
    <w:rsid w:val="00313DCA"/>
    <w:rsid w:val="00321062"/>
    <w:rsid w:val="00321D71"/>
    <w:rsid w:val="00324765"/>
    <w:rsid w:val="003260EC"/>
    <w:rsid w:val="00331694"/>
    <w:rsid w:val="003422ED"/>
    <w:rsid w:val="00343634"/>
    <w:rsid w:val="003504CE"/>
    <w:rsid w:val="00350B45"/>
    <w:rsid w:val="003514E7"/>
    <w:rsid w:val="00364E81"/>
    <w:rsid w:val="003665E2"/>
    <w:rsid w:val="00366CC3"/>
    <w:rsid w:val="00376B29"/>
    <w:rsid w:val="003770FF"/>
    <w:rsid w:val="00380848"/>
    <w:rsid w:val="003912A6"/>
    <w:rsid w:val="003A1547"/>
    <w:rsid w:val="003A2DF0"/>
    <w:rsid w:val="003A7C34"/>
    <w:rsid w:val="003B01FF"/>
    <w:rsid w:val="003B0F31"/>
    <w:rsid w:val="003B5C31"/>
    <w:rsid w:val="003B7C70"/>
    <w:rsid w:val="003C5662"/>
    <w:rsid w:val="003D15EB"/>
    <w:rsid w:val="003E0020"/>
    <w:rsid w:val="003E1F83"/>
    <w:rsid w:val="003E4F11"/>
    <w:rsid w:val="003E559F"/>
    <w:rsid w:val="003F20B8"/>
    <w:rsid w:val="003F22A4"/>
    <w:rsid w:val="00404CD6"/>
    <w:rsid w:val="0041379E"/>
    <w:rsid w:val="00422A7C"/>
    <w:rsid w:val="00426B2C"/>
    <w:rsid w:val="00430191"/>
    <w:rsid w:val="00430443"/>
    <w:rsid w:val="00430A44"/>
    <w:rsid w:val="00431166"/>
    <w:rsid w:val="00441B3E"/>
    <w:rsid w:val="00442D8A"/>
    <w:rsid w:val="0045084D"/>
    <w:rsid w:val="00456FAA"/>
    <w:rsid w:val="0046451C"/>
    <w:rsid w:val="00471743"/>
    <w:rsid w:val="00471DA4"/>
    <w:rsid w:val="004772FB"/>
    <w:rsid w:val="004816A5"/>
    <w:rsid w:val="00483FEF"/>
    <w:rsid w:val="004A13C1"/>
    <w:rsid w:val="004A5625"/>
    <w:rsid w:val="004B3BBE"/>
    <w:rsid w:val="004D7D20"/>
    <w:rsid w:val="004E3225"/>
    <w:rsid w:val="004E5181"/>
    <w:rsid w:val="004E638F"/>
    <w:rsid w:val="004E6EBB"/>
    <w:rsid w:val="004F068C"/>
    <w:rsid w:val="004F226D"/>
    <w:rsid w:val="004F4693"/>
    <w:rsid w:val="004F5C09"/>
    <w:rsid w:val="005028D8"/>
    <w:rsid w:val="005069E7"/>
    <w:rsid w:val="005322CF"/>
    <w:rsid w:val="005502D9"/>
    <w:rsid w:val="0055187E"/>
    <w:rsid w:val="005721A2"/>
    <w:rsid w:val="0059070B"/>
    <w:rsid w:val="00592E64"/>
    <w:rsid w:val="005945BA"/>
    <w:rsid w:val="005A371C"/>
    <w:rsid w:val="005A6E97"/>
    <w:rsid w:val="005B38B3"/>
    <w:rsid w:val="005B73FE"/>
    <w:rsid w:val="005C6F27"/>
    <w:rsid w:val="005C7A4E"/>
    <w:rsid w:val="005E1EC8"/>
    <w:rsid w:val="005E2284"/>
    <w:rsid w:val="005E64B3"/>
    <w:rsid w:val="005F23C8"/>
    <w:rsid w:val="005F36CC"/>
    <w:rsid w:val="00601CE0"/>
    <w:rsid w:val="00601D56"/>
    <w:rsid w:val="00610ECB"/>
    <w:rsid w:val="0061206C"/>
    <w:rsid w:val="00617A85"/>
    <w:rsid w:val="006307A1"/>
    <w:rsid w:val="00630FA7"/>
    <w:rsid w:val="00636E46"/>
    <w:rsid w:val="00650410"/>
    <w:rsid w:val="00656FF8"/>
    <w:rsid w:val="00662DCD"/>
    <w:rsid w:val="00665CAD"/>
    <w:rsid w:val="00673281"/>
    <w:rsid w:val="0068263E"/>
    <w:rsid w:val="00684DAF"/>
    <w:rsid w:val="0069337D"/>
    <w:rsid w:val="00695650"/>
    <w:rsid w:val="00697EFF"/>
    <w:rsid w:val="006D0C5C"/>
    <w:rsid w:val="006D5F36"/>
    <w:rsid w:val="006D6052"/>
    <w:rsid w:val="006D6D82"/>
    <w:rsid w:val="006F288D"/>
    <w:rsid w:val="006F5239"/>
    <w:rsid w:val="006F7344"/>
    <w:rsid w:val="007048E4"/>
    <w:rsid w:val="00705EC3"/>
    <w:rsid w:val="007156FD"/>
    <w:rsid w:val="0071733C"/>
    <w:rsid w:val="007200D7"/>
    <w:rsid w:val="00731A18"/>
    <w:rsid w:val="0073254C"/>
    <w:rsid w:val="00736400"/>
    <w:rsid w:val="00737059"/>
    <w:rsid w:val="00745C0D"/>
    <w:rsid w:val="0074615E"/>
    <w:rsid w:val="00751485"/>
    <w:rsid w:val="007539DC"/>
    <w:rsid w:val="00760EAA"/>
    <w:rsid w:val="0076100E"/>
    <w:rsid w:val="007657EB"/>
    <w:rsid w:val="007677F6"/>
    <w:rsid w:val="00770C07"/>
    <w:rsid w:val="007719B2"/>
    <w:rsid w:val="007747FE"/>
    <w:rsid w:val="007824EB"/>
    <w:rsid w:val="00786B14"/>
    <w:rsid w:val="00787487"/>
    <w:rsid w:val="00797204"/>
    <w:rsid w:val="007A4EB3"/>
    <w:rsid w:val="007A52B9"/>
    <w:rsid w:val="007C2E87"/>
    <w:rsid w:val="007C394B"/>
    <w:rsid w:val="007D1262"/>
    <w:rsid w:val="007D3FB7"/>
    <w:rsid w:val="007E4E5C"/>
    <w:rsid w:val="00800B4C"/>
    <w:rsid w:val="00806BFC"/>
    <w:rsid w:val="00811236"/>
    <w:rsid w:val="00817418"/>
    <w:rsid w:val="00820D87"/>
    <w:rsid w:val="00822148"/>
    <w:rsid w:val="00825D1F"/>
    <w:rsid w:val="00830037"/>
    <w:rsid w:val="00830D61"/>
    <w:rsid w:val="0083376C"/>
    <w:rsid w:val="00834471"/>
    <w:rsid w:val="00844507"/>
    <w:rsid w:val="00851D4C"/>
    <w:rsid w:val="00854E07"/>
    <w:rsid w:val="00861A27"/>
    <w:rsid w:val="00867E11"/>
    <w:rsid w:val="00871F76"/>
    <w:rsid w:val="00877C44"/>
    <w:rsid w:val="00883734"/>
    <w:rsid w:val="008906AC"/>
    <w:rsid w:val="008B75D0"/>
    <w:rsid w:val="008C500E"/>
    <w:rsid w:val="008D1809"/>
    <w:rsid w:val="008E1CB3"/>
    <w:rsid w:val="008E292D"/>
    <w:rsid w:val="008E2CEA"/>
    <w:rsid w:val="008E611A"/>
    <w:rsid w:val="008F15D4"/>
    <w:rsid w:val="008F2441"/>
    <w:rsid w:val="009023C8"/>
    <w:rsid w:val="009051B9"/>
    <w:rsid w:val="00905C0A"/>
    <w:rsid w:val="00906154"/>
    <w:rsid w:val="009105C7"/>
    <w:rsid w:val="00914420"/>
    <w:rsid w:val="00923CB5"/>
    <w:rsid w:val="00927070"/>
    <w:rsid w:val="00931484"/>
    <w:rsid w:val="009335D5"/>
    <w:rsid w:val="0095203D"/>
    <w:rsid w:val="00952874"/>
    <w:rsid w:val="009530D9"/>
    <w:rsid w:val="00954061"/>
    <w:rsid w:val="00957CFE"/>
    <w:rsid w:val="00962FA0"/>
    <w:rsid w:val="0096351E"/>
    <w:rsid w:val="00964FB9"/>
    <w:rsid w:val="00973089"/>
    <w:rsid w:val="00977615"/>
    <w:rsid w:val="009822D4"/>
    <w:rsid w:val="0098262B"/>
    <w:rsid w:val="00987987"/>
    <w:rsid w:val="0099611F"/>
    <w:rsid w:val="009961B7"/>
    <w:rsid w:val="00997819"/>
    <w:rsid w:val="009A5CC3"/>
    <w:rsid w:val="009B0544"/>
    <w:rsid w:val="009B1075"/>
    <w:rsid w:val="009C3525"/>
    <w:rsid w:val="009C3909"/>
    <w:rsid w:val="009D53DE"/>
    <w:rsid w:val="009E6A95"/>
    <w:rsid w:val="009F2D2F"/>
    <w:rsid w:val="009F5A05"/>
    <w:rsid w:val="00A16630"/>
    <w:rsid w:val="00A17F34"/>
    <w:rsid w:val="00A20C44"/>
    <w:rsid w:val="00A315F0"/>
    <w:rsid w:val="00A4254A"/>
    <w:rsid w:val="00A46015"/>
    <w:rsid w:val="00A551E7"/>
    <w:rsid w:val="00A61684"/>
    <w:rsid w:val="00A6362C"/>
    <w:rsid w:val="00A7344A"/>
    <w:rsid w:val="00A77246"/>
    <w:rsid w:val="00A8768B"/>
    <w:rsid w:val="00A91690"/>
    <w:rsid w:val="00A938BF"/>
    <w:rsid w:val="00A969C9"/>
    <w:rsid w:val="00A9721F"/>
    <w:rsid w:val="00AA7D93"/>
    <w:rsid w:val="00AA7E79"/>
    <w:rsid w:val="00AB3B6E"/>
    <w:rsid w:val="00AB4AF8"/>
    <w:rsid w:val="00AC77DE"/>
    <w:rsid w:val="00AD2183"/>
    <w:rsid w:val="00AD392C"/>
    <w:rsid w:val="00AE062E"/>
    <w:rsid w:val="00AE604E"/>
    <w:rsid w:val="00AF3B0F"/>
    <w:rsid w:val="00AF5FAB"/>
    <w:rsid w:val="00AF7C4C"/>
    <w:rsid w:val="00B01E24"/>
    <w:rsid w:val="00B02A6D"/>
    <w:rsid w:val="00B071F2"/>
    <w:rsid w:val="00B20F58"/>
    <w:rsid w:val="00B25A88"/>
    <w:rsid w:val="00B26689"/>
    <w:rsid w:val="00B305D2"/>
    <w:rsid w:val="00B353B7"/>
    <w:rsid w:val="00B357C2"/>
    <w:rsid w:val="00B3777E"/>
    <w:rsid w:val="00B43885"/>
    <w:rsid w:val="00B47632"/>
    <w:rsid w:val="00B55D98"/>
    <w:rsid w:val="00B71902"/>
    <w:rsid w:val="00B74AB9"/>
    <w:rsid w:val="00B84167"/>
    <w:rsid w:val="00B91D57"/>
    <w:rsid w:val="00B922C6"/>
    <w:rsid w:val="00BA3686"/>
    <w:rsid w:val="00BB6E66"/>
    <w:rsid w:val="00BC2205"/>
    <w:rsid w:val="00BC3468"/>
    <w:rsid w:val="00BC411D"/>
    <w:rsid w:val="00BC4FB2"/>
    <w:rsid w:val="00BD6C61"/>
    <w:rsid w:val="00BF0AFB"/>
    <w:rsid w:val="00BF0E98"/>
    <w:rsid w:val="00BF2932"/>
    <w:rsid w:val="00BF396C"/>
    <w:rsid w:val="00BF5BB6"/>
    <w:rsid w:val="00C079C4"/>
    <w:rsid w:val="00C246CB"/>
    <w:rsid w:val="00C3120B"/>
    <w:rsid w:val="00C36164"/>
    <w:rsid w:val="00C36F5E"/>
    <w:rsid w:val="00C4181C"/>
    <w:rsid w:val="00C519B1"/>
    <w:rsid w:val="00C54E7F"/>
    <w:rsid w:val="00C56AB3"/>
    <w:rsid w:val="00C77D1C"/>
    <w:rsid w:val="00C82B2D"/>
    <w:rsid w:val="00C833B0"/>
    <w:rsid w:val="00C92804"/>
    <w:rsid w:val="00C95193"/>
    <w:rsid w:val="00C952EC"/>
    <w:rsid w:val="00CA0E4F"/>
    <w:rsid w:val="00CA3C0C"/>
    <w:rsid w:val="00CA5AD7"/>
    <w:rsid w:val="00CA67B3"/>
    <w:rsid w:val="00CA7D59"/>
    <w:rsid w:val="00CB2ED4"/>
    <w:rsid w:val="00CB2F15"/>
    <w:rsid w:val="00CB36F6"/>
    <w:rsid w:val="00CB5D37"/>
    <w:rsid w:val="00CB67BA"/>
    <w:rsid w:val="00CC52E3"/>
    <w:rsid w:val="00CD14DA"/>
    <w:rsid w:val="00CD37E5"/>
    <w:rsid w:val="00CE18CE"/>
    <w:rsid w:val="00CE2D53"/>
    <w:rsid w:val="00CE3904"/>
    <w:rsid w:val="00CF1B8F"/>
    <w:rsid w:val="00D040FF"/>
    <w:rsid w:val="00D066B2"/>
    <w:rsid w:val="00D06984"/>
    <w:rsid w:val="00D10CD9"/>
    <w:rsid w:val="00D20628"/>
    <w:rsid w:val="00D33BB7"/>
    <w:rsid w:val="00D34E4F"/>
    <w:rsid w:val="00D53004"/>
    <w:rsid w:val="00D55DE9"/>
    <w:rsid w:val="00D57B18"/>
    <w:rsid w:val="00D619BC"/>
    <w:rsid w:val="00D67D2E"/>
    <w:rsid w:val="00D70FDF"/>
    <w:rsid w:val="00D71FB4"/>
    <w:rsid w:val="00D720FB"/>
    <w:rsid w:val="00D87F65"/>
    <w:rsid w:val="00D90B21"/>
    <w:rsid w:val="00D91C56"/>
    <w:rsid w:val="00D935EB"/>
    <w:rsid w:val="00D94D0E"/>
    <w:rsid w:val="00D96AA6"/>
    <w:rsid w:val="00DA1877"/>
    <w:rsid w:val="00DA623C"/>
    <w:rsid w:val="00DC0200"/>
    <w:rsid w:val="00DC329B"/>
    <w:rsid w:val="00DC58C2"/>
    <w:rsid w:val="00DD53D8"/>
    <w:rsid w:val="00DD59EA"/>
    <w:rsid w:val="00DF1E5D"/>
    <w:rsid w:val="00DF425D"/>
    <w:rsid w:val="00E02C21"/>
    <w:rsid w:val="00E0471F"/>
    <w:rsid w:val="00E1250A"/>
    <w:rsid w:val="00E20DE8"/>
    <w:rsid w:val="00E22880"/>
    <w:rsid w:val="00E337E7"/>
    <w:rsid w:val="00E3388B"/>
    <w:rsid w:val="00E349E3"/>
    <w:rsid w:val="00E4740D"/>
    <w:rsid w:val="00E47C44"/>
    <w:rsid w:val="00E65482"/>
    <w:rsid w:val="00E657DE"/>
    <w:rsid w:val="00E66974"/>
    <w:rsid w:val="00E67036"/>
    <w:rsid w:val="00E829A1"/>
    <w:rsid w:val="00E947CF"/>
    <w:rsid w:val="00EA061E"/>
    <w:rsid w:val="00EA0CC6"/>
    <w:rsid w:val="00EA3C17"/>
    <w:rsid w:val="00EB6818"/>
    <w:rsid w:val="00EC34DC"/>
    <w:rsid w:val="00EC44FD"/>
    <w:rsid w:val="00EC7BB0"/>
    <w:rsid w:val="00EE014A"/>
    <w:rsid w:val="00EE426C"/>
    <w:rsid w:val="00EF0AFE"/>
    <w:rsid w:val="00EF64CC"/>
    <w:rsid w:val="00EF78EF"/>
    <w:rsid w:val="00F00555"/>
    <w:rsid w:val="00F0440B"/>
    <w:rsid w:val="00F11EC5"/>
    <w:rsid w:val="00F235E3"/>
    <w:rsid w:val="00F24CF6"/>
    <w:rsid w:val="00F31808"/>
    <w:rsid w:val="00F36222"/>
    <w:rsid w:val="00F40D1D"/>
    <w:rsid w:val="00F530A7"/>
    <w:rsid w:val="00F5604D"/>
    <w:rsid w:val="00F60D95"/>
    <w:rsid w:val="00F6715F"/>
    <w:rsid w:val="00F701EA"/>
    <w:rsid w:val="00F75ACA"/>
    <w:rsid w:val="00F85D18"/>
    <w:rsid w:val="00F910CC"/>
    <w:rsid w:val="00F94C80"/>
    <w:rsid w:val="00FA51E9"/>
    <w:rsid w:val="00FA5E75"/>
    <w:rsid w:val="00FB0A09"/>
    <w:rsid w:val="00FB112C"/>
    <w:rsid w:val="00FB465B"/>
    <w:rsid w:val="00FB5371"/>
    <w:rsid w:val="00FC0BBE"/>
    <w:rsid w:val="00FC0EB4"/>
    <w:rsid w:val="00FC1BCE"/>
    <w:rsid w:val="00FC38CB"/>
    <w:rsid w:val="00FC4C67"/>
    <w:rsid w:val="00FC6B3E"/>
    <w:rsid w:val="00FD3D93"/>
    <w:rsid w:val="00FD56A1"/>
    <w:rsid w:val="00FD71EF"/>
    <w:rsid w:val="00FF05EA"/>
    <w:rsid w:val="00FF1CB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19125FC9-6911-4A6D-B626-A21226A1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21474E"/>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474E"/>
  </w:style>
  <w:style w:type="paragraph" w:styleId="Footer">
    <w:name w:val="footer"/>
    <w:basedOn w:val="Normal"/>
    <w:link w:val="FooterChar"/>
    <w:uiPriority w:val="99"/>
    <w:unhideWhenUsed/>
    <w:rsid w:val="002147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4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2.xml><?xml version="1.0" encoding="utf-8"?>
<ds:datastoreItem xmlns:ds="http://schemas.openxmlformats.org/officeDocument/2006/customXml" ds:itemID="{9D88E76C-957A-4E3B-97D0-C4F62E546F13}">
  <ds:schemaRefs>
    <ds:schemaRef ds:uri="http://purl.org/dc/dcmityp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E1010F-DB22-44E1-A48B-7B8376DB2A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8291</Words>
  <Characters>4726</Characters>
  <Application>Microsoft Office Word</Application>
  <DocSecurity>0</DocSecurity>
  <Lines>39</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Ilze Grava</cp:lastModifiedBy>
  <cp:revision>2</cp:revision>
  <cp:lastPrinted>2022-05-24T05:55:00Z</cp:lastPrinted>
  <dcterms:created xsi:type="dcterms:W3CDTF">2023-05-31T07:01:00Z</dcterms:created>
  <dcterms:modified xsi:type="dcterms:W3CDTF">2023-05-31T07:01:00Z</dcterms:modified>
</cp:coreProperties>
</file>