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29D7F" w14:textId="153BC269" w:rsidR="004D7D20" w:rsidRPr="001A75A9" w:rsidRDefault="004D7D20" w:rsidP="003B57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75A9">
        <w:rPr>
          <w:rFonts w:ascii="Times New Roman" w:hAnsi="Times New Roman" w:cs="Times New Roman"/>
          <w:b/>
          <w:bCs/>
          <w:sz w:val="24"/>
          <w:szCs w:val="24"/>
        </w:rPr>
        <w:t>Latvijas Bankas noteikumu projekt</w:t>
      </w:r>
      <w:r w:rsidR="001917FE" w:rsidRPr="001A75A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1A75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4078" w:rsidRPr="001A75A9">
        <w:rPr>
          <w:rFonts w:ascii="Times New Roman" w:hAnsi="Times New Roman" w:cs="Times New Roman"/>
          <w:b/>
          <w:bCs/>
          <w:sz w:val="24"/>
          <w:szCs w:val="24"/>
        </w:rPr>
        <w:t>"Grozījumi Latvijas Bankas 2022.</w:t>
      </w:r>
      <w:r w:rsidR="00954B88" w:rsidRPr="001A75A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94078" w:rsidRPr="001A75A9">
        <w:rPr>
          <w:rFonts w:ascii="Times New Roman" w:hAnsi="Times New Roman" w:cs="Times New Roman"/>
          <w:b/>
          <w:bCs/>
          <w:sz w:val="24"/>
          <w:szCs w:val="24"/>
        </w:rPr>
        <w:t>gada 19.</w:t>
      </w:r>
      <w:r w:rsidR="00954B88" w:rsidRPr="001A75A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94078" w:rsidRPr="001A75A9">
        <w:rPr>
          <w:rFonts w:ascii="Times New Roman" w:hAnsi="Times New Roman" w:cs="Times New Roman"/>
          <w:b/>
          <w:bCs/>
          <w:sz w:val="24"/>
          <w:szCs w:val="24"/>
        </w:rPr>
        <w:t>decembra noteikumos Nr.</w:t>
      </w:r>
      <w:r w:rsidR="00954B88" w:rsidRPr="001A75A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94078" w:rsidRPr="001A75A9">
        <w:rPr>
          <w:rFonts w:ascii="Times New Roman" w:hAnsi="Times New Roman" w:cs="Times New Roman"/>
          <w:b/>
          <w:bCs/>
          <w:sz w:val="24"/>
          <w:szCs w:val="24"/>
        </w:rPr>
        <w:t xml:space="preserve">235 </w:t>
      </w:r>
      <w:r w:rsidRPr="001A75A9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9D58A7" w:rsidRPr="001A75A9">
        <w:rPr>
          <w:rFonts w:ascii="Times New Roman" w:hAnsi="Times New Roman" w:cs="Times New Roman"/>
          <w:b/>
          <w:bCs/>
          <w:sz w:val="24"/>
          <w:szCs w:val="24"/>
        </w:rPr>
        <w:t>Noteikumi par f</w:t>
      </w:r>
      <w:r w:rsidR="00B54D74" w:rsidRPr="001A75A9">
        <w:rPr>
          <w:rFonts w:ascii="Times New Roman" w:hAnsi="Times New Roman" w:cs="Times New Roman"/>
          <w:b/>
          <w:bCs/>
          <w:sz w:val="24"/>
          <w:szCs w:val="24"/>
        </w:rPr>
        <w:t>inanšu tirgus dalībnieku maksājum</w:t>
      </w:r>
      <w:r w:rsidR="00570A14" w:rsidRPr="001A75A9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B54D74" w:rsidRPr="001A75A9">
        <w:rPr>
          <w:rFonts w:ascii="Times New Roman" w:hAnsi="Times New Roman" w:cs="Times New Roman"/>
          <w:b/>
          <w:bCs/>
          <w:sz w:val="24"/>
          <w:szCs w:val="24"/>
        </w:rPr>
        <w:t xml:space="preserve"> apmēr</w:t>
      </w:r>
      <w:r w:rsidR="009D58A7" w:rsidRPr="001A75A9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B54D74" w:rsidRPr="001A75A9">
        <w:rPr>
          <w:rFonts w:ascii="Times New Roman" w:hAnsi="Times New Roman" w:cs="Times New Roman"/>
          <w:b/>
          <w:bCs/>
          <w:sz w:val="24"/>
          <w:szCs w:val="24"/>
        </w:rPr>
        <w:t xml:space="preserve"> un šo maksājumu aprēķināšanas un veikšanas kārtīb</w:t>
      </w:r>
      <w:r w:rsidR="009D58A7" w:rsidRPr="001A75A9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1A75A9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294078" w:rsidRPr="001A75A9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1917FE" w:rsidRPr="001A75A9">
        <w:rPr>
          <w:rFonts w:ascii="Times New Roman" w:hAnsi="Times New Roman" w:cs="Times New Roman"/>
          <w:b/>
          <w:bCs/>
          <w:sz w:val="24"/>
          <w:szCs w:val="24"/>
        </w:rPr>
        <w:t xml:space="preserve"> anotācija</w:t>
      </w:r>
    </w:p>
    <w:tbl>
      <w:tblPr>
        <w:tblStyle w:val="TableGrid"/>
        <w:tblW w:w="8359" w:type="dxa"/>
        <w:tblLook w:val="04A0" w:firstRow="1" w:lastRow="0" w:firstColumn="1" w:lastColumn="0" w:noHBand="0" w:noVBand="1"/>
      </w:tblPr>
      <w:tblGrid>
        <w:gridCol w:w="2547"/>
        <w:gridCol w:w="5812"/>
      </w:tblGrid>
      <w:tr w:rsidR="004D7D20" w:rsidRPr="00BF0AFB" w14:paraId="2AC98F6A" w14:textId="77777777" w:rsidTr="004D7D20">
        <w:tc>
          <w:tcPr>
            <w:tcW w:w="2547" w:type="dxa"/>
          </w:tcPr>
          <w:p w14:paraId="68548ECA" w14:textId="5D13C2FE" w:rsidR="004D7D20" w:rsidRPr="00B447E1" w:rsidRDefault="004D7D20" w:rsidP="00CB2ED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Nosaukums</w:t>
            </w:r>
          </w:p>
        </w:tc>
        <w:tc>
          <w:tcPr>
            <w:tcW w:w="5812" w:type="dxa"/>
          </w:tcPr>
          <w:p w14:paraId="0EF6BD51" w14:textId="0EAC3897" w:rsidR="004D7D20" w:rsidRPr="00BF0AFB" w:rsidRDefault="00A934A4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Grozījumi </w:t>
            </w:r>
            <w:r w:rsidR="00294078">
              <w:rPr>
                <w:rFonts w:ascii="Times New Roman" w:hAnsi="Times New Roman" w:cs="Times New Roman"/>
                <w:sz w:val="24"/>
                <w:szCs w:val="24"/>
              </w:rPr>
              <w:t xml:space="preserve">Latvijas Bankas </w:t>
            </w:r>
            <w:r w:rsidR="00294078" w:rsidRPr="00294078">
              <w:rPr>
                <w:rFonts w:ascii="Times New Roman" w:hAnsi="Times New Roman" w:cs="Times New Roman"/>
                <w:sz w:val="24"/>
                <w:szCs w:val="24"/>
              </w:rPr>
              <w:t>2022.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94078" w:rsidRPr="00294078">
              <w:rPr>
                <w:rFonts w:ascii="Times New Roman" w:hAnsi="Times New Roman" w:cs="Times New Roman"/>
                <w:sz w:val="24"/>
                <w:szCs w:val="24"/>
              </w:rPr>
              <w:t>gada 19.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94078" w:rsidRPr="00294078">
              <w:rPr>
                <w:rFonts w:ascii="Times New Roman" w:hAnsi="Times New Roman" w:cs="Times New Roman"/>
                <w:sz w:val="24"/>
                <w:szCs w:val="24"/>
              </w:rPr>
              <w:t>decembra noteikumos Nr.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94078" w:rsidRPr="00294078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="00294078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="009D58A7">
              <w:rPr>
                <w:rFonts w:ascii="Times New Roman" w:hAnsi="Times New Roman" w:cs="Times New Roman"/>
                <w:sz w:val="24"/>
                <w:szCs w:val="24"/>
              </w:rPr>
              <w:t>Noteikumi par f</w:t>
            </w:r>
            <w:r w:rsidR="00B54D74" w:rsidRPr="00B54D74">
              <w:rPr>
                <w:rFonts w:ascii="Times New Roman" w:hAnsi="Times New Roman" w:cs="Times New Roman"/>
                <w:sz w:val="24"/>
                <w:szCs w:val="24"/>
              </w:rPr>
              <w:t>inanšu tirgus dalībnieku maksājum</w:t>
            </w:r>
            <w:r w:rsidR="008D028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B54D74" w:rsidRPr="00B54D74">
              <w:rPr>
                <w:rFonts w:ascii="Times New Roman" w:hAnsi="Times New Roman" w:cs="Times New Roman"/>
                <w:sz w:val="24"/>
                <w:szCs w:val="24"/>
              </w:rPr>
              <w:t xml:space="preserve"> apmēr</w:t>
            </w:r>
            <w:r w:rsidR="009D58A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B54D74" w:rsidRPr="00B54D74">
              <w:rPr>
                <w:rFonts w:ascii="Times New Roman" w:hAnsi="Times New Roman" w:cs="Times New Roman"/>
                <w:sz w:val="24"/>
                <w:szCs w:val="24"/>
              </w:rPr>
              <w:t xml:space="preserve"> un šo maksājumu aprēķināšanas un veikšanas kārtīb</w:t>
            </w:r>
            <w:r w:rsidR="009D58A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29407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3599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D501D">
              <w:rPr>
                <w:rFonts w:ascii="Times New Roman" w:hAnsi="Times New Roman" w:cs="Times New Roman"/>
                <w:sz w:val="24"/>
                <w:szCs w:val="24"/>
              </w:rPr>
              <w:t>turpmāk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3599D">
              <w:rPr>
                <w:rFonts w:ascii="Times New Roman" w:hAnsi="Times New Roman" w:cs="Times New Roman"/>
                <w:sz w:val="24"/>
                <w:szCs w:val="24"/>
              </w:rPr>
              <w:t>– Noteikumu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599D">
              <w:rPr>
                <w:rFonts w:ascii="Times New Roman" w:hAnsi="Times New Roman" w:cs="Times New Roman"/>
                <w:sz w:val="24"/>
                <w:szCs w:val="24"/>
              </w:rPr>
              <w:t>projekts)</w:t>
            </w:r>
          </w:p>
        </w:tc>
      </w:tr>
      <w:tr w:rsidR="004D7D20" w:rsidRPr="00BF0AFB" w14:paraId="02230D17" w14:textId="77777777" w:rsidTr="004D7D20">
        <w:tc>
          <w:tcPr>
            <w:tcW w:w="2547" w:type="dxa"/>
          </w:tcPr>
          <w:p w14:paraId="118F97D3" w14:textId="47F841DE" w:rsidR="004D7D20" w:rsidRPr="00B447E1" w:rsidRDefault="004D7D20" w:rsidP="00CB2ED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Dokumenta veids</w:t>
            </w:r>
          </w:p>
        </w:tc>
        <w:tc>
          <w:tcPr>
            <w:tcW w:w="5812" w:type="dxa"/>
          </w:tcPr>
          <w:p w14:paraId="4CC0239D" w14:textId="48241936" w:rsidR="004D7D20" w:rsidRPr="00BF0AFB" w:rsidRDefault="001917FE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7FE">
              <w:rPr>
                <w:rFonts w:ascii="Times New Roman" w:hAnsi="Times New Roman" w:cs="Times New Roman"/>
                <w:sz w:val="24"/>
                <w:szCs w:val="24"/>
              </w:rPr>
              <w:t>Latvijas Bank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 n</w:t>
            </w: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>oteikumi</w:t>
            </w:r>
          </w:p>
        </w:tc>
      </w:tr>
      <w:tr w:rsidR="004D7D20" w:rsidRPr="00BF0AFB" w14:paraId="1E36ACC8" w14:textId="77777777" w:rsidTr="004D7D20">
        <w:tc>
          <w:tcPr>
            <w:tcW w:w="2547" w:type="dxa"/>
          </w:tcPr>
          <w:p w14:paraId="15B9D0AC" w14:textId="168434E5" w:rsidR="004D7D20" w:rsidRPr="00B447E1" w:rsidRDefault="004D7D20" w:rsidP="00CB2ED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Izdošanas pamatojums</w:t>
            </w:r>
          </w:p>
        </w:tc>
        <w:tc>
          <w:tcPr>
            <w:tcW w:w="5812" w:type="dxa"/>
          </w:tcPr>
          <w:p w14:paraId="14871B80" w14:textId="0003A345" w:rsidR="00AF3B0F" w:rsidRPr="00BF0AFB" w:rsidRDefault="004D7D20" w:rsidP="00E06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 xml:space="preserve">Latvijas Bankas likuma </w:t>
            </w:r>
            <w:r w:rsidR="00B54D7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36F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>pant</w:t>
            </w:r>
            <w:r w:rsidR="00F67AF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 xml:space="preserve"> otrā daļa</w:t>
            </w:r>
            <w:r w:rsidR="00294078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 w:rsidR="00450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12B" w:rsidRPr="0045012B">
              <w:rPr>
                <w:rFonts w:ascii="Times New Roman" w:hAnsi="Times New Roman" w:cs="Times New Roman"/>
                <w:sz w:val="24"/>
                <w:szCs w:val="24"/>
              </w:rPr>
              <w:t>Kolektīvās finansēšanas pakalpojumu likuma 16.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012B" w:rsidRPr="0045012B">
              <w:rPr>
                <w:rFonts w:ascii="Times New Roman" w:hAnsi="Times New Roman" w:cs="Times New Roman"/>
                <w:sz w:val="24"/>
                <w:szCs w:val="24"/>
              </w:rPr>
              <w:t>panta otr</w:t>
            </w:r>
            <w:r w:rsidR="0045012B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45012B" w:rsidRPr="0045012B">
              <w:rPr>
                <w:rFonts w:ascii="Times New Roman" w:hAnsi="Times New Roman" w:cs="Times New Roman"/>
                <w:sz w:val="24"/>
                <w:szCs w:val="24"/>
              </w:rPr>
              <w:t xml:space="preserve"> daļ</w:t>
            </w:r>
            <w:r w:rsidR="0045012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5012B" w:rsidRPr="00450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7D20" w:rsidRPr="00BF0AFB" w14:paraId="46DB522F" w14:textId="77777777" w:rsidTr="004D7D20">
        <w:tc>
          <w:tcPr>
            <w:tcW w:w="2547" w:type="dxa"/>
          </w:tcPr>
          <w:p w14:paraId="2B8F0582" w14:textId="56625A1A" w:rsidR="004D7D20" w:rsidRPr="00B447E1" w:rsidRDefault="009E6A95" w:rsidP="00CB2ED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Mērķis un būtība</w:t>
            </w:r>
          </w:p>
        </w:tc>
        <w:tc>
          <w:tcPr>
            <w:tcW w:w="5812" w:type="dxa"/>
          </w:tcPr>
          <w:p w14:paraId="73318E07" w14:textId="77777777" w:rsidR="00555FCD" w:rsidRDefault="00555FCD" w:rsidP="00555F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Noteikumu projekts: </w:t>
            </w:r>
          </w:p>
          <w:p w14:paraId="4F228D9D" w14:textId="163AFB86" w:rsidR="00555FCD" w:rsidRDefault="00D06F8C" w:rsidP="00555FCD">
            <w:pPr>
              <w:pStyle w:val="NApunkts2"/>
              <w:numPr>
                <w:ilvl w:val="0"/>
                <w:numId w:val="4"/>
              </w:numPr>
              <w:rPr>
                <w:noProof/>
              </w:rPr>
            </w:pPr>
            <w:r>
              <w:rPr>
                <w:noProof/>
              </w:rPr>
              <w:t xml:space="preserve">precizē </w:t>
            </w:r>
            <w:r w:rsidR="00555FCD" w:rsidRPr="00555FCD">
              <w:rPr>
                <w:noProof/>
              </w:rPr>
              <w:t>licencēta</w:t>
            </w:r>
            <w:r w:rsidR="007968F0">
              <w:rPr>
                <w:noProof/>
              </w:rPr>
              <w:t>s</w:t>
            </w:r>
            <w:r w:rsidR="00555FCD" w:rsidRPr="00555FCD">
              <w:rPr>
                <w:noProof/>
              </w:rPr>
              <w:t xml:space="preserve"> ieguldījumu brokeru sabiedrība</w:t>
            </w:r>
            <w:r w:rsidR="007968F0">
              <w:rPr>
                <w:noProof/>
              </w:rPr>
              <w:t>s</w:t>
            </w:r>
            <w:r w:rsidR="00555FCD" w:rsidRPr="00555FCD">
              <w:rPr>
                <w:noProof/>
              </w:rPr>
              <w:t>, citas dalībvalsts ieguldījumu brokeru sabiedrības filiāle</w:t>
            </w:r>
            <w:r w:rsidR="007968F0">
              <w:rPr>
                <w:noProof/>
              </w:rPr>
              <w:t>s</w:t>
            </w:r>
            <w:r w:rsidR="00555FCD" w:rsidRPr="00555FCD">
              <w:rPr>
                <w:noProof/>
              </w:rPr>
              <w:t xml:space="preserve"> Latvijā un ārvalsts ieguldījumu brokeru sabiedrības filiāle</w:t>
            </w:r>
            <w:r w:rsidR="007968F0">
              <w:rPr>
                <w:noProof/>
              </w:rPr>
              <w:t>s</w:t>
            </w:r>
            <w:r w:rsidR="00555FCD" w:rsidRPr="00555FCD">
              <w:rPr>
                <w:noProof/>
              </w:rPr>
              <w:t xml:space="preserve"> Latvijā </w:t>
            </w:r>
            <w:r w:rsidR="00687DDC">
              <w:rPr>
                <w:noProof/>
              </w:rPr>
              <w:t xml:space="preserve">maksājamo </w:t>
            </w:r>
            <w:r>
              <w:rPr>
                <w:noProof/>
              </w:rPr>
              <w:t>likmi</w:t>
            </w:r>
            <w:r w:rsidR="00555FCD">
              <w:rPr>
                <w:noProof/>
              </w:rPr>
              <w:t xml:space="preserve"> un minimāl</w:t>
            </w:r>
            <w:r>
              <w:rPr>
                <w:noProof/>
              </w:rPr>
              <w:t>o</w:t>
            </w:r>
            <w:r w:rsidR="00555FCD">
              <w:rPr>
                <w:noProof/>
              </w:rPr>
              <w:t xml:space="preserve"> maksājum</w:t>
            </w:r>
            <w:r>
              <w:rPr>
                <w:noProof/>
              </w:rPr>
              <w:t>u</w:t>
            </w:r>
            <w:r w:rsidR="00555FCD">
              <w:rPr>
                <w:noProof/>
              </w:rPr>
              <w:t xml:space="preserve"> gadā atbilstoši </w:t>
            </w:r>
            <w:r w:rsidR="00D230AB">
              <w:rPr>
                <w:noProof/>
              </w:rPr>
              <w:t xml:space="preserve">2024. gada </w:t>
            </w:r>
            <w:r w:rsidR="00D230AB" w:rsidRPr="00D230AB">
              <w:rPr>
                <w:noProof/>
              </w:rPr>
              <w:t>26.</w:t>
            </w:r>
            <w:r w:rsidR="00D230AB">
              <w:rPr>
                <w:noProof/>
              </w:rPr>
              <w:t> septembrī pieņemtaj</w:t>
            </w:r>
            <w:r w:rsidR="00C45B6A">
              <w:rPr>
                <w:noProof/>
              </w:rPr>
              <w:t>a</w:t>
            </w:r>
            <w:r w:rsidR="00D230AB">
              <w:rPr>
                <w:noProof/>
              </w:rPr>
              <w:t xml:space="preserve">m </w:t>
            </w:r>
            <w:r w:rsidR="00C45B6A">
              <w:rPr>
                <w:noProof/>
              </w:rPr>
              <w:t>likumam "G</w:t>
            </w:r>
            <w:r w:rsidR="00555FCD">
              <w:rPr>
                <w:noProof/>
              </w:rPr>
              <w:t xml:space="preserve">rozījumi </w:t>
            </w:r>
            <w:r w:rsidR="00555FCD" w:rsidRPr="00555FCD">
              <w:rPr>
                <w:noProof/>
              </w:rPr>
              <w:t>Ieguldījumu brokeru sabiedrību likum</w:t>
            </w:r>
            <w:r w:rsidR="00555FCD">
              <w:rPr>
                <w:noProof/>
              </w:rPr>
              <w:t>ā</w:t>
            </w:r>
            <w:r w:rsidR="00C45B6A">
              <w:rPr>
                <w:noProof/>
              </w:rPr>
              <w:t>"</w:t>
            </w:r>
            <w:r w:rsidR="00555FCD">
              <w:rPr>
                <w:noProof/>
              </w:rPr>
              <w:t xml:space="preserve">. </w:t>
            </w:r>
            <w:r w:rsidR="007968F0">
              <w:rPr>
                <w:noProof/>
              </w:rPr>
              <w:t>I</w:t>
            </w:r>
            <w:r w:rsidR="00687DDC" w:rsidRPr="00687DDC">
              <w:rPr>
                <w:noProof/>
              </w:rPr>
              <w:t xml:space="preserve">eguldījumu brokeru sabiedrības </w:t>
            </w:r>
            <w:r w:rsidR="00555FCD" w:rsidRPr="00555FCD">
              <w:rPr>
                <w:noProof/>
              </w:rPr>
              <w:t>darījumu bruto ieņēmumiem katrā kalendārā gada ceturksnī</w:t>
            </w:r>
            <w:r w:rsidR="007968F0">
              <w:rPr>
                <w:noProof/>
              </w:rPr>
              <w:t xml:space="preserve"> piemērojamā likme palielināta no 1</w:t>
            </w:r>
            <w:r w:rsidR="00C45B6A">
              <w:rPr>
                <w:noProof/>
              </w:rPr>
              <w:t> </w:t>
            </w:r>
            <w:r w:rsidR="007968F0">
              <w:rPr>
                <w:noProof/>
              </w:rPr>
              <w:t>% līdz 1.4</w:t>
            </w:r>
            <w:r w:rsidR="00C45B6A">
              <w:rPr>
                <w:noProof/>
              </w:rPr>
              <w:t> </w:t>
            </w:r>
            <w:r w:rsidR="007968F0">
              <w:rPr>
                <w:noProof/>
              </w:rPr>
              <w:t>%</w:t>
            </w:r>
            <w:r>
              <w:rPr>
                <w:noProof/>
              </w:rPr>
              <w:t>, minimālais maksājums gadā palielināts no 2845 </w:t>
            </w:r>
            <w:r w:rsidR="007968F0">
              <w:rPr>
                <w:noProof/>
              </w:rPr>
              <w:t>eiro</w:t>
            </w:r>
            <w:r>
              <w:rPr>
                <w:noProof/>
              </w:rPr>
              <w:t xml:space="preserve"> līdz 5000 </w:t>
            </w:r>
            <w:r w:rsidR="007968F0" w:rsidRPr="00B447E1">
              <w:rPr>
                <w:i/>
                <w:iCs/>
                <w:noProof/>
              </w:rPr>
              <w:t>e</w:t>
            </w:r>
            <w:r w:rsidR="00C45B6A" w:rsidRPr="00B447E1">
              <w:rPr>
                <w:i/>
                <w:iCs/>
                <w:noProof/>
              </w:rPr>
              <w:t>u</w:t>
            </w:r>
            <w:r w:rsidR="007968F0" w:rsidRPr="00B447E1">
              <w:rPr>
                <w:i/>
                <w:iCs/>
                <w:noProof/>
              </w:rPr>
              <w:t>ro</w:t>
            </w:r>
            <w:r>
              <w:rPr>
                <w:noProof/>
              </w:rPr>
              <w:t>;</w:t>
            </w:r>
          </w:p>
          <w:p w14:paraId="70F0C7A6" w14:textId="4570B73F" w:rsidR="00074F1A" w:rsidRDefault="00D06F8C" w:rsidP="00555FCD">
            <w:pPr>
              <w:pStyle w:val="NApunkts2"/>
              <w:numPr>
                <w:ilvl w:val="0"/>
                <w:numId w:val="4"/>
              </w:numPr>
              <w:rPr>
                <w:noProof/>
              </w:rPr>
            </w:pPr>
            <w:r>
              <w:rPr>
                <w:noProof/>
              </w:rPr>
              <w:t>papildin</w:t>
            </w:r>
            <w:r w:rsidR="00C45B6A">
              <w:rPr>
                <w:noProof/>
              </w:rPr>
              <w:t>a noteikumus</w:t>
            </w:r>
            <w:r>
              <w:rPr>
                <w:noProof/>
              </w:rPr>
              <w:t xml:space="preserve"> ar maksājumu apmēru un </w:t>
            </w:r>
            <w:r w:rsidRPr="00D06F8C">
              <w:rPr>
                <w:noProof/>
              </w:rPr>
              <w:t>šo maksājumu aprēķināšanas un veikšanas kārtību kriptoaktīvu pakalpojumu sniedzējam</w:t>
            </w:r>
            <w:r>
              <w:rPr>
                <w:noProof/>
              </w:rPr>
              <w:t xml:space="preserve"> atbilstoši </w:t>
            </w:r>
            <w:r w:rsidRPr="00D06F8C">
              <w:rPr>
                <w:noProof/>
              </w:rPr>
              <w:t>Kriptoaktīvu pakalpojumu liku</w:t>
            </w:r>
            <w:r>
              <w:rPr>
                <w:noProof/>
              </w:rPr>
              <w:t xml:space="preserve">mam. Maksājums noteikts </w:t>
            </w:r>
            <w:r w:rsidRPr="00D06F8C">
              <w:rPr>
                <w:noProof/>
              </w:rPr>
              <w:t>0.6 procent</w:t>
            </w:r>
            <w:r w:rsidR="00687DDC">
              <w:rPr>
                <w:noProof/>
              </w:rPr>
              <w:t>u</w:t>
            </w:r>
            <w:r w:rsidRPr="00D06F8C">
              <w:rPr>
                <w:noProof/>
              </w:rPr>
              <w:t xml:space="preserve"> </w:t>
            </w:r>
            <w:r>
              <w:rPr>
                <w:noProof/>
              </w:rPr>
              <w:t>apmērā</w:t>
            </w:r>
            <w:r w:rsidRPr="00D06F8C">
              <w:rPr>
                <w:noProof/>
              </w:rPr>
              <w:t xml:space="preserve"> no bruto ieņēmumiem, kuri saistīti ar kriptoaktīvu pakalpojumu sniegšanu, bet ne mazāk kā 3000</w:t>
            </w:r>
            <w:r>
              <w:rPr>
                <w:noProof/>
              </w:rPr>
              <w:t> </w:t>
            </w:r>
            <w:r w:rsidR="007968F0" w:rsidRPr="00B447E1">
              <w:rPr>
                <w:i/>
                <w:iCs/>
                <w:noProof/>
              </w:rPr>
              <w:t>e</w:t>
            </w:r>
            <w:r w:rsidR="00C45B6A" w:rsidRPr="00B447E1">
              <w:rPr>
                <w:i/>
                <w:iCs/>
                <w:noProof/>
              </w:rPr>
              <w:t>u</w:t>
            </w:r>
            <w:r w:rsidR="007968F0" w:rsidRPr="00B447E1">
              <w:rPr>
                <w:i/>
                <w:iCs/>
                <w:noProof/>
              </w:rPr>
              <w:t>ro</w:t>
            </w:r>
            <w:r>
              <w:rPr>
                <w:noProof/>
              </w:rPr>
              <w:t xml:space="preserve"> </w:t>
            </w:r>
            <w:r w:rsidRPr="00D06F8C">
              <w:rPr>
                <w:noProof/>
              </w:rPr>
              <w:t>gadā</w:t>
            </w:r>
            <w:r>
              <w:rPr>
                <w:noProof/>
              </w:rPr>
              <w:t xml:space="preserve"> </w:t>
            </w:r>
            <w:r w:rsidRPr="00D06F8C">
              <w:rPr>
                <w:noProof/>
              </w:rPr>
              <w:t>un kopsummā ne vairāk kā 300</w:t>
            </w:r>
            <w:r>
              <w:rPr>
                <w:noProof/>
              </w:rPr>
              <w:t> </w:t>
            </w:r>
            <w:r w:rsidRPr="00D06F8C">
              <w:rPr>
                <w:noProof/>
              </w:rPr>
              <w:t>000</w:t>
            </w:r>
            <w:r>
              <w:rPr>
                <w:noProof/>
              </w:rPr>
              <w:t> </w:t>
            </w:r>
            <w:r w:rsidR="007968F0" w:rsidRPr="00B447E1">
              <w:rPr>
                <w:i/>
                <w:iCs/>
                <w:noProof/>
              </w:rPr>
              <w:t>e</w:t>
            </w:r>
            <w:r w:rsidR="00C45B6A" w:rsidRPr="00B447E1">
              <w:rPr>
                <w:i/>
                <w:iCs/>
                <w:noProof/>
              </w:rPr>
              <w:t>u</w:t>
            </w:r>
            <w:r w:rsidR="007968F0" w:rsidRPr="00B447E1">
              <w:rPr>
                <w:i/>
                <w:iCs/>
                <w:noProof/>
              </w:rPr>
              <w:t>ro</w:t>
            </w:r>
            <w:r w:rsidRPr="00D06F8C">
              <w:rPr>
                <w:noProof/>
              </w:rPr>
              <w:t xml:space="preserve"> gadā</w:t>
            </w:r>
            <w:r>
              <w:rPr>
                <w:noProof/>
              </w:rPr>
              <w:t>.</w:t>
            </w:r>
            <w:r w:rsidR="00BE6ADF">
              <w:rPr>
                <w:noProof/>
              </w:rPr>
              <w:t xml:space="preserve"> </w:t>
            </w:r>
          </w:p>
          <w:p w14:paraId="1A6B0370" w14:textId="550917C7" w:rsidR="00BE6ADF" w:rsidRDefault="003846FC" w:rsidP="00074F1A">
            <w:pPr>
              <w:pStyle w:val="NApunkts2"/>
              <w:numPr>
                <w:ilvl w:val="0"/>
                <w:numId w:val="0"/>
              </w:numPr>
              <w:ind w:left="748"/>
              <w:rPr>
                <w:noProof/>
              </w:rPr>
            </w:pPr>
            <w:r w:rsidRPr="003846FC">
              <w:rPr>
                <w:noProof/>
              </w:rPr>
              <w:t>Maksimālais maksājum</w:t>
            </w:r>
            <w:r w:rsidR="00687DDC">
              <w:rPr>
                <w:noProof/>
              </w:rPr>
              <w:t>a</w:t>
            </w:r>
            <w:r w:rsidRPr="003846FC">
              <w:rPr>
                <w:noProof/>
              </w:rPr>
              <w:t xml:space="preserve"> apmērs 300</w:t>
            </w:r>
            <w:r>
              <w:rPr>
                <w:noProof/>
              </w:rPr>
              <w:t> 000 </w:t>
            </w:r>
            <w:r w:rsidR="007968F0" w:rsidRPr="00B447E1">
              <w:rPr>
                <w:i/>
                <w:iCs/>
                <w:noProof/>
              </w:rPr>
              <w:t>e</w:t>
            </w:r>
            <w:r w:rsidR="00C45B6A" w:rsidRPr="00B447E1">
              <w:rPr>
                <w:i/>
                <w:iCs/>
                <w:noProof/>
              </w:rPr>
              <w:t>u</w:t>
            </w:r>
            <w:r w:rsidR="007968F0" w:rsidRPr="00B447E1">
              <w:rPr>
                <w:i/>
                <w:iCs/>
                <w:noProof/>
              </w:rPr>
              <w:t>ro</w:t>
            </w:r>
            <w:r>
              <w:rPr>
                <w:noProof/>
              </w:rPr>
              <w:t xml:space="preserve"> </w:t>
            </w:r>
            <w:r w:rsidRPr="003846FC">
              <w:rPr>
                <w:noProof/>
              </w:rPr>
              <w:t>apjomā noteikts</w:t>
            </w:r>
            <w:r w:rsidR="00687DDC">
              <w:rPr>
                <w:noProof/>
              </w:rPr>
              <w:t>,</w:t>
            </w:r>
            <w:r w:rsidRPr="003846FC">
              <w:rPr>
                <w:noProof/>
              </w:rPr>
              <w:t xml:space="preserve"> balstoties uz </w:t>
            </w:r>
            <w:r w:rsidR="00687DDC">
              <w:rPr>
                <w:noProof/>
              </w:rPr>
              <w:t>aplēsi</w:t>
            </w:r>
            <w:r w:rsidRPr="003846FC">
              <w:rPr>
                <w:noProof/>
              </w:rPr>
              <w:t>, ka uzraudzība</w:t>
            </w:r>
            <w:r w:rsidR="00687DDC">
              <w:rPr>
                <w:noProof/>
              </w:rPr>
              <w:t>i</w:t>
            </w:r>
            <w:r w:rsidRPr="003846FC">
              <w:rPr>
                <w:noProof/>
              </w:rPr>
              <w:t xml:space="preserve"> </w:t>
            </w:r>
            <w:r w:rsidR="00687DDC">
              <w:rPr>
                <w:noProof/>
              </w:rPr>
              <w:t xml:space="preserve">nepieciešamie </w:t>
            </w:r>
            <w:r w:rsidRPr="003846FC">
              <w:rPr>
                <w:noProof/>
              </w:rPr>
              <w:t xml:space="preserve">resursi, lai veiktu viena liela </w:t>
            </w:r>
            <w:r w:rsidR="00C45B6A">
              <w:rPr>
                <w:noProof/>
              </w:rPr>
              <w:t xml:space="preserve">finanšu </w:t>
            </w:r>
            <w:r w:rsidRPr="003846FC">
              <w:rPr>
                <w:noProof/>
              </w:rPr>
              <w:t>tirgus dalībnieka uzraudzību (</w:t>
            </w:r>
            <w:r w:rsidR="00C45B6A">
              <w:rPr>
                <w:noProof/>
              </w:rPr>
              <w:t xml:space="preserve">finanšu </w:t>
            </w:r>
            <w:r w:rsidRPr="003846FC">
              <w:rPr>
                <w:noProof/>
              </w:rPr>
              <w:t>tirgus dalībnieks ar gada bruto ieņēmumiem līdz 50</w:t>
            </w:r>
            <w:r w:rsidR="00C45B6A">
              <w:rPr>
                <w:noProof/>
              </w:rPr>
              <w:t> </w:t>
            </w:r>
            <w:r w:rsidRPr="003846FC">
              <w:rPr>
                <w:noProof/>
              </w:rPr>
              <w:t>milj.</w:t>
            </w:r>
            <w:r w:rsidR="00C45B6A">
              <w:rPr>
                <w:noProof/>
              </w:rPr>
              <w:t> </w:t>
            </w:r>
            <w:r w:rsidRPr="00B447E1">
              <w:rPr>
                <w:i/>
                <w:iCs/>
                <w:noProof/>
              </w:rPr>
              <w:t>e</w:t>
            </w:r>
            <w:r w:rsidR="00C45B6A" w:rsidRPr="00B447E1">
              <w:rPr>
                <w:i/>
                <w:iCs/>
                <w:noProof/>
              </w:rPr>
              <w:t>u</w:t>
            </w:r>
            <w:r w:rsidRPr="00B447E1">
              <w:rPr>
                <w:i/>
                <w:iCs/>
                <w:noProof/>
              </w:rPr>
              <w:t>ro</w:t>
            </w:r>
            <w:r w:rsidRPr="003846FC">
              <w:rPr>
                <w:noProof/>
              </w:rPr>
              <w:t>)</w:t>
            </w:r>
            <w:r w:rsidR="00687DDC">
              <w:rPr>
                <w:noProof/>
              </w:rPr>
              <w:t>,</w:t>
            </w:r>
            <w:r w:rsidR="00687DDC" w:rsidRPr="003846FC">
              <w:rPr>
                <w:noProof/>
              </w:rPr>
              <w:t xml:space="preserve"> nepārsniegs šādu summu</w:t>
            </w:r>
            <w:r w:rsidRPr="003846FC">
              <w:rPr>
                <w:noProof/>
              </w:rPr>
              <w:t xml:space="preserve">. </w:t>
            </w:r>
            <w:r w:rsidR="00687DDC">
              <w:rPr>
                <w:noProof/>
              </w:rPr>
              <w:t>M</w:t>
            </w:r>
            <w:r w:rsidRPr="003846FC">
              <w:rPr>
                <w:noProof/>
              </w:rPr>
              <w:t>aksājumu apmēr</w:t>
            </w:r>
            <w:r w:rsidR="00687DDC">
              <w:rPr>
                <w:noProof/>
              </w:rPr>
              <w:t>s var tikt pārskatīts, ņemot vērā faktisko kriptoaktīvu tirgus attīstību, pakalpojumu sniedzēju darbības rādītājus un to uzraudzībai nepieciešamos resursus</w:t>
            </w:r>
            <w:r w:rsidRPr="003846FC">
              <w:rPr>
                <w:noProof/>
              </w:rPr>
              <w:t>.</w:t>
            </w:r>
          </w:p>
          <w:p w14:paraId="50A64D67" w14:textId="28B5FB4C" w:rsidR="00074F1A" w:rsidRDefault="00A23384">
            <w:pPr>
              <w:pStyle w:val="NApunkts2"/>
              <w:numPr>
                <w:ilvl w:val="0"/>
                <w:numId w:val="0"/>
              </w:numPr>
              <w:ind w:left="748"/>
              <w:rPr>
                <w:noProof/>
              </w:rPr>
            </w:pPr>
            <w:r>
              <w:rPr>
                <w:noProof/>
              </w:rPr>
              <w:lastRenderedPageBreak/>
              <w:t>V</w:t>
            </w:r>
            <w:r w:rsidR="00074F1A">
              <w:rPr>
                <w:noProof/>
              </w:rPr>
              <w:t xml:space="preserve">iens no </w:t>
            </w:r>
            <w:r w:rsidR="00C46318">
              <w:rPr>
                <w:noProof/>
              </w:rPr>
              <w:t xml:space="preserve">kriptoaktīvu pakalpojumu </w:t>
            </w:r>
            <w:r w:rsidR="00074F1A">
              <w:rPr>
                <w:noProof/>
              </w:rPr>
              <w:t xml:space="preserve">ienākumu veidiem ir </w:t>
            </w:r>
            <w:r w:rsidR="00A11079">
              <w:rPr>
                <w:noProof/>
              </w:rPr>
              <w:t xml:space="preserve">ienākumi no </w:t>
            </w:r>
            <w:r w:rsidR="00074F1A">
              <w:rPr>
                <w:noProof/>
              </w:rPr>
              <w:t>kriptoaktīvu ti</w:t>
            </w:r>
            <w:r w:rsidR="00E918D7">
              <w:rPr>
                <w:noProof/>
              </w:rPr>
              <w:t>rdzniecība</w:t>
            </w:r>
            <w:r w:rsidR="00A11079">
              <w:rPr>
                <w:noProof/>
              </w:rPr>
              <w:t>s</w:t>
            </w:r>
            <w:r>
              <w:rPr>
                <w:noProof/>
              </w:rPr>
              <w:t>. Ņemot vērā</w:t>
            </w:r>
            <w:r w:rsidR="007968F0">
              <w:rPr>
                <w:noProof/>
              </w:rPr>
              <w:t xml:space="preserve"> tai </w:t>
            </w:r>
            <w:r w:rsidR="00A11079">
              <w:rPr>
                <w:noProof/>
              </w:rPr>
              <w:t xml:space="preserve">noteiktās uzskaites prasības, kas atšķirībā no finanšu instrumentu uzskaites pamatā paredz kā neto apgrozījumu (ieņēmumus) uzrādīt </w:t>
            </w:r>
            <w:r>
              <w:rPr>
                <w:noProof/>
              </w:rPr>
              <w:t xml:space="preserve">šo aktīvu pārdošanas pamatsummu, </w:t>
            </w:r>
            <w:r w:rsidR="00C45B6A">
              <w:rPr>
                <w:noProof/>
              </w:rPr>
              <w:t>N</w:t>
            </w:r>
            <w:r>
              <w:rPr>
                <w:noProof/>
              </w:rPr>
              <w:t>oteikum</w:t>
            </w:r>
            <w:r w:rsidR="00C45B6A">
              <w:rPr>
                <w:noProof/>
              </w:rPr>
              <w:t>u projektā</w:t>
            </w:r>
            <w:r>
              <w:rPr>
                <w:noProof/>
              </w:rPr>
              <w:t xml:space="preserve"> paredzēts, ka š</w:t>
            </w:r>
            <w:r w:rsidR="00C45B6A">
              <w:rPr>
                <w:noProof/>
              </w:rPr>
              <w:t>āda</w:t>
            </w:r>
            <w:r>
              <w:rPr>
                <w:noProof/>
              </w:rPr>
              <w:t xml:space="preserve">m darījuma veidam </w:t>
            </w:r>
            <w:r w:rsidR="00074F1A">
              <w:rPr>
                <w:noProof/>
              </w:rPr>
              <w:t>bruto ieņēmumi nosak</w:t>
            </w:r>
            <w:r>
              <w:rPr>
                <w:noProof/>
              </w:rPr>
              <w:t xml:space="preserve">āmi, </w:t>
            </w:r>
            <w:r w:rsidR="00074F1A" w:rsidRPr="00074F1A">
              <w:rPr>
                <w:noProof/>
              </w:rPr>
              <w:t>atskait</w:t>
            </w:r>
            <w:r>
              <w:rPr>
                <w:noProof/>
              </w:rPr>
              <w:t>ot</w:t>
            </w:r>
            <w:r w:rsidR="00074F1A" w:rsidRPr="00074F1A">
              <w:rPr>
                <w:noProof/>
              </w:rPr>
              <w:t xml:space="preserve"> pārdoto kriptoaktīvu iegādes izmaksas. Ja pārdoto kriptoaktīvu iegādes izmaksas pārsniedz </w:t>
            </w:r>
            <w:r>
              <w:rPr>
                <w:noProof/>
              </w:rPr>
              <w:t>ieņēmumus</w:t>
            </w:r>
            <w:r w:rsidR="00074F1A" w:rsidRPr="00074F1A">
              <w:rPr>
                <w:noProof/>
              </w:rPr>
              <w:t xml:space="preserve"> no kriptoaktīvu pārdošanas, tad to neietver </w:t>
            </w:r>
            <w:r w:rsidR="00074F1A">
              <w:rPr>
                <w:noProof/>
              </w:rPr>
              <w:t xml:space="preserve">kopējos </w:t>
            </w:r>
            <w:r w:rsidR="00074F1A" w:rsidRPr="00074F1A">
              <w:rPr>
                <w:noProof/>
              </w:rPr>
              <w:t>bruto ieņēmumos, kas saistīti ar kriptoaktīvu pakalpojumu sniegšanu</w:t>
            </w:r>
            <w:r w:rsidR="00074F1A">
              <w:rPr>
                <w:noProof/>
              </w:rPr>
              <w:t>.</w:t>
            </w:r>
          </w:p>
          <w:p w14:paraId="28D32265" w14:textId="5B294B7D" w:rsidR="00B54D74" w:rsidRPr="00BF0AFB" w:rsidRDefault="00B54D74" w:rsidP="00B447E1">
            <w:pPr>
              <w:pStyle w:val="NApunkts2"/>
              <w:numPr>
                <w:ilvl w:val="0"/>
                <w:numId w:val="0"/>
              </w:numPr>
              <w:ind w:left="748"/>
            </w:pPr>
          </w:p>
        </w:tc>
      </w:tr>
      <w:tr w:rsidR="009E6A95" w:rsidRPr="00BF0AFB" w14:paraId="7FF36E12" w14:textId="77777777" w:rsidTr="004D7D20">
        <w:tc>
          <w:tcPr>
            <w:tcW w:w="2547" w:type="dxa"/>
          </w:tcPr>
          <w:p w14:paraId="486EBB70" w14:textId="15E73F0A" w:rsidR="009E6A95" w:rsidRPr="00B447E1" w:rsidRDefault="009E6A95" w:rsidP="00CB2ED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Leģitīmais mērķis</w:t>
            </w:r>
          </w:p>
        </w:tc>
        <w:tc>
          <w:tcPr>
            <w:tcW w:w="5812" w:type="dxa"/>
          </w:tcPr>
          <w:p w14:paraId="5E1218A9" w14:textId="14DC3472" w:rsidR="00954B88" w:rsidRDefault="00BD324B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Noteikumu projekta leģitīmais mērķis ir citu personu interešu aizsardzība un nodrošināšana, jo </w:t>
            </w:r>
            <w:r w:rsidRPr="00BD324B">
              <w:rPr>
                <w:rFonts w:ascii="Times New Roman" w:hAnsi="Times New Roman" w:cs="Times New Roman"/>
                <w:sz w:val="24"/>
                <w:szCs w:val="24"/>
              </w:rPr>
              <w:t xml:space="preserve">finanšu tirgus dalībnieki sedz izmaksas, kas nepieciešamas finanšu tirgus un tā dalībnieku darbības regulēšanai un uzraudzībai.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Šo</w:t>
            </w:r>
            <w:r w:rsidRPr="00BD324B">
              <w:rPr>
                <w:rFonts w:ascii="Times New Roman" w:hAnsi="Times New Roman" w:cs="Times New Roman"/>
                <w:sz w:val="24"/>
                <w:szCs w:val="24"/>
              </w:rPr>
              <w:t xml:space="preserve"> izmaksu segšan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D324B">
              <w:rPr>
                <w:rFonts w:ascii="Times New Roman" w:hAnsi="Times New Roman" w:cs="Times New Roman"/>
                <w:sz w:val="24"/>
                <w:szCs w:val="24"/>
              </w:rPr>
              <w:t xml:space="preserve"> nodrošina Latvijas Bankai spēju pildīt attiecīgos pienākumus, lai sasniegtu visai sabiedrībai nozīmīgo mērķi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D324B">
              <w:rPr>
                <w:rFonts w:ascii="Times New Roman" w:hAnsi="Times New Roman" w:cs="Times New Roman"/>
                <w:sz w:val="24"/>
                <w:szCs w:val="24"/>
              </w:rPr>
              <w:t>– veicināt finanšu stabilitāti, tai skaitā noguldītāju, ieguldītāju un apdrošināto personu interešu aizsardzību un finanšu tirgus attīstību, kā arī finanšu sistēmas izmantošanas noziedzīgos nolūkos novēršanu.</w:t>
            </w:r>
          </w:p>
          <w:p w14:paraId="5B199845" w14:textId="6FBA2AF7" w:rsidR="00303E4F" w:rsidRPr="00727BA0" w:rsidRDefault="00303E4F" w:rsidP="00C4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95" w:rsidRPr="00BF0AFB" w14:paraId="1F6AF38A" w14:textId="77777777" w:rsidTr="004D7D20">
        <w:tc>
          <w:tcPr>
            <w:tcW w:w="2547" w:type="dxa"/>
          </w:tcPr>
          <w:p w14:paraId="71EE57D3" w14:textId="77777777" w:rsidR="009E6A95" w:rsidRPr="00B447E1" w:rsidRDefault="009E6A95" w:rsidP="00CB2ED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Samērīgums</w:t>
            </w:r>
          </w:p>
          <w:p w14:paraId="5B2AC1B8" w14:textId="2A094AC1" w:rsidR="00372949" w:rsidRPr="00BF0AFB" w:rsidRDefault="00372949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127B34B" w14:textId="0E0DBB34" w:rsidR="00372949" w:rsidRDefault="00372949" w:rsidP="002727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Noteikumi</w:t>
            </w:r>
            <w:r w:rsidRPr="00372949">
              <w:rPr>
                <w:rFonts w:ascii="Times New Roman" w:hAnsi="Times New Roman" w:cs="Times New Roman"/>
                <w:sz w:val="24"/>
                <w:szCs w:val="24"/>
              </w:rPr>
              <w:t xml:space="preserve"> atbilst samērīguma principam, 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949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tiem tiek</w:t>
            </w:r>
            <w:r w:rsidRPr="00372949">
              <w:rPr>
                <w:rFonts w:ascii="Times New Roman" w:hAnsi="Times New Roman" w:cs="Times New Roman"/>
                <w:sz w:val="24"/>
                <w:szCs w:val="24"/>
              </w:rPr>
              <w:t xml:space="preserve"> sasniegts leģitīmais mērķis</w:t>
            </w:r>
            <w:r w:rsidR="003547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6318">
              <w:rPr>
                <w:rFonts w:ascii="Times New Roman" w:hAnsi="Times New Roman" w:cs="Times New Roman"/>
                <w:sz w:val="24"/>
                <w:szCs w:val="24"/>
              </w:rPr>
              <w:t xml:space="preserve">lai </w:t>
            </w:r>
            <w:r w:rsidR="00C46318" w:rsidRPr="00BD324B">
              <w:rPr>
                <w:rFonts w:ascii="Times New Roman" w:hAnsi="Times New Roman" w:cs="Times New Roman"/>
                <w:sz w:val="24"/>
                <w:szCs w:val="24"/>
              </w:rPr>
              <w:t>finanšu tirgus dalībnieki se</w:t>
            </w:r>
            <w:r w:rsidR="00C46318">
              <w:rPr>
                <w:rFonts w:ascii="Times New Roman" w:hAnsi="Times New Roman" w:cs="Times New Roman"/>
                <w:sz w:val="24"/>
                <w:szCs w:val="24"/>
              </w:rPr>
              <w:t>gtu</w:t>
            </w:r>
            <w:r w:rsidR="00C46318" w:rsidRPr="00BD324B">
              <w:rPr>
                <w:rFonts w:ascii="Times New Roman" w:hAnsi="Times New Roman" w:cs="Times New Roman"/>
                <w:sz w:val="24"/>
                <w:szCs w:val="24"/>
              </w:rPr>
              <w:t xml:space="preserve"> izmaksas, kas nepieciešamas finanšu tirgus un tā dalībnieku darbības regulēšanai un uzraud</w:t>
            </w:r>
            <w:r w:rsidR="007968F0">
              <w:rPr>
                <w:rFonts w:ascii="Times New Roman" w:hAnsi="Times New Roman" w:cs="Times New Roman"/>
                <w:sz w:val="24"/>
                <w:szCs w:val="24"/>
              </w:rPr>
              <w:t>zībai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2569A52" w14:textId="494EDB78" w:rsidR="00E46335" w:rsidRPr="00BF0AFB" w:rsidRDefault="00E46335" w:rsidP="0027276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E6A95" w:rsidRPr="00BF0AFB" w14:paraId="73006DC9" w14:textId="77777777" w:rsidTr="004D7D20">
        <w:tc>
          <w:tcPr>
            <w:tcW w:w="2547" w:type="dxa"/>
          </w:tcPr>
          <w:p w14:paraId="57036A8D" w14:textId="11B0E684" w:rsidR="009E6A95" w:rsidRPr="00B447E1" w:rsidRDefault="009E6A95" w:rsidP="00CB2ED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Spēkā stāšanās</w:t>
            </w:r>
          </w:p>
        </w:tc>
        <w:tc>
          <w:tcPr>
            <w:tcW w:w="5812" w:type="dxa"/>
          </w:tcPr>
          <w:p w14:paraId="3BF91510" w14:textId="3FD37BD4" w:rsidR="009E6A95" w:rsidRDefault="004A639C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9E6A95" w:rsidRPr="00BF0A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353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E6A95" w:rsidRPr="00BF0AFB">
              <w:rPr>
                <w:rFonts w:ascii="Times New Roman" w:hAnsi="Times New Roman" w:cs="Times New Roman"/>
                <w:sz w:val="24"/>
                <w:szCs w:val="24"/>
              </w:rPr>
              <w:t>gada 1.</w:t>
            </w:r>
            <w:r w:rsidR="00B353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E6A95" w:rsidRPr="00BF0AFB">
              <w:rPr>
                <w:rFonts w:ascii="Times New Roman" w:hAnsi="Times New Roman" w:cs="Times New Roman"/>
                <w:sz w:val="24"/>
                <w:szCs w:val="24"/>
              </w:rPr>
              <w:t>janvāris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91B9A6F" w14:textId="51AEC148" w:rsidR="00954B88" w:rsidRPr="00BF0AFB" w:rsidRDefault="00954B88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95" w:rsidRPr="00BF0AFB" w14:paraId="3E1DDE9F" w14:textId="77777777" w:rsidTr="004D7D20">
        <w:tc>
          <w:tcPr>
            <w:tcW w:w="2547" w:type="dxa"/>
          </w:tcPr>
          <w:p w14:paraId="5FBEDEFD" w14:textId="2BB9039D" w:rsidR="009E6A95" w:rsidRPr="00B447E1" w:rsidRDefault="009E6A95" w:rsidP="00CB2ED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Ietekme uz Latvijas Bankas budžetu</w:t>
            </w:r>
          </w:p>
        </w:tc>
        <w:tc>
          <w:tcPr>
            <w:tcW w:w="5812" w:type="dxa"/>
          </w:tcPr>
          <w:p w14:paraId="41B49EB1" w14:textId="2A4790EB" w:rsidR="009E6A95" w:rsidRDefault="009E6A95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 xml:space="preserve">Normatīvā akta izdošana </w:t>
            </w:r>
            <w:r w:rsidR="007968F0">
              <w:rPr>
                <w:rFonts w:ascii="Times New Roman" w:hAnsi="Times New Roman" w:cs="Times New Roman"/>
                <w:sz w:val="24"/>
                <w:szCs w:val="24"/>
              </w:rPr>
              <w:t>palielinās</w:t>
            </w:r>
            <w:r w:rsidR="007968F0" w:rsidRPr="00BF0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 xml:space="preserve">Latvijas Bankas </w:t>
            </w:r>
            <w:r w:rsidR="00A23384">
              <w:rPr>
                <w:rFonts w:ascii="Times New Roman" w:hAnsi="Times New Roman" w:cs="Times New Roman"/>
                <w:sz w:val="24"/>
                <w:szCs w:val="24"/>
              </w:rPr>
              <w:t xml:space="preserve">ienākumus, kas gūti </w:t>
            </w:r>
            <w:r w:rsidR="007968F0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="007968F0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ieguldījumu brokeru sabiedrīb</w:t>
            </w:r>
            <w:r w:rsidR="00A23384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u</w:t>
            </w:r>
            <w:r w:rsidR="007968F0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un </w:t>
            </w:r>
            <w:proofErr w:type="spellStart"/>
            <w:r w:rsidR="007968F0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kriptoaktīvu</w:t>
            </w:r>
            <w:proofErr w:type="spellEnd"/>
            <w:r w:rsidR="007968F0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pakalpojumu sniedzēj</w:t>
            </w:r>
            <w:r w:rsidR="00A23384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u maksājumiem</w:t>
            </w:r>
            <w:r w:rsidR="007968F0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, kas tiks izmantoti </w:t>
            </w:r>
            <w:r w:rsidR="007968F0" w:rsidRPr="00BD324B">
              <w:rPr>
                <w:rFonts w:ascii="Times New Roman" w:hAnsi="Times New Roman" w:cs="Times New Roman"/>
                <w:sz w:val="24"/>
                <w:szCs w:val="24"/>
              </w:rPr>
              <w:t>finanšu tirgus un tā dalībnieku darbības regulēšana</w:t>
            </w:r>
            <w:r w:rsidR="007968F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968F0" w:rsidRPr="00BD324B">
              <w:rPr>
                <w:rFonts w:ascii="Times New Roman" w:hAnsi="Times New Roman" w:cs="Times New Roman"/>
                <w:sz w:val="24"/>
                <w:szCs w:val="24"/>
              </w:rPr>
              <w:t xml:space="preserve"> un uzraud</w:t>
            </w:r>
            <w:r w:rsidR="007968F0">
              <w:rPr>
                <w:rFonts w:ascii="Times New Roman" w:hAnsi="Times New Roman" w:cs="Times New Roman"/>
                <w:sz w:val="24"/>
                <w:szCs w:val="24"/>
              </w:rPr>
              <w:t>zības izdevumu segšanai</w:t>
            </w:r>
            <w:r w:rsidR="00BE6A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87D687A" w14:textId="2B709D87" w:rsidR="00954B88" w:rsidRPr="00BF0AFB" w:rsidRDefault="00954B88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95" w:rsidRPr="00BF0AFB" w14:paraId="4266A97A" w14:textId="77777777" w:rsidTr="004D7D20">
        <w:tc>
          <w:tcPr>
            <w:tcW w:w="2547" w:type="dxa"/>
          </w:tcPr>
          <w:p w14:paraId="2C58F0AD" w14:textId="5D09F076" w:rsidR="009E6A95" w:rsidRPr="00B447E1" w:rsidRDefault="009E6A95" w:rsidP="00CB2ED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Administratīvā sloga un izmaksu novērtējums (tirgus dalībniekiem)</w:t>
            </w:r>
          </w:p>
        </w:tc>
        <w:tc>
          <w:tcPr>
            <w:tcW w:w="5812" w:type="dxa"/>
          </w:tcPr>
          <w:p w14:paraId="3DFB8141" w14:textId="2594338D" w:rsidR="009E6A95" w:rsidRDefault="00790E5A" w:rsidP="00E105C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Ar Noteikumu projekt</w:t>
            </w:r>
            <w:r w:rsidR="00A501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a</w:t>
            </w:r>
            <w:r w:rsidR="00E066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spēkā stāšanos </w:t>
            </w:r>
            <w:r w:rsidR="003547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maksājumu apmērs </w:t>
            </w:r>
            <w:r w:rsidR="000A55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salīdzin</w:t>
            </w:r>
            <w:r w:rsidR="00370F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ājumā</w:t>
            </w:r>
            <w:r w:rsidR="000A55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ar </w:t>
            </w:r>
            <w:r w:rsidR="006536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2024</w:t>
            </w:r>
            <w:r w:rsidR="000A55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. gadu </w:t>
            </w:r>
            <w:r w:rsidR="006536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palielināsies ieguldījumu brokeru sabiedrībām</w:t>
            </w:r>
            <w:r w:rsidR="00E066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  <w:r w:rsidR="00E105CF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</w:p>
          <w:p w14:paraId="6B15E7B3" w14:textId="7798A968" w:rsidR="00790E5A" w:rsidRPr="00BF0AFB" w:rsidRDefault="007968F0" w:rsidP="00B9666E">
            <w:pPr>
              <w:jc w:val="both"/>
              <w:rPr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Līdz</w:t>
            </w:r>
            <w:r w:rsidR="006536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ar Noteikumu projekta spēkā stāšanos </w:t>
            </w:r>
            <w:proofErr w:type="spellStart"/>
            <w:r w:rsidR="006536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kriptoaktīvu</w:t>
            </w:r>
            <w:proofErr w:type="spellEnd"/>
            <w:r w:rsidR="006536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pakalpojumu sniedzēji maksājuma apmēra aprēķinam nepieciešamo informāciju sniegs Latvijas Bankai, </w:t>
            </w:r>
            <w:r w:rsidR="006536DB" w:rsidRPr="00E066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izmantojot </w:t>
            </w:r>
            <w:proofErr w:type="spellStart"/>
            <w:r w:rsidR="006536DB" w:rsidRPr="00E066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nebanku</w:t>
            </w:r>
            <w:proofErr w:type="spellEnd"/>
            <w:r w:rsidR="006536DB" w:rsidRPr="00E066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statistikas sistēmu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, un uzsāks veikt maksājumus par to darbības uzraudzību</w:t>
            </w:r>
            <w:r w:rsidR="006536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9E6A95" w:rsidRPr="00BF0AFB" w14:paraId="78453D7D" w14:textId="77777777" w:rsidTr="004D7D20">
        <w:tc>
          <w:tcPr>
            <w:tcW w:w="2547" w:type="dxa"/>
          </w:tcPr>
          <w:p w14:paraId="5AF60CCD" w14:textId="77B1AC52" w:rsidR="009E6A95" w:rsidRPr="00B447E1" w:rsidRDefault="009E6A95" w:rsidP="00CB2ED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Saistītie dokumenti</w:t>
            </w:r>
          </w:p>
        </w:tc>
        <w:tc>
          <w:tcPr>
            <w:tcW w:w="5812" w:type="dxa"/>
          </w:tcPr>
          <w:p w14:paraId="77A1A26D" w14:textId="77777777" w:rsidR="009E6A95" w:rsidRDefault="00D71FB4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D94">
              <w:rPr>
                <w:rFonts w:ascii="Times New Roman" w:hAnsi="Times New Roman" w:cs="Times New Roman"/>
                <w:sz w:val="24"/>
                <w:szCs w:val="24"/>
              </w:rPr>
              <w:t xml:space="preserve">Latvijas Bankas </w:t>
            </w:r>
            <w:r w:rsidR="000A55EF" w:rsidRPr="00711144">
              <w:rPr>
                <w:rFonts w:ascii="Times New Roman" w:hAnsi="Times New Roman" w:cs="Times New Roman"/>
                <w:sz w:val="24"/>
                <w:szCs w:val="24"/>
              </w:rPr>
              <w:t>2022.</w:t>
            </w:r>
            <w:r w:rsidR="000A55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A55EF" w:rsidRPr="00711144">
              <w:rPr>
                <w:rFonts w:ascii="Times New Roman" w:hAnsi="Times New Roman" w:cs="Times New Roman"/>
                <w:sz w:val="24"/>
                <w:szCs w:val="24"/>
              </w:rPr>
              <w:t>gada 24.</w:t>
            </w:r>
            <w:r w:rsidR="000A55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A55EF" w:rsidRPr="00711144">
              <w:rPr>
                <w:rFonts w:ascii="Times New Roman" w:hAnsi="Times New Roman" w:cs="Times New Roman"/>
                <w:sz w:val="24"/>
                <w:szCs w:val="24"/>
              </w:rPr>
              <w:t xml:space="preserve">oktobra </w:t>
            </w:r>
            <w:r w:rsidRPr="00834D94">
              <w:rPr>
                <w:rFonts w:ascii="Times New Roman" w:hAnsi="Times New Roman" w:cs="Times New Roman"/>
                <w:sz w:val="24"/>
                <w:szCs w:val="24"/>
              </w:rPr>
              <w:t>noteikum</w:t>
            </w:r>
            <w:r w:rsidR="000A55E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34D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5EF" w:rsidRPr="00711144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 w:rsidR="000A55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A55EF" w:rsidRPr="00711144">
              <w:rPr>
                <w:rFonts w:ascii="Times New Roman" w:hAnsi="Times New Roman" w:cs="Times New Roman"/>
                <w:sz w:val="24"/>
                <w:szCs w:val="24"/>
              </w:rPr>
              <w:t xml:space="preserve">226 </w:t>
            </w:r>
            <w:r w:rsidR="003260EC" w:rsidRPr="00834D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B0544" w:rsidRPr="00834D94">
              <w:rPr>
                <w:rFonts w:ascii="Times New Roman" w:hAnsi="Times New Roman" w:cs="Times New Roman"/>
                <w:sz w:val="24"/>
                <w:szCs w:val="24"/>
              </w:rPr>
              <w:t>Noteikumi par elektronisko informācijas apmaiņu ar Latvijas Banku</w:t>
            </w:r>
            <w:r w:rsidR="003260EC" w:rsidRPr="00834D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A4254A" w:rsidRPr="00834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55F282" w14:textId="36CB9967" w:rsidR="00954B88" w:rsidRPr="00834D94" w:rsidRDefault="00954B88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95" w:rsidRPr="00BF0AFB" w14:paraId="6E8D0230" w14:textId="77777777" w:rsidTr="004D7D20">
        <w:tc>
          <w:tcPr>
            <w:tcW w:w="2547" w:type="dxa"/>
          </w:tcPr>
          <w:p w14:paraId="36731D0A" w14:textId="5FD593CD" w:rsidR="009E6A95" w:rsidRPr="00B447E1" w:rsidRDefault="009E6A95" w:rsidP="00CB2ED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Saskaņošana ar Eiropas Centrālo banku</w:t>
            </w:r>
          </w:p>
        </w:tc>
        <w:tc>
          <w:tcPr>
            <w:tcW w:w="5812" w:type="dxa"/>
          </w:tcPr>
          <w:p w14:paraId="1D7E1A89" w14:textId="77777777" w:rsidR="009E6A95" w:rsidRDefault="009E6A95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AFB">
              <w:rPr>
                <w:rFonts w:ascii="Times New Roman" w:hAnsi="Times New Roman" w:cs="Times New Roman"/>
                <w:sz w:val="24"/>
                <w:szCs w:val="24"/>
              </w:rPr>
              <w:t>Normatīvā akta projektu nav nepieciešams saskaņot ar Eiropas Centrālo banku.</w:t>
            </w:r>
          </w:p>
          <w:p w14:paraId="792DD68E" w14:textId="32DF46E8" w:rsidR="00954B88" w:rsidRPr="00BF0AFB" w:rsidRDefault="00954B88" w:rsidP="00CB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95" w:rsidRPr="00BF0AFB" w14:paraId="48DDCC66" w14:textId="77777777" w:rsidTr="004D7D20">
        <w:tc>
          <w:tcPr>
            <w:tcW w:w="2547" w:type="dxa"/>
          </w:tcPr>
          <w:p w14:paraId="58FC4ACD" w14:textId="74F60A69" w:rsidR="009E6A95" w:rsidRPr="00B447E1" w:rsidRDefault="009E6A95" w:rsidP="00CB2ED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Saskaņošana ar citām publiskām un privātām personām</w:t>
            </w:r>
          </w:p>
        </w:tc>
        <w:tc>
          <w:tcPr>
            <w:tcW w:w="5812" w:type="dxa"/>
          </w:tcPr>
          <w:p w14:paraId="3BFA9AFD" w14:textId="3289780D" w:rsidR="00255AA1" w:rsidRPr="00B447E1" w:rsidRDefault="00255AA1" w:rsidP="00255AA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7E1">
              <w:rPr>
                <w:rFonts w:ascii="Times New Roman" w:hAnsi="Times New Roman" w:cs="Times New Roman"/>
                <w:sz w:val="24"/>
                <w:szCs w:val="24"/>
              </w:rPr>
              <w:t xml:space="preserve">Noteikumu projekts </w:t>
            </w:r>
            <w:r w:rsidR="000329F8" w:rsidRPr="000329F8">
              <w:rPr>
                <w:rFonts w:ascii="Times New Roman" w:hAnsi="Times New Roman" w:cs="Times New Roman"/>
                <w:sz w:val="24"/>
                <w:szCs w:val="24"/>
              </w:rPr>
              <w:t xml:space="preserve">2024. gada 13. novembrī </w:t>
            </w:r>
            <w:r w:rsidR="000329F8">
              <w:rPr>
                <w:rFonts w:ascii="Times New Roman" w:hAnsi="Times New Roman" w:cs="Times New Roman"/>
                <w:sz w:val="24"/>
                <w:szCs w:val="24"/>
              </w:rPr>
              <w:t>tika</w:t>
            </w:r>
            <w:r w:rsidRPr="00B447E1">
              <w:rPr>
                <w:rFonts w:ascii="Times New Roman" w:hAnsi="Times New Roman" w:cs="Times New Roman"/>
                <w:sz w:val="24"/>
                <w:szCs w:val="24"/>
              </w:rPr>
              <w:t xml:space="preserve"> publicēts Latvijas Bankas tīmekļvietnes </w:t>
            </w:r>
            <w:hyperlink r:id="rId10" w:history="1">
              <w:r w:rsidRPr="00B447E1">
                <w:rPr>
                  <w:rStyle w:val="Hyperlink"/>
                  <w:rFonts w:ascii="Times New Roman" w:hAnsi="Times New Roman" w:cs="Times New Roman"/>
                  <w:sz w:val="24"/>
                  <w:szCs w:val="24"/>
                  <w:u w:val="none"/>
                </w:rPr>
                <w:t>www.bank.lv</w:t>
              </w:r>
            </w:hyperlink>
            <w:r w:rsidRPr="00B447E1">
              <w:rPr>
                <w:rFonts w:ascii="Times New Roman" w:hAnsi="Times New Roman" w:cs="Times New Roman"/>
                <w:sz w:val="24"/>
                <w:szCs w:val="24"/>
              </w:rPr>
              <w:t xml:space="preserve"> sadaļas "Tiesību akti" </w:t>
            </w:r>
            <w:proofErr w:type="spellStart"/>
            <w:r w:rsidRPr="00B447E1">
              <w:rPr>
                <w:rFonts w:ascii="Times New Roman" w:hAnsi="Times New Roman" w:cs="Times New Roman"/>
                <w:sz w:val="24"/>
                <w:szCs w:val="24"/>
              </w:rPr>
              <w:t>apakšsada</w:t>
            </w:r>
            <w:r w:rsidR="00B447E1">
              <w:rPr>
                <w:rFonts w:ascii="Times New Roman" w:hAnsi="Times New Roman" w:cs="Times New Roman"/>
                <w:sz w:val="24"/>
                <w:szCs w:val="24"/>
              </w:rPr>
              <w:t>ļ</w:t>
            </w:r>
            <w:r w:rsidRPr="00B447E1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proofErr w:type="spellEnd"/>
            <w:r w:rsidRPr="00B447E1">
              <w:rPr>
                <w:rFonts w:ascii="Times New Roman" w:hAnsi="Times New Roman" w:cs="Times New Roman"/>
                <w:sz w:val="24"/>
                <w:szCs w:val="24"/>
              </w:rPr>
              <w:t xml:space="preserve"> "Sabiedrības līdzdalība", un </w:t>
            </w:r>
            <w:r w:rsidR="000329F8">
              <w:rPr>
                <w:rFonts w:ascii="Times New Roman" w:hAnsi="Times New Roman" w:cs="Times New Roman"/>
                <w:sz w:val="24"/>
                <w:szCs w:val="24"/>
              </w:rPr>
              <w:t xml:space="preserve">sabiedrībai līdz </w:t>
            </w:r>
            <w:r w:rsidR="000329F8" w:rsidRPr="000329F8">
              <w:rPr>
                <w:rFonts w:ascii="Times New Roman" w:hAnsi="Times New Roman" w:cs="Times New Roman"/>
                <w:sz w:val="24"/>
                <w:szCs w:val="24"/>
              </w:rPr>
              <w:t>2024. gada 25. novembrim</w:t>
            </w:r>
            <w:r w:rsidR="00032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7627">
              <w:rPr>
                <w:rFonts w:ascii="Times New Roman" w:hAnsi="Times New Roman" w:cs="Times New Roman"/>
                <w:sz w:val="24"/>
                <w:szCs w:val="24"/>
              </w:rPr>
              <w:t>bija</w:t>
            </w:r>
            <w:r w:rsidRPr="00B447E1">
              <w:rPr>
                <w:rFonts w:ascii="Times New Roman" w:hAnsi="Times New Roman" w:cs="Times New Roman"/>
                <w:sz w:val="24"/>
                <w:szCs w:val="24"/>
              </w:rPr>
              <w:t xml:space="preserve"> iespēja</w:t>
            </w:r>
            <w:r w:rsidR="000329F8">
              <w:rPr>
                <w:rFonts w:ascii="Times New Roman" w:hAnsi="Times New Roman" w:cs="Times New Roman"/>
                <w:sz w:val="24"/>
                <w:szCs w:val="24"/>
              </w:rPr>
              <w:t xml:space="preserve"> iesaistīties tā apspriešanā</w:t>
            </w:r>
            <w:r w:rsidRPr="00B447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1CE77FB" w14:textId="3BAD61A0" w:rsidR="00954B88" w:rsidRPr="00B447E1" w:rsidRDefault="00A237F1" w:rsidP="00A23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38CB" w:rsidRPr="00BF0AFB" w14:paraId="69C6D010" w14:textId="77777777" w:rsidTr="004D7D20">
        <w:tc>
          <w:tcPr>
            <w:tcW w:w="2547" w:type="dxa"/>
          </w:tcPr>
          <w:p w14:paraId="19ED627F" w14:textId="3DA3E116" w:rsidR="00FC38CB" w:rsidRPr="00B447E1" w:rsidRDefault="00FC38CB" w:rsidP="00FC38C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Saskaņošanas rezultāti</w:t>
            </w:r>
          </w:p>
        </w:tc>
        <w:tc>
          <w:tcPr>
            <w:tcW w:w="5812" w:type="dxa"/>
          </w:tcPr>
          <w:p w14:paraId="013FD400" w14:textId="77777777" w:rsidR="00631BCF" w:rsidRDefault="00631BCF" w:rsidP="00631B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862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Sabiedrības līdzdalības rezultātā par noteikumu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grozījumu </w:t>
            </w:r>
            <w:r w:rsidRPr="008862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projektu netika saņemti iebildumi vai priekšlikumi. Līdz ar to noteikumu projekts ir saskaņots bez priekšlikumiem vai iebildumiem.</w:t>
            </w:r>
          </w:p>
          <w:p w14:paraId="42E86DBD" w14:textId="659195B6" w:rsidR="00A237F1" w:rsidRPr="008D19CC" w:rsidRDefault="00A237F1" w:rsidP="00152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E2A4CD" w14:textId="40409C4A" w:rsidR="004D7D20" w:rsidRDefault="004D7D20" w:rsidP="00CB2ED4">
      <w:pPr>
        <w:jc w:val="both"/>
      </w:pPr>
    </w:p>
    <w:sectPr w:rsidR="004D7D20" w:rsidSect="003B57D1">
      <w:headerReference w:type="default" r:id="rId11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4B494" w14:textId="77777777" w:rsidR="004D5C04" w:rsidRDefault="004D5C04" w:rsidP="004D7D20">
      <w:pPr>
        <w:spacing w:after="0" w:line="240" w:lineRule="auto"/>
      </w:pPr>
      <w:r>
        <w:separator/>
      </w:r>
    </w:p>
  </w:endnote>
  <w:endnote w:type="continuationSeparator" w:id="0">
    <w:p w14:paraId="58EE04D8" w14:textId="77777777" w:rsidR="004D5C04" w:rsidRDefault="004D5C04" w:rsidP="004D7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B182F" w14:textId="77777777" w:rsidR="004D5C04" w:rsidRDefault="004D5C04" w:rsidP="004D7D20">
      <w:pPr>
        <w:spacing w:after="0" w:line="240" w:lineRule="auto"/>
      </w:pPr>
      <w:r>
        <w:separator/>
      </w:r>
    </w:p>
  </w:footnote>
  <w:footnote w:type="continuationSeparator" w:id="0">
    <w:p w14:paraId="39D4D64B" w14:textId="77777777" w:rsidR="004D5C04" w:rsidRDefault="004D5C04" w:rsidP="004D7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-110286528"/>
      <w:docPartObj>
        <w:docPartGallery w:val="Page Numbers (Top of Page)"/>
        <w:docPartUnique/>
      </w:docPartObj>
    </w:sdtPr>
    <w:sdtEndPr/>
    <w:sdtContent>
      <w:p w14:paraId="57CC53A1" w14:textId="4ADE67E5" w:rsidR="00641080" w:rsidRPr="003B57D1" w:rsidRDefault="00641080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B57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B57D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B57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3B57D1">
          <w:rPr>
            <w:rFonts w:ascii="Times New Roman" w:hAnsi="Times New Roman" w:cs="Times New Roman"/>
            <w:sz w:val="24"/>
            <w:szCs w:val="24"/>
          </w:rPr>
          <w:t>2</w:t>
        </w:r>
        <w:r w:rsidRPr="003B57D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75A136" w14:textId="77777777" w:rsidR="00641080" w:rsidRDefault="006410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62119E"/>
    <w:multiLevelType w:val="hybridMultilevel"/>
    <w:tmpl w:val="DD2445E0"/>
    <w:lvl w:ilvl="0" w:tplc="8E20DB62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06D98"/>
    <w:multiLevelType w:val="hybridMultilevel"/>
    <w:tmpl w:val="6CC40C82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638CA"/>
    <w:multiLevelType w:val="hybridMultilevel"/>
    <w:tmpl w:val="D2D6F5A2"/>
    <w:lvl w:ilvl="0" w:tplc="5C1AE80C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11C0F"/>
    <w:multiLevelType w:val="hybridMultilevel"/>
    <w:tmpl w:val="4456EE9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62498"/>
    <w:multiLevelType w:val="hybridMultilevel"/>
    <w:tmpl w:val="427E457E"/>
    <w:lvl w:ilvl="0" w:tplc="ED0EDB0E">
      <w:start w:val="20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6597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3543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5E924FD"/>
    <w:multiLevelType w:val="hybridMultilevel"/>
    <w:tmpl w:val="D3A0358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B8917A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A046F"/>
    <w:multiLevelType w:val="hybridMultilevel"/>
    <w:tmpl w:val="76A409E6"/>
    <w:lvl w:ilvl="0" w:tplc="8E20DB62">
      <w:start w:val="1"/>
      <w:numFmt w:val="decimal"/>
      <w:lvlText w:val="%1)"/>
      <w:lvlJc w:val="left"/>
      <w:pPr>
        <w:ind w:left="768" w:hanging="408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741383">
    <w:abstractNumId w:val="4"/>
  </w:num>
  <w:num w:numId="2" w16cid:durableId="1524784774">
    <w:abstractNumId w:val="6"/>
  </w:num>
  <w:num w:numId="3" w16cid:durableId="903223278">
    <w:abstractNumId w:val="3"/>
  </w:num>
  <w:num w:numId="4" w16cid:durableId="1374888636">
    <w:abstractNumId w:val="7"/>
  </w:num>
  <w:num w:numId="5" w16cid:durableId="961419623">
    <w:abstractNumId w:val="1"/>
  </w:num>
  <w:num w:numId="6" w16cid:durableId="363753930">
    <w:abstractNumId w:val="2"/>
  </w:num>
  <w:num w:numId="7" w16cid:durableId="239096136">
    <w:abstractNumId w:val="0"/>
  </w:num>
  <w:num w:numId="8" w16cid:durableId="20950844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D20"/>
    <w:rsid w:val="00005A6C"/>
    <w:rsid w:val="00005D3B"/>
    <w:rsid w:val="000070D4"/>
    <w:rsid w:val="00011BE8"/>
    <w:rsid w:val="00013443"/>
    <w:rsid w:val="00015D93"/>
    <w:rsid w:val="00021F97"/>
    <w:rsid w:val="00026980"/>
    <w:rsid w:val="000329F8"/>
    <w:rsid w:val="000434F8"/>
    <w:rsid w:val="000478F7"/>
    <w:rsid w:val="00052B8F"/>
    <w:rsid w:val="00070518"/>
    <w:rsid w:val="000730EE"/>
    <w:rsid w:val="00074F1A"/>
    <w:rsid w:val="00083B07"/>
    <w:rsid w:val="00084272"/>
    <w:rsid w:val="00091580"/>
    <w:rsid w:val="00091B04"/>
    <w:rsid w:val="000A360D"/>
    <w:rsid w:val="000A5413"/>
    <w:rsid w:val="000A55EF"/>
    <w:rsid w:val="000B1888"/>
    <w:rsid w:val="000B18AB"/>
    <w:rsid w:val="000B439E"/>
    <w:rsid w:val="000B491E"/>
    <w:rsid w:val="000B4A2E"/>
    <w:rsid w:val="000B7797"/>
    <w:rsid w:val="000C174F"/>
    <w:rsid w:val="000C4902"/>
    <w:rsid w:val="000C5450"/>
    <w:rsid w:val="000C76AC"/>
    <w:rsid w:val="000D7B1E"/>
    <w:rsid w:val="000E5859"/>
    <w:rsid w:val="00100A93"/>
    <w:rsid w:val="0010496E"/>
    <w:rsid w:val="001133A1"/>
    <w:rsid w:val="00123692"/>
    <w:rsid w:val="0012632E"/>
    <w:rsid w:val="001333F5"/>
    <w:rsid w:val="00136A5C"/>
    <w:rsid w:val="00140ABC"/>
    <w:rsid w:val="00147132"/>
    <w:rsid w:val="00152A7E"/>
    <w:rsid w:val="0015367A"/>
    <w:rsid w:val="00170221"/>
    <w:rsid w:val="00175E49"/>
    <w:rsid w:val="001917FE"/>
    <w:rsid w:val="00197F9A"/>
    <w:rsid w:val="001A75A9"/>
    <w:rsid w:val="001E0BB0"/>
    <w:rsid w:val="001E34F2"/>
    <w:rsid w:val="001E368C"/>
    <w:rsid w:val="001F60BD"/>
    <w:rsid w:val="001F6CE3"/>
    <w:rsid w:val="00204EBD"/>
    <w:rsid w:val="00210B1F"/>
    <w:rsid w:val="00211D34"/>
    <w:rsid w:val="00212A26"/>
    <w:rsid w:val="0022614E"/>
    <w:rsid w:val="00242E4C"/>
    <w:rsid w:val="00255AA1"/>
    <w:rsid w:val="00255F29"/>
    <w:rsid w:val="002568FB"/>
    <w:rsid w:val="00257304"/>
    <w:rsid w:val="002621A4"/>
    <w:rsid w:val="0027276E"/>
    <w:rsid w:val="002928D3"/>
    <w:rsid w:val="00294078"/>
    <w:rsid w:val="002B7111"/>
    <w:rsid w:val="002C0245"/>
    <w:rsid w:val="002C1281"/>
    <w:rsid w:val="002C1CD0"/>
    <w:rsid w:val="002C6295"/>
    <w:rsid w:val="002D3FFE"/>
    <w:rsid w:val="002E5FC9"/>
    <w:rsid w:val="002E635F"/>
    <w:rsid w:val="002E69CD"/>
    <w:rsid w:val="00303E4F"/>
    <w:rsid w:val="00304AD5"/>
    <w:rsid w:val="00312CED"/>
    <w:rsid w:val="00313DCA"/>
    <w:rsid w:val="00321062"/>
    <w:rsid w:val="00324765"/>
    <w:rsid w:val="00325687"/>
    <w:rsid w:val="003260EC"/>
    <w:rsid w:val="00343634"/>
    <w:rsid w:val="003514E7"/>
    <w:rsid w:val="00354785"/>
    <w:rsid w:val="00366CC3"/>
    <w:rsid w:val="00370F59"/>
    <w:rsid w:val="00371617"/>
    <w:rsid w:val="00372949"/>
    <w:rsid w:val="0037623F"/>
    <w:rsid w:val="003770FF"/>
    <w:rsid w:val="003846FC"/>
    <w:rsid w:val="003912A6"/>
    <w:rsid w:val="003A1547"/>
    <w:rsid w:val="003A5038"/>
    <w:rsid w:val="003B0F31"/>
    <w:rsid w:val="003B57D1"/>
    <w:rsid w:val="003B7C70"/>
    <w:rsid w:val="003D0E58"/>
    <w:rsid w:val="003D1D31"/>
    <w:rsid w:val="003D5782"/>
    <w:rsid w:val="003E0020"/>
    <w:rsid w:val="003E4F24"/>
    <w:rsid w:val="003E559F"/>
    <w:rsid w:val="003F20B8"/>
    <w:rsid w:val="003F3E60"/>
    <w:rsid w:val="00422A7C"/>
    <w:rsid w:val="00430443"/>
    <w:rsid w:val="00430A44"/>
    <w:rsid w:val="00435248"/>
    <w:rsid w:val="004358DC"/>
    <w:rsid w:val="00441B3E"/>
    <w:rsid w:val="00442D8A"/>
    <w:rsid w:val="0045012B"/>
    <w:rsid w:val="00456FAA"/>
    <w:rsid w:val="00465F04"/>
    <w:rsid w:val="00466BA4"/>
    <w:rsid w:val="004772FB"/>
    <w:rsid w:val="004816A5"/>
    <w:rsid w:val="00483FEF"/>
    <w:rsid w:val="004A639C"/>
    <w:rsid w:val="004B3BBE"/>
    <w:rsid w:val="004D1B5B"/>
    <w:rsid w:val="004D5C04"/>
    <w:rsid w:val="004D7D20"/>
    <w:rsid w:val="004E638F"/>
    <w:rsid w:val="004F226D"/>
    <w:rsid w:val="004F5C09"/>
    <w:rsid w:val="005028D8"/>
    <w:rsid w:val="00517BA3"/>
    <w:rsid w:val="005322CF"/>
    <w:rsid w:val="00534CBD"/>
    <w:rsid w:val="00535E6F"/>
    <w:rsid w:val="00542A0D"/>
    <w:rsid w:val="00543016"/>
    <w:rsid w:val="0055187E"/>
    <w:rsid w:val="00555FCD"/>
    <w:rsid w:val="005663C1"/>
    <w:rsid w:val="00570A14"/>
    <w:rsid w:val="005779A1"/>
    <w:rsid w:val="0059070B"/>
    <w:rsid w:val="00592E64"/>
    <w:rsid w:val="005945BA"/>
    <w:rsid w:val="005A371C"/>
    <w:rsid w:val="005B38B3"/>
    <w:rsid w:val="005B73FE"/>
    <w:rsid w:val="005B7527"/>
    <w:rsid w:val="005C2181"/>
    <w:rsid w:val="005C6F27"/>
    <w:rsid w:val="005C7A4E"/>
    <w:rsid w:val="005D0FC0"/>
    <w:rsid w:val="005E2284"/>
    <w:rsid w:val="005F1E6D"/>
    <w:rsid w:val="005F36CC"/>
    <w:rsid w:val="005F51B9"/>
    <w:rsid w:val="00601D56"/>
    <w:rsid w:val="006128FE"/>
    <w:rsid w:val="006307A1"/>
    <w:rsid w:val="00630FA7"/>
    <w:rsid w:val="00631BCF"/>
    <w:rsid w:val="00641080"/>
    <w:rsid w:val="006428EA"/>
    <w:rsid w:val="006536DB"/>
    <w:rsid w:val="00654C62"/>
    <w:rsid w:val="00656FF8"/>
    <w:rsid w:val="00673281"/>
    <w:rsid w:val="006735AD"/>
    <w:rsid w:val="0068263E"/>
    <w:rsid w:val="00687DDC"/>
    <w:rsid w:val="00691DD0"/>
    <w:rsid w:val="006A28FA"/>
    <w:rsid w:val="006C1D6E"/>
    <w:rsid w:val="006D0C5C"/>
    <w:rsid w:val="006D5F36"/>
    <w:rsid w:val="006D6D82"/>
    <w:rsid w:val="006E10C2"/>
    <w:rsid w:val="006F5239"/>
    <w:rsid w:val="006F53B3"/>
    <w:rsid w:val="007102B5"/>
    <w:rsid w:val="0071733C"/>
    <w:rsid w:val="007200D7"/>
    <w:rsid w:val="00727BA0"/>
    <w:rsid w:val="00727D0A"/>
    <w:rsid w:val="00736400"/>
    <w:rsid w:val="00737059"/>
    <w:rsid w:val="00745C0D"/>
    <w:rsid w:val="00747C52"/>
    <w:rsid w:val="007539DC"/>
    <w:rsid w:val="00760EAA"/>
    <w:rsid w:val="0076100E"/>
    <w:rsid w:val="007657EB"/>
    <w:rsid w:val="00765E98"/>
    <w:rsid w:val="007747FE"/>
    <w:rsid w:val="00775564"/>
    <w:rsid w:val="00777D42"/>
    <w:rsid w:val="007824EB"/>
    <w:rsid w:val="00790683"/>
    <w:rsid w:val="00790E5A"/>
    <w:rsid w:val="007968F0"/>
    <w:rsid w:val="00797204"/>
    <w:rsid w:val="007A2D5C"/>
    <w:rsid w:val="007A3C22"/>
    <w:rsid w:val="007B4171"/>
    <w:rsid w:val="007C0FA7"/>
    <w:rsid w:val="007D1D62"/>
    <w:rsid w:val="007D3FB7"/>
    <w:rsid w:val="007E4E5C"/>
    <w:rsid w:val="00813E24"/>
    <w:rsid w:val="00815505"/>
    <w:rsid w:val="008155B9"/>
    <w:rsid w:val="00817418"/>
    <w:rsid w:val="00825D1F"/>
    <w:rsid w:val="00830037"/>
    <w:rsid w:val="00831A33"/>
    <w:rsid w:val="0083376C"/>
    <w:rsid w:val="00834471"/>
    <w:rsid w:val="00834D94"/>
    <w:rsid w:val="00842805"/>
    <w:rsid w:val="008540E7"/>
    <w:rsid w:val="00861A27"/>
    <w:rsid w:val="008718FE"/>
    <w:rsid w:val="00871F76"/>
    <w:rsid w:val="00877C44"/>
    <w:rsid w:val="00885A62"/>
    <w:rsid w:val="008B75D0"/>
    <w:rsid w:val="008C3DCC"/>
    <w:rsid w:val="008D0289"/>
    <w:rsid w:val="008D19CC"/>
    <w:rsid w:val="008D2C09"/>
    <w:rsid w:val="008E292D"/>
    <w:rsid w:val="008E34F0"/>
    <w:rsid w:val="008F15D4"/>
    <w:rsid w:val="008F5FD1"/>
    <w:rsid w:val="009051B9"/>
    <w:rsid w:val="00921551"/>
    <w:rsid w:val="00927070"/>
    <w:rsid w:val="00931484"/>
    <w:rsid w:val="0093517C"/>
    <w:rsid w:val="0093599D"/>
    <w:rsid w:val="0095203D"/>
    <w:rsid w:val="00954B88"/>
    <w:rsid w:val="00977615"/>
    <w:rsid w:val="00980824"/>
    <w:rsid w:val="009822D4"/>
    <w:rsid w:val="00984542"/>
    <w:rsid w:val="00985B21"/>
    <w:rsid w:val="009864C7"/>
    <w:rsid w:val="00987987"/>
    <w:rsid w:val="009B0544"/>
    <w:rsid w:val="009C3525"/>
    <w:rsid w:val="009C3909"/>
    <w:rsid w:val="009D0245"/>
    <w:rsid w:val="009D58A7"/>
    <w:rsid w:val="009E5FF5"/>
    <w:rsid w:val="009E6A95"/>
    <w:rsid w:val="009E7514"/>
    <w:rsid w:val="009F2D2F"/>
    <w:rsid w:val="009F5A05"/>
    <w:rsid w:val="00A03966"/>
    <w:rsid w:val="00A11079"/>
    <w:rsid w:val="00A1134B"/>
    <w:rsid w:val="00A16630"/>
    <w:rsid w:val="00A20751"/>
    <w:rsid w:val="00A23384"/>
    <w:rsid w:val="00A237F1"/>
    <w:rsid w:val="00A4254A"/>
    <w:rsid w:val="00A46015"/>
    <w:rsid w:val="00A501EB"/>
    <w:rsid w:val="00A551E7"/>
    <w:rsid w:val="00A77246"/>
    <w:rsid w:val="00A934A4"/>
    <w:rsid w:val="00A969C9"/>
    <w:rsid w:val="00A9721F"/>
    <w:rsid w:val="00AA3FB6"/>
    <w:rsid w:val="00AA4212"/>
    <w:rsid w:val="00AA446A"/>
    <w:rsid w:val="00AA5AAF"/>
    <w:rsid w:val="00AB3B6E"/>
    <w:rsid w:val="00AB4AF8"/>
    <w:rsid w:val="00AC77DE"/>
    <w:rsid w:val="00AD2183"/>
    <w:rsid w:val="00AF3B0F"/>
    <w:rsid w:val="00AF7C4C"/>
    <w:rsid w:val="00B01E24"/>
    <w:rsid w:val="00B043AB"/>
    <w:rsid w:val="00B05AED"/>
    <w:rsid w:val="00B14BFC"/>
    <w:rsid w:val="00B20F58"/>
    <w:rsid w:val="00B22941"/>
    <w:rsid w:val="00B23F50"/>
    <w:rsid w:val="00B305D2"/>
    <w:rsid w:val="00B353B7"/>
    <w:rsid w:val="00B3777E"/>
    <w:rsid w:val="00B447E1"/>
    <w:rsid w:val="00B51F13"/>
    <w:rsid w:val="00B54D74"/>
    <w:rsid w:val="00B74539"/>
    <w:rsid w:val="00B84167"/>
    <w:rsid w:val="00B91D57"/>
    <w:rsid w:val="00B960D0"/>
    <w:rsid w:val="00B9666E"/>
    <w:rsid w:val="00B97627"/>
    <w:rsid w:val="00BA3686"/>
    <w:rsid w:val="00BA7B45"/>
    <w:rsid w:val="00BB5C72"/>
    <w:rsid w:val="00BB6E66"/>
    <w:rsid w:val="00BC411D"/>
    <w:rsid w:val="00BD324B"/>
    <w:rsid w:val="00BD501D"/>
    <w:rsid w:val="00BD73EB"/>
    <w:rsid w:val="00BE6ADF"/>
    <w:rsid w:val="00BF0AFB"/>
    <w:rsid w:val="00BF5BB6"/>
    <w:rsid w:val="00C079C4"/>
    <w:rsid w:val="00C3120B"/>
    <w:rsid w:val="00C314FE"/>
    <w:rsid w:val="00C36164"/>
    <w:rsid w:val="00C36F5E"/>
    <w:rsid w:val="00C45B6A"/>
    <w:rsid w:val="00C46318"/>
    <w:rsid w:val="00C95193"/>
    <w:rsid w:val="00C952EC"/>
    <w:rsid w:val="00CA3C0C"/>
    <w:rsid w:val="00CA5AD7"/>
    <w:rsid w:val="00CA67B3"/>
    <w:rsid w:val="00CA7D59"/>
    <w:rsid w:val="00CB2ED4"/>
    <w:rsid w:val="00CB5D37"/>
    <w:rsid w:val="00CD37E5"/>
    <w:rsid w:val="00CE18CE"/>
    <w:rsid w:val="00CF66AF"/>
    <w:rsid w:val="00D063F5"/>
    <w:rsid w:val="00D06984"/>
    <w:rsid w:val="00D06F8C"/>
    <w:rsid w:val="00D07795"/>
    <w:rsid w:val="00D10CD9"/>
    <w:rsid w:val="00D16814"/>
    <w:rsid w:val="00D20E32"/>
    <w:rsid w:val="00D230AB"/>
    <w:rsid w:val="00D522B0"/>
    <w:rsid w:val="00D53004"/>
    <w:rsid w:val="00D57B18"/>
    <w:rsid w:val="00D67D2E"/>
    <w:rsid w:val="00D71FB4"/>
    <w:rsid w:val="00D87123"/>
    <w:rsid w:val="00D87F65"/>
    <w:rsid w:val="00D90B21"/>
    <w:rsid w:val="00D91C56"/>
    <w:rsid w:val="00D96AA6"/>
    <w:rsid w:val="00DA4A47"/>
    <w:rsid w:val="00DB4253"/>
    <w:rsid w:val="00DC0200"/>
    <w:rsid w:val="00DC329B"/>
    <w:rsid w:val="00DD5922"/>
    <w:rsid w:val="00DE05B5"/>
    <w:rsid w:val="00DF425D"/>
    <w:rsid w:val="00E0471F"/>
    <w:rsid w:val="00E06671"/>
    <w:rsid w:val="00E105CF"/>
    <w:rsid w:val="00E20DE8"/>
    <w:rsid w:val="00E22880"/>
    <w:rsid w:val="00E337E7"/>
    <w:rsid w:val="00E349E3"/>
    <w:rsid w:val="00E440C4"/>
    <w:rsid w:val="00E46335"/>
    <w:rsid w:val="00E47C44"/>
    <w:rsid w:val="00E657DE"/>
    <w:rsid w:val="00E67036"/>
    <w:rsid w:val="00E829A1"/>
    <w:rsid w:val="00E918D7"/>
    <w:rsid w:val="00E94832"/>
    <w:rsid w:val="00EA0CC6"/>
    <w:rsid w:val="00EA3BD8"/>
    <w:rsid w:val="00EB6818"/>
    <w:rsid w:val="00EC34DC"/>
    <w:rsid w:val="00EC44FD"/>
    <w:rsid w:val="00EC4C64"/>
    <w:rsid w:val="00EE014A"/>
    <w:rsid w:val="00EE3530"/>
    <w:rsid w:val="00EE426C"/>
    <w:rsid w:val="00EE6815"/>
    <w:rsid w:val="00EF5988"/>
    <w:rsid w:val="00EF78EF"/>
    <w:rsid w:val="00F00555"/>
    <w:rsid w:val="00F0440B"/>
    <w:rsid w:val="00F16855"/>
    <w:rsid w:val="00F20862"/>
    <w:rsid w:val="00F239C4"/>
    <w:rsid w:val="00F31808"/>
    <w:rsid w:val="00F36222"/>
    <w:rsid w:val="00F6715F"/>
    <w:rsid w:val="00F67A04"/>
    <w:rsid w:val="00F67AFC"/>
    <w:rsid w:val="00F7006A"/>
    <w:rsid w:val="00F832D3"/>
    <w:rsid w:val="00F83303"/>
    <w:rsid w:val="00F910CC"/>
    <w:rsid w:val="00FB112C"/>
    <w:rsid w:val="00FB465B"/>
    <w:rsid w:val="00FC0BBE"/>
    <w:rsid w:val="00FC1BCE"/>
    <w:rsid w:val="00FC38CB"/>
    <w:rsid w:val="00FD3D93"/>
    <w:rsid w:val="00FD705B"/>
    <w:rsid w:val="00FE7460"/>
    <w:rsid w:val="00FF05EA"/>
    <w:rsid w:val="00FF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FB681"/>
  <w15:docId w15:val="{BE724B1E-DF5B-40BB-B458-4DE0FB3F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7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E6A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6A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6A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A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A95"/>
    <w:rPr>
      <w:b/>
      <w:bCs/>
      <w:sz w:val="20"/>
      <w:szCs w:val="20"/>
    </w:rPr>
  </w:style>
  <w:style w:type="paragraph" w:styleId="ListParagraph">
    <w:name w:val="List Paragraph"/>
    <w:aliases w:val="Paragraphe EI,Paragraphe de liste1,EC,Dot pt,List Paragraph1,Colorful List - Accent 11,No Spacing1,List Paragraph Char Char Char,Indicator Text,Numbered Para 1,Bullet 1,F5 List Paragraph,Bullet Points,List Paragraph2,List Paragraph12"/>
    <w:basedOn w:val="Normal"/>
    <w:link w:val="ListParagraphChar"/>
    <w:uiPriority w:val="34"/>
    <w:qFormat/>
    <w:rsid w:val="00210B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4902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05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24765"/>
    <w:pPr>
      <w:spacing w:after="0" w:line="240" w:lineRule="auto"/>
    </w:pPr>
  </w:style>
  <w:style w:type="paragraph" w:customStyle="1" w:styleId="NApunkts1">
    <w:name w:val="NA punkts 1"/>
    <w:basedOn w:val="Normal"/>
    <w:qFormat/>
    <w:rsid w:val="00AA4212"/>
    <w:pPr>
      <w:numPr>
        <w:numId w:val="8"/>
      </w:numPr>
      <w:spacing w:before="240"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2">
    <w:name w:val="NA punkts 2"/>
    <w:basedOn w:val="Normal"/>
    <w:qFormat/>
    <w:rsid w:val="00AA4212"/>
    <w:pPr>
      <w:keepLines/>
      <w:numPr>
        <w:ilvl w:val="1"/>
        <w:numId w:val="8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3">
    <w:name w:val="NA punkts 3"/>
    <w:basedOn w:val="Normal"/>
    <w:qFormat/>
    <w:rsid w:val="00AA4212"/>
    <w:pPr>
      <w:keepLines/>
      <w:numPr>
        <w:ilvl w:val="2"/>
        <w:numId w:val="8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4">
    <w:name w:val="NA punkts 4"/>
    <w:basedOn w:val="Normal"/>
    <w:qFormat/>
    <w:rsid w:val="00AA4212"/>
    <w:pPr>
      <w:keepLines/>
      <w:numPr>
        <w:ilvl w:val="3"/>
        <w:numId w:val="8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AA421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410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080"/>
  </w:style>
  <w:style w:type="paragraph" w:styleId="Footer">
    <w:name w:val="footer"/>
    <w:basedOn w:val="Normal"/>
    <w:link w:val="FooterChar"/>
    <w:uiPriority w:val="99"/>
    <w:unhideWhenUsed/>
    <w:rsid w:val="006410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080"/>
  </w:style>
  <w:style w:type="character" w:customStyle="1" w:styleId="ListParagraphChar">
    <w:name w:val="List Paragraph Char"/>
    <w:aliases w:val="Paragraphe EI Char,Paragraphe de liste1 Char,EC Char,Dot pt Char,List Paragraph1 Char,Colorful List - Accent 11 Char,No Spacing1 Char,List Paragraph Char Char Char Char,Indicator Text Char,Numbered Para 1 Char,Bullet 1 Char"/>
    <w:link w:val="ListParagraph"/>
    <w:uiPriority w:val="34"/>
    <w:qFormat/>
    <w:locked/>
    <w:rsid w:val="00255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bank.l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88E76C-957A-4E3B-97D0-C4F62E546F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E1010F-DB22-44E1-A48B-7B8376DB2A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E828A5-75A6-40F1-857E-E2ED37AC05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3189</Words>
  <Characters>1818</Characters>
  <Application>Microsoft Office Word</Application>
  <DocSecurity>0</DocSecurity>
  <Lines>15</Lines>
  <Paragraphs>9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Ivars Avotiņš</dc:creator>
  <cp:keywords/>
  <dc:description/>
  <cp:lastModifiedBy>Ilze Grava</cp:lastModifiedBy>
  <cp:revision>2</cp:revision>
  <cp:lastPrinted>2022-05-24T05:55:00Z</cp:lastPrinted>
  <dcterms:created xsi:type="dcterms:W3CDTF">2024-11-26T12:16:00Z</dcterms:created>
  <dcterms:modified xsi:type="dcterms:W3CDTF">2024-11-26T12:16:00Z</dcterms:modified>
</cp:coreProperties>
</file>