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39AC7" w14:textId="22E026BF" w:rsidR="009B27BE" w:rsidRPr="004E3F4A" w:rsidRDefault="00CA28AB" w:rsidP="00F62DE2">
      <w:pPr>
        <w:spacing w:after="0" w:line="240" w:lineRule="auto"/>
        <w:jc w:val="center"/>
        <w:rPr>
          <w:rFonts w:ascii="Times New Roman" w:hAnsi="Times New Roman" w:cs="Times New Roman"/>
          <w:b/>
          <w:bCs/>
          <w:sz w:val="24"/>
          <w:szCs w:val="24"/>
        </w:rPr>
      </w:pPr>
      <w:r w:rsidRPr="004E3F4A">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End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EndPr/>
            <w:sdtContent>
              <w:r w:rsidR="00492810">
                <w:rPr>
                  <w:rFonts w:ascii="Times New Roman" w:hAnsi="Times New Roman" w:cs="Times New Roman"/>
                  <w:b/>
                  <w:bCs/>
                  <w:sz w:val="24"/>
                  <w:szCs w:val="24"/>
                </w:rPr>
                <w:t>"</w:t>
              </w:r>
              <w:bookmarkStart w:id="0" w:name="_Hlk158110754"/>
              <w:r w:rsidR="005B7DF1">
                <w:rPr>
                  <w:rFonts w:ascii="Times New Roman" w:hAnsi="Times New Roman" w:cs="Times New Roman"/>
                  <w:b/>
                  <w:bCs/>
                  <w:sz w:val="24"/>
                  <w:szCs w:val="24"/>
                </w:rPr>
                <w:t>Minimālās prasības a</w:t>
              </w:r>
              <w:r w:rsidR="007E4C39">
                <w:rPr>
                  <w:rFonts w:ascii="Times New Roman" w:hAnsi="Times New Roman" w:cs="Times New Roman"/>
                  <w:b/>
                  <w:bCs/>
                  <w:sz w:val="24"/>
                  <w:szCs w:val="24"/>
                </w:rPr>
                <w:t xml:space="preserve">r </w:t>
              </w:r>
              <w:r w:rsidR="007E4C39" w:rsidRPr="007E4C39">
                <w:rPr>
                  <w:rFonts w:ascii="Times New Roman" w:hAnsi="Times New Roman" w:cs="Times New Roman"/>
                  <w:b/>
                  <w:bCs/>
                  <w:sz w:val="24"/>
                  <w:szCs w:val="24"/>
                </w:rPr>
                <w:t xml:space="preserve">maksājumu kontu saistīto </w:t>
              </w:r>
              <w:r w:rsidR="00C14A12" w:rsidRPr="00C14A12">
                <w:rPr>
                  <w:rFonts w:ascii="Times New Roman" w:hAnsi="Times New Roman" w:cs="Times New Roman"/>
                  <w:b/>
                  <w:bCs/>
                  <w:sz w:val="24"/>
                  <w:szCs w:val="24"/>
                </w:rPr>
                <w:t xml:space="preserve">pakalpojumu </w:t>
              </w:r>
              <w:bookmarkEnd w:id="0"/>
              <w:r w:rsidR="0051578E" w:rsidRPr="0051578E">
                <w:rPr>
                  <w:rFonts w:ascii="Times New Roman" w:hAnsi="Times New Roman" w:cs="Times New Roman"/>
                  <w:b/>
                  <w:bCs/>
                  <w:sz w:val="24"/>
                  <w:szCs w:val="24"/>
                </w:rPr>
                <w:t>cenrā</w:t>
              </w:r>
              <w:r w:rsidR="005B7DF1">
                <w:rPr>
                  <w:rFonts w:ascii="Times New Roman" w:hAnsi="Times New Roman" w:cs="Times New Roman"/>
                  <w:b/>
                  <w:bCs/>
                  <w:sz w:val="24"/>
                  <w:szCs w:val="24"/>
                </w:rPr>
                <w:t>dim</w:t>
              </w:r>
              <w:r w:rsidR="0051578E" w:rsidRPr="0051578E">
                <w:rPr>
                  <w:rFonts w:ascii="Times New Roman" w:hAnsi="Times New Roman" w:cs="Times New Roman"/>
                  <w:b/>
                  <w:bCs/>
                  <w:sz w:val="24"/>
                  <w:szCs w:val="24"/>
                </w:rPr>
                <w:t xml:space="preserve"> un pakalpojumu maksas pārskata</w:t>
              </w:r>
              <w:r w:rsidR="005B7DF1">
                <w:rPr>
                  <w:rFonts w:ascii="Times New Roman" w:hAnsi="Times New Roman" w:cs="Times New Roman"/>
                  <w:b/>
                  <w:bCs/>
                  <w:sz w:val="24"/>
                  <w:szCs w:val="24"/>
                </w:rPr>
                <w:t>m</w:t>
              </w:r>
              <w:r w:rsidR="009A72ED" w:rsidRPr="004E3F4A">
                <w:rPr>
                  <w:rFonts w:ascii="Times New Roman" w:hAnsi="Times New Roman" w:cs="Times New Roman"/>
                  <w:b/>
                  <w:bCs/>
                  <w:sz w:val="24"/>
                  <w:szCs w:val="24"/>
                </w:rPr>
                <w:t>"</w:t>
              </w:r>
            </w:sdtContent>
          </w:sdt>
        </w:sdtContent>
      </w:sdt>
      <w:r w:rsidR="006760E3" w:rsidRPr="004E3F4A">
        <w:rPr>
          <w:rFonts w:ascii="Times New Roman" w:hAnsi="Times New Roman" w:cs="Times New Roman"/>
          <w:b/>
          <w:bCs/>
          <w:sz w:val="24"/>
          <w:szCs w:val="24"/>
        </w:rPr>
        <w:t xml:space="preserve"> </w:t>
      </w:r>
      <w:r w:rsidR="003B481B" w:rsidRPr="004E3F4A">
        <w:rPr>
          <w:rFonts w:ascii="Times New Roman" w:hAnsi="Times New Roman" w:cs="Times New Roman"/>
          <w:b/>
          <w:bCs/>
          <w:sz w:val="24"/>
          <w:szCs w:val="24"/>
        </w:rPr>
        <w:t>anotācija</w:t>
      </w:r>
    </w:p>
    <w:p w14:paraId="0B66099E" w14:textId="77777777" w:rsidR="003B481B" w:rsidRPr="004E3F4A" w:rsidRDefault="003B481B" w:rsidP="00F62DE2">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6944"/>
      </w:tblGrid>
      <w:tr w:rsidR="00F62DE2" w:rsidRPr="004E3F4A" w14:paraId="2BEFF1B2" w14:textId="77777777" w:rsidTr="00A4725B">
        <w:trPr>
          <w:trHeight w:val="567"/>
        </w:trPr>
        <w:tc>
          <w:tcPr>
            <w:tcW w:w="1170" w:type="pct"/>
            <w:shd w:val="clear" w:color="auto" w:fill="auto"/>
            <w:hideMark/>
          </w:tcPr>
          <w:p w14:paraId="648BA918"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Nosaukums</w:t>
            </w:r>
          </w:p>
          <w:p w14:paraId="5CE2EE7C"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08E3F30D" w14:textId="3152C94B" w:rsidR="00E53DE9" w:rsidRPr="004E3F4A" w:rsidRDefault="005B7DF1" w:rsidP="0036748D">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Minimālās prasības a</w:t>
            </w:r>
            <w:r w:rsidR="0051578E" w:rsidRPr="0051578E">
              <w:rPr>
                <w:rFonts w:ascii="Times New Roman" w:eastAsia="Times New Roman" w:hAnsi="Times New Roman" w:cs="Times New Roman"/>
                <w:sz w:val="24"/>
                <w:szCs w:val="24"/>
                <w:lang w:eastAsia="lv-LV"/>
              </w:rPr>
              <w:t>r maksājumu kontu saistīto pakalpojumu cenrā</w:t>
            </w:r>
            <w:r>
              <w:rPr>
                <w:rFonts w:ascii="Times New Roman" w:eastAsia="Times New Roman" w:hAnsi="Times New Roman" w:cs="Times New Roman"/>
                <w:sz w:val="24"/>
                <w:szCs w:val="24"/>
                <w:lang w:eastAsia="lv-LV"/>
              </w:rPr>
              <w:t>dim</w:t>
            </w:r>
            <w:r w:rsidR="0051578E" w:rsidRPr="0051578E">
              <w:rPr>
                <w:rFonts w:ascii="Times New Roman" w:eastAsia="Times New Roman" w:hAnsi="Times New Roman" w:cs="Times New Roman"/>
                <w:sz w:val="24"/>
                <w:szCs w:val="24"/>
                <w:lang w:eastAsia="lv-LV"/>
              </w:rPr>
              <w:t xml:space="preserve"> un pakalpojumu maksas pārskata</w:t>
            </w:r>
            <w:r>
              <w:rPr>
                <w:rFonts w:ascii="Times New Roman" w:eastAsia="Times New Roman" w:hAnsi="Times New Roman" w:cs="Times New Roman"/>
                <w:sz w:val="24"/>
                <w:szCs w:val="24"/>
                <w:lang w:eastAsia="lv-LV"/>
              </w:rPr>
              <w:t>m</w:t>
            </w:r>
          </w:p>
        </w:tc>
      </w:tr>
      <w:tr w:rsidR="00F62DE2" w:rsidRPr="004E3F4A" w14:paraId="1D36F47A" w14:textId="77777777" w:rsidTr="00A4725B">
        <w:trPr>
          <w:trHeight w:val="567"/>
        </w:trPr>
        <w:tc>
          <w:tcPr>
            <w:tcW w:w="1170" w:type="pct"/>
            <w:shd w:val="clear" w:color="auto" w:fill="auto"/>
            <w:hideMark/>
          </w:tcPr>
          <w:p w14:paraId="2F180771"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Dokumenta veids</w:t>
            </w:r>
          </w:p>
          <w:p w14:paraId="47E2425B"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4E1881C3" w14:textId="7389110D" w:rsidR="00E53DE9" w:rsidRPr="004E3F4A" w:rsidRDefault="00F14016" w:rsidP="00F62DE2">
            <w:pPr>
              <w:spacing w:after="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4E3F4A">
              <w:rPr>
                <w:rFonts w:ascii="Times New Roman" w:hAnsi="Times New Roman" w:cs="Times New Roman"/>
                <w:sz w:val="24"/>
                <w:szCs w:val="24"/>
                <w:shd w:val="clear" w:color="auto" w:fill="FFFFFF"/>
              </w:rPr>
              <w:t xml:space="preserve"> </w:t>
            </w:r>
            <w:r w:rsidR="004C3B7F" w:rsidRPr="004E3F4A">
              <w:rPr>
                <w:rFonts w:ascii="Times New Roman" w:hAnsi="Times New Roman" w:cs="Times New Roman"/>
                <w:sz w:val="24"/>
                <w:szCs w:val="24"/>
                <w:shd w:val="clear" w:color="auto" w:fill="FFFFFF"/>
              </w:rPr>
              <w:t>noteikumi</w:t>
            </w:r>
          </w:p>
        </w:tc>
      </w:tr>
      <w:tr w:rsidR="00F62DE2" w:rsidRPr="004E3F4A" w14:paraId="5992D55E" w14:textId="77777777" w:rsidTr="00A4725B">
        <w:trPr>
          <w:trHeight w:val="567"/>
        </w:trPr>
        <w:tc>
          <w:tcPr>
            <w:tcW w:w="1170" w:type="pct"/>
            <w:shd w:val="clear" w:color="auto" w:fill="auto"/>
            <w:hideMark/>
          </w:tcPr>
          <w:p w14:paraId="604DAF9B"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 xml:space="preserve">Izdošanas pamatojums </w:t>
            </w:r>
          </w:p>
          <w:p w14:paraId="1F56AB7F"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5AFDE6F9" w14:textId="7F2AC017" w:rsidR="00E53DE9" w:rsidRPr="004E3F4A" w:rsidRDefault="00492810" w:rsidP="003D1F15">
            <w:pPr>
              <w:shd w:val="clear" w:color="auto" w:fill="FFFFFF"/>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Maksājumu pakalpojumu un elektroniskās naudas</w:t>
            </w:r>
            <w:r w:rsidR="003D1F15" w:rsidRPr="004E3F4A">
              <w:rPr>
                <w:rFonts w:ascii="Times New Roman" w:eastAsia="Times New Roman" w:hAnsi="Times New Roman" w:cs="Times New Roman"/>
                <w:sz w:val="24"/>
                <w:szCs w:val="24"/>
                <w:lang w:eastAsia="lv-LV"/>
              </w:rPr>
              <w:t xml:space="preserve"> likuma</w:t>
            </w:r>
            <w:r w:rsidR="00960636">
              <w:rPr>
                <w:rFonts w:ascii="Times New Roman" w:eastAsia="Times New Roman" w:hAnsi="Times New Roman" w:cs="Times New Roman"/>
                <w:sz w:val="24"/>
                <w:szCs w:val="24"/>
                <w:lang w:eastAsia="lv-LV"/>
              </w:rPr>
              <w:t xml:space="preserve"> (turpmāk</w:t>
            </w:r>
            <w:r w:rsidR="00AF4AB3">
              <w:rPr>
                <w:rFonts w:ascii="Times New Roman" w:eastAsia="Times New Roman" w:hAnsi="Times New Roman" w:cs="Times New Roman"/>
                <w:sz w:val="24"/>
                <w:szCs w:val="24"/>
                <w:lang w:eastAsia="lv-LV"/>
              </w:rPr>
              <w:t> </w:t>
            </w:r>
            <w:r w:rsidR="00960636">
              <w:rPr>
                <w:rFonts w:ascii="Times New Roman" w:eastAsia="Times New Roman" w:hAnsi="Times New Roman" w:cs="Times New Roman"/>
                <w:sz w:val="24"/>
                <w:szCs w:val="24"/>
                <w:lang w:eastAsia="lv-LV"/>
              </w:rPr>
              <w:t>– Likums)</w:t>
            </w:r>
            <w:r w:rsidR="003D1F15" w:rsidRPr="004E3F4A">
              <w:rPr>
                <w:rFonts w:ascii="Times New Roman" w:eastAsia="Times New Roman" w:hAnsi="Times New Roman" w:cs="Times New Roman"/>
                <w:sz w:val="24"/>
                <w:szCs w:val="24"/>
                <w:lang w:eastAsia="lv-LV"/>
              </w:rPr>
              <w:t xml:space="preserve"> </w:t>
            </w:r>
            <w:r w:rsidR="00C14A12">
              <w:rPr>
                <w:rFonts w:ascii="Times New Roman" w:eastAsia="Times New Roman" w:hAnsi="Times New Roman" w:cs="Times New Roman"/>
                <w:sz w:val="24"/>
                <w:szCs w:val="24"/>
                <w:lang w:eastAsia="lv-LV"/>
              </w:rPr>
              <w:t>60</w:t>
            </w:r>
            <w:r w:rsidR="003D1F15" w:rsidRPr="004E3F4A">
              <w:rPr>
                <w:rFonts w:ascii="Times New Roman" w:eastAsia="Times New Roman" w:hAnsi="Times New Roman" w:cs="Times New Roman"/>
                <w:sz w:val="24"/>
                <w:szCs w:val="24"/>
                <w:lang w:eastAsia="lv-LV"/>
              </w:rPr>
              <w:t>.</w:t>
            </w:r>
            <w:r w:rsidR="00C14A12">
              <w:rPr>
                <w:rFonts w:ascii="Times New Roman" w:eastAsia="Times New Roman" w:hAnsi="Times New Roman" w:cs="Times New Roman"/>
                <w:sz w:val="24"/>
                <w:szCs w:val="24"/>
                <w:vertAlign w:val="superscript"/>
                <w:lang w:eastAsia="lv-LV"/>
              </w:rPr>
              <w:t>1</w:t>
            </w:r>
            <w:r w:rsidR="003D1F15" w:rsidRPr="004E3F4A">
              <w:rPr>
                <w:rFonts w:ascii="Times New Roman" w:eastAsia="Times New Roman" w:hAnsi="Times New Roman" w:cs="Times New Roman"/>
                <w:sz w:val="24"/>
                <w:szCs w:val="24"/>
                <w:lang w:eastAsia="lv-LV"/>
              </w:rPr>
              <w:t xml:space="preserve"> panta </w:t>
            </w:r>
            <w:r w:rsidR="00C14A12">
              <w:rPr>
                <w:rFonts w:ascii="Times New Roman" w:eastAsia="Times New Roman" w:hAnsi="Times New Roman" w:cs="Times New Roman"/>
                <w:sz w:val="24"/>
                <w:szCs w:val="24"/>
                <w:lang w:eastAsia="lv-LV"/>
              </w:rPr>
              <w:t>pirmā</w:t>
            </w:r>
            <w:r w:rsidR="003D1F15" w:rsidRPr="004E3F4A">
              <w:rPr>
                <w:rFonts w:ascii="Times New Roman" w:eastAsia="Times New Roman" w:hAnsi="Times New Roman" w:cs="Times New Roman"/>
                <w:sz w:val="24"/>
                <w:szCs w:val="24"/>
                <w:lang w:eastAsia="lv-LV"/>
              </w:rPr>
              <w:t xml:space="preserve"> </w:t>
            </w:r>
            <w:r w:rsidR="00BB54F7">
              <w:rPr>
                <w:rFonts w:ascii="Times New Roman" w:eastAsia="Times New Roman" w:hAnsi="Times New Roman" w:cs="Times New Roman"/>
                <w:sz w:val="24"/>
                <w:szCs w:val="24"/>
                <w:lang w:eastAsia="lv-LV"/>
              </w:rPr>
              <w:t>un</w:t>
            </w:r>
            <w:r w:rsidR="0051578E" w:rsidRPr="0051578E">
              <w:rPr>
                <w:rFonts w:ascii="Times New Roman" w:eastAsia="Times New Roman" w:hAnsi="Times New Roman" w:cs="Times New Roman"/>
                <w:sz w:val="24"/>
                <w:szCs w:val="24"/>
                <w:lang w:eastAsia="lv-LV"/>
              </w:rPr>
              <w:t xml:space="preserve"> otrā daļa un 60.</w:t>
            </w:r>
            <w:r w:rsidR="0051578E" w:rsidRPr="0051578E">
              <w:rPr>
                <w:rFonts w:ascii="Times New Roman" w:eastAsia="Times New Roman" w:hAnsi="Times New Roman" w:cs="Times New Roman"/>
                <w:sz w:val="24"/>
                <w:szCs w:val="24"/>
                <w:vertAlign w:val="superscript"/>
                <w:lang w:eastAsia="lv-LV"/>
              </w:rPr>
              <w:t>2</w:t>
            </w:r>
            <w:r w:rsidR="00AF4AB3">
              <w:rPr>
                <w:rFonts w:ascii="Times New Roman" w:eastAsia="Times New Roman" w:hAnsi="Times New Roman" w:cs="Times New Roman"/>
                <w:sz w:val="24"/>
                <w:szCs w:val="24"/>
                <w:lang w:eastAsia="lv-LV"/>
              </w:rPr>
              <w:t> </w:t>
            </w:r>
            <w:r w:rsidR="0051578E" w:rsidRPr="0051578E">
              <w:rPr>
                <w:rFonts w:ascii="Times New Roman" w:eastAsia="Times New Roman" w:hAnsi="Times New Roman" w:cs="Times New Roman"/>
                <w:sz w:val="24"/>
                <w:szCs w:val="24"/>
                <w:lang w:eastAsia="lv-LV"/>
              </w:rPr>
              <w:t>panta otrā daļa</w:t>
            </w:r>
          </w:p>
        </w:tc>
      </w:tr>
      <w:tr w:rsidR="00F62DE2" w:rsidRPr="004E3F4A" w14:paraId="248CA3CA" w14:textId="77777777" w:rsidTr="00A4725B">
        <w:trPr>
          <w:trHeight w:val="567"/>
        </w:trPr>
        <w:tc>
          <w:tcPr>
            <w:tcW w:w="1170" w:type="pct"/>
            <w:shd w:val="clear" w:color="auto" w:fill="auto"/>
            <w:hideMark/>
          </w:tcPr>
          <w:p w14:paraId="71105B1A" w14:textId="77777777" w:rsidR="00A42788" w:rsidRPr="003E62F3" w:rsidRDefault="00A42788" w:rsidP="00F62DE2">
            <w:pPr>
              <w:spacing w:after="0" w:line="240" w:lineRule="auto"/>
              <w:rPr>
                <w:rFonts w:ascii="Times New Roman" w:eastAsia="Times New Roman" w:hAnsi="Times New Roman" w:cs="Times New Roman"/>
                <w:b/>
                <w:bCs/>
                <w:sz w:val="24"/>
                <w:szCs w:val="24"/>
                <w:lang w:eastAsia="lv-LV"/>
              </w:rPr>
            </w:pPr>
            <w:r w:rsidRPr="003E62F3">
              <w:rPr>
                <w:rFonts w:ascii="Times New Roman" w:eastAsia="Times New Roman" w:hAnsi="Times New Roman" w:cs="Times New Roman"/>
                <w:b/>
                <w:bCs/>
                <w:sz w:val="24"/>
                <w:szCs w:val="24"/>
                <w:lang w:eastAsia="lv-LV"/>
              </w:rPr>
              <w:t>Mērķis un būtība</w:t>
            </w:r>
          </w:p>
          <w:p w14:paraId="1B83DA20" w14:textId="77777777" w:rsidR="00CA28AB" w:rsidRPr="003E62F3"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39F1F81E" w14:textId="049328F1" w:rsidR="00A81648" w:rsidRPr="00C14A12" w:rsidRDefault="00A81648" w:rsidP="003D1F15">
            <w:pPr>
              <w:spacing w:after="120" w:line="240" w:lineRule="auto"/>
              <w:jc w:val="both"/>
              <w:rPr>
                <w:rFonts w:ascii="Times New Roman" w:hAnsi="Times New Roman" w:cs="Times New Roman"/>
                <w:sz w:val="24"/>
                <w:szCs w:val="24"/>
              </w:rPr>
            </w:pPr>
            <w:r w:rsidRPr="00C14A12">
              <w:rPr>
                <w:rFonts w:ascii="Times New Roman" w:hAnsi="Times New Roman" w:cs="Times New Roman"/>
                <w:sz w:val="24"/>
                <w:szCs w:val="24"/>
              </w:rPr>
              <w:t xml:space="preserve">Saskaņā ar Latvijas Bankas likuma </w:t>
            </w:r>
            <w:r w:rsidR="00F62DE2" w:rsidRPr="00C14A12">
              <w:rPr>
                <w:rFonts w:ascii="Times New Roman" w:hAnsi="Times New Roman" w:cs="Times New Roman"/>
                <w:sz w:val="24"/>
                <w:szCs w:val="24"/>
              </w:rPr>
              <w:t>p</w:t>
            </w:r>
            <w:r w:rsidRPr="00C14A12">
              <w:rPr>
                <w:rFonts w:ascii="Times New Roman" w:hAnsi="Times New Roman" w:cs="Times New Roman"/>
                <w:sz w:val="24"/>
                <w:szCs w:val="24"/>
              </w:rPr>
              <w:t>ārejas noteikumu 3.</w:t>
            </w:r>
            <w:r w:rsidR="00F62DE2" w:rsidRPr="00C14A12">
              <w:rPr>
                <w:rFonts w:ascii="Times New Roman" w:hAnsi="Times New Roman" w:cs="Times New Roman"/>
                <w:sz w:val="24"/>
                <w:szCs w:val="24"/>
              </w:rPr>
              <w:t> </w:t>
            </w:r>
            <w:r w:rsidRPr="00C14A12">
              <w:rPr>
                <w:rFonts w:ascii="Times New Roman" w:hAnsi="Times New Roman" w:cs="Times New Roman"/>
                <w:sz w:val="24"/>
                <w:szCs w:val="24"/>
              </w:rPr>
              <w:t xml:space="preserve">punktu </w:t>
            </w:r>
            <w:r w:rsidRPr="00C14A12">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5445A0AB" w14:textId="18892F27" w:rsidR="00FF59AC" w:rsidRPr="00C14A12" w:rsidRDefault="00A81648" w:rsidP="000A7460">
            <w:pPr>
              <w:spacing w:after="120" w:line="240" w:lineRule="auto"/>
              <w:jc w:val="both"/>
              <w:rPr>
                <w:rFonts w:ascii="Times New Roman" w:eastAsia="Times New Roman" w:hAnsi="Times New Roman" w:cs="Times New Roman"/>
                <w:sz w:val="24"/>
                <w:szCs w:val="24"/>
                <w:lang w:eastAsia="lv-LV"/>
              </w:rPr>
            </w:pPr>
            <w:r w:rsidRPr="00C14A12">
              <w:rPr>
                <w:rFonts w:ascii="Times New Roman" w:hAnsi="Times New Roman" w:cs="Times New Roman"/>
                <w:sz w:val="24"/>
                <w:szCs w:val="24"/>
              </w:rPr>
              <w:t xml:space="preserve">Ņemot vērā minēto, </w:t>
            </w:r>
            <w:r w:rsidR="002676FE" w:rsidRPr="00C14A12">
              <w:rPr>
                <w:rFonts w:ascii="Times New Roman" w:hAnsi="Times New Roman" w:cs="Times New Roman"/>
                <w:sz w:val="24"/>
                <w:szCs w:val="24"/>
              </w:rPr>
              <w:t>Latvijas Banka ir</w:t>
            </w:r>
            <w:r w:rsidRPr="00C14A12">
              <w:rPr>
                <w:rFonts w:ascii="Times New Roman" w:hAnsi="Times New Roman" w:cs="Times New Roman"/>
                <w:sz w:val="24"/>
                <w:szCs w:val="24"/>
              </w:rPr>
              <w:t xml:space="preserve"> izstrādā</w:t>
            </w:r>
            <w:r w:rsidR="002676FE" w:rsidRPr="00C14A12">
              <w:rPr>
                <w:rFonts w:ascii="Times New Roman" w:hAnsi="Times New Roman" w:cs="Times New Roman"/>
                <w:sz w:val="24"/>
                <w:szCs w:val="24"/>
              </w:rPr>
              <w:t>jusi</w:t>
            </w:r>
            <w:r w:rsidRPr="00C14A12">
              <w:rPr>
                <w:rFonts w:ascii="Times New Roman" w:hAnsi="Times New Roman" w:cs="Times New Roman"/>
                <w:sz w:val="24"/>
                <w:szCs w:val="24"/>
              </w:rPr>
              <w:t xml:space="preserve"> </w:t>
            </w:r>
            <w:r w:rsidR="002676FE" w:rsidRPr="00C14A12">
              <w:rPr>
                <w:rFonts w:ascii="Times New Roman" w:hAnsi="Times New Roman" w:cs="Times New Roman"/>
                <w:sz w:val="24"/>
                <w:szCs w:val="24"/>
              </w:rPr>
              <w:t>noteikumu projektu "</w:t>
            </w:r>
            <w:r w:rsidR="005B7DF1">
              <w:rPr>
                <w:rFonts w:ascii="Times New Roman" w:hAnsi="Times New Roman" w:cs="Times New Roman"/>
                <w:sz w:val="24"/>
                <w:szCs w:val="24"/>
              </w:rPr>
              <w:t>Minimālās prasības a</w:t>
            </w:r>
            <w:r w:rsidR="0051578E" w:rsidRPr="0051578E">
              <w:rPr>
                <w:rFonts w:ascii="Times New Roman" w:hAnsi="Times New Roman" w:cs="Times New Roman"/>
                <w:sz w:val="24"/>
                <w:szCs w:val="24"/>
              </w:rPr>
              <w:t>r maksājumu kontu saistīto pakalpojumu cenrā</w:t>
            </w:r>
            <w:r w:rsidR="005B7DF1">
              <w:rPr>
                <w:rFonts w:ascii="Times New Roman" w:hAnsi="Times New Roman" w:cs="Times New Roman"/>
                <w:sz w:val="24"/>
                <w:szCs w:val="24"/>
              </w:rPr>
              <w:t>dim</w:t>
            </w:r>
            <w:r w:rsidR="0051578E" w:rsidRPr="0051578E">
              <w:rPr>
                <w:rFonts w:ascii="Times New Roman" w:hAnsi="Times New Roman" w:cs="Times New Roman"/>
                <w:sz w:val="24"/>
                <w:szCs w:val="24"/>
              </w:rPr>
              <w:t xml:space="preserve"> un pakalpojumu maksas pārskata</w:t>
            </w:r>
            <w:r w:rsidR="005B7DF1">
              <w:rPr>
                <w:rFonts w:ascii="Times New Roman" w:hAnsi="Times New Roman" w:cs="Times New Roman"/>
                <w:sz w:val="24"/>
                <w:szCs w:val="24"/>
              </w:rPr>
              <w:t>m</w:t>
            </w:r>
            <w:r w:rsidR="0051578E">
              <w:rPr>
                <w:rFonts w:ascii="Times New Roman" w:hAnsi="Times New Roman" w:cs="Times New Roman"/>
                <w:sz w:val="24"/>
                <w:szCs w:val="24"/>
              </w:rPr>
              <w:t>"</w:t>
            </w:r>
            <w:r w:rsidR="002676FE" w:rsidRPr="00C14A12">
              <w:rPr>
                <w:rFonts w:ascii="Times New Roman" w:hAnsi="Times New Roman" w:cs="Times New Roman"/>
                <w:sz w:val="24"/>
                <w:szCs w:val="24"/>
              </w:rPr>
              <w:t xml:space="preserve"> (turpmāk –</w:t>
            </w:r>
            <w:r w:rsidRPr="00C14A12">
              <w:rPr>
                <w:rFonts w:ascii="Times New Roman" w:hAnsi="Times New Roman" w:cs="Times New Roman"/>
                <w:sz w:val="24"/>
                <w:szCs w:val="24"/>
              </w:rPr>
              <w:t xml:space="preserve"> projekts</w:t>
            </w:r>
            <w:r w:rsidR="002676FE" w:rsidRPr="00C14A12">
              <w:rPr>
                <w:rFonts w:ascii="Times New Roman" w:hAnsi="Times New Roman" w:cs="Times New Roman"/>
                <w:sz w:val="24"/>
                <w:szCs w:val="24"/>
              </w:rPr>
              <w:t>)</w:t>
            </w:r>
            <w:r w:rsidRPr="00C14A12">
              <w:rPr>
                <w:rFonts w:ascii="Times New Roman" w:hAnsi="Times New Roman" w:cs="Times New Roman"/>
                <w:sz w:val="24"/>
                <w:szCs w:val="24"/>
              </w:rPr>
              <w:t xml:space="preserve">, kas aizstās </w:t>
            </w:r>
            <w:r w:rsidR="001F1E1F" w:rsidRPr="00C14A12">
              <w:rPr>
                <w:rFonts w:ascii="Times New Roman" w:hAnsi="Times New Roman" w:cs="Times New Roman"/>
                <w:sz w:val="24"/>
                <w:szCs w:val="24"/>
              </w:rPr>
              <w:t xml:space="preserve">Finanšu un kapitāla tirgus komisijas 2020. gada </w:t>
            </w:r>
            <w:r w:rsidR="00C14A12" w:rsidRPr="00C14A12">
              <w:rPr>
                <w:rFonts w:ascii="Times New Roman" w:hAnsi="Times New Roman" w:cs="Times New Roman"/>
                <w:sz w:val="24"/>
                <w:szCs w:val="24"/>
              </w:rPr>
              <w:t>14.</w:t>
            </w:r>
            <w:r w:rsidR="009B108C">
              <w:rPr>
                <w:rFonts w:ascii="Times New Roman" w:hAnsi="Times New Roman" w:cs="Times New Roman"/>
                <w:sz w:val="24"/>
                <w:szCs w:val="24"/>
              </w:rPr>
              <w:t> </w:t>
            </w:r>
            <w:r w:rsidR="00C14A12" w:rsidRPr="00C14A12">
              <w:rPr>
                <w:rFonts w:ascii="Times New Roman" w:hAnsi="Times New Roman" w:cs="Times New Roman"/>
                <w:sz w:val="24"/>
                <w:szCs w:val="24"/>
              </w:rPr>
              <w:t>jūlija</w:t>
            </w:r>
            <w:r w:rsidR="001F1E1F" w:rsidRPr="00C14A12">
              <w:rPr>
                <w:rFonts w:ascii="Times New Roman" w:hAnsi="Times New Roman" w:cs="Times New Roman"/>
                <w:sz w:val="24"/>
                <w:szCs w:val="24"/>
              </w:rPr>
              <w:t xml:space="preserve"> </w:t>
            </w:r>
            <w:r w:rsidR="001F1E1F" w:rsidRPr="00C14A12">
              <w:rPr>
                <w:rFonts w:ascii="Times New Roman" w:hAnsi="Times New Roman" w:cs="Times New Roman"/>
                <w:bCs/>
                <w:sz w:val="24"/>
                <w:szCs w:val="24"/>
              </w:rPr>
              <w:t>normatīvos noteikumus Nr. </w:t>
            </w:r>
            <w:r w:rsidR="00C14A12" w:rsidRPr="00C14A12">
              <w:rPr>
                <w:rFonts w:ascii="Times New Roman" w:hAnsi="Times New Roman" w:cs="Times New Roman"/>
                <w:bCs/>
                <w:sz w:val="24"/>
                <w:szCs w:val="24"/>
              </w:rPr>
              <w:t>82</w:t>
            </w:r>
            <w:r w:rsidR="001F1E1F" w:rsidRPr="00C14A12">
              <w:rPr>
                <w:rFonts w:ascii="Times New Roman" w:hAnsi="Times New Roman" w:cs="Times New Roman"/>
                <w:bCs/>
                <w:sz w:val="24"/>
                <w:szCs w:val="24"/>
              </w:rPr>
              <w:t xml:space="preserve"> </w:t>
            </w:r>
            <w:r w:rsidR="0097700D">
              <w:rPr>
                <w:rFonts w:ascii="Times New Roman" w:hAnsi="Times New Roman" w:cs="Times New Roman"/>
                <w:bCs/>
                <w:sz w:val="24"/>
                <w:szCs w:val="24"/>
              </w:rPr>
              <w:t>"</w:t>
            </w:r>
            <w:r w:rsidR="00C14A12" w:rsidRPr="00C14A12">
              <w:rPr>
                <w:rFonts w:ascii="Times New Roman" w:hAnsi="Times New Roman" w:cs="Times New Roman"/>
                <w:bCs/>
                <w:sz w:val="24"/>
                <w:szCs w:val="24"/>
              </w:rPr>
              <w:t>Patērētāju biežāk izmantoto pakalpojumu standartizēto terminu saraksts</w:t>
            </w:r>
            <w:r w:rsidR="001F1E1F" w:rsidRPr="00C14A12">
              <w:rPr>
                <w:rFonts w:ascii="Times New Roman" w:hAnsi="Times New Roman" w:cs="Times New Roman"/>
                <w:sz w:val="24"/>
                <w:szCs w:val="24"/>
              </w:rPr>
              <w:t>'</w:t>
            </w:r>
            <w:r w:rsidR="00141B3C" w:rsidRPr="00C14A12">
              <w:rPr>
                <w:rFonts w:ascii="Times New Roman" w:hAnsi="Times New Roman" w:cs="Times New Roman"/>
                <w:sz w:val="24"/>
                <w:szCs w:val="24"/>
              </w:rPr>
              <w:t>'</w:t>
            </w:r>
            <w:r w:rsidR="001C690B" w:rsidRPr="00C14A12">
              <w:rPr>
                <w:rFonts w:ascii="Times New Roman" w:hAnsi="Times New Roman" w:cs="Times New Roman"/>
                <w:sz w:val="24"/>
                <w:szCs w:val="24"/>
              </w:rPr>
              <w:t xml:space="preserve"> (turpmāk – Noteikumi Nr. </w:t>
            </w:r>
            <w:r w:rsidR="00C14A12" w:rsidRPr="00C14A12">
              <w:rPr>
                <w:rFonts w:ascii="Times New Roman" w:hAnsi="Times New Roman" w:cs="Times New Roman"/>
                <w:sz w:val="24"/>
                <w:szCs w:val="24"/>
              </w:rPr>
              <w:t>82</w:t>
            </w:r>
            <w:r w:rsidR="001C690B" w:rsidRPr="00C14A12">
              <w:rPr>
                <w:rFonts w:ascii="Times New Roman" w:hAnsi="Times New Roman" w:cs="Times New Roman"/>
                <w:sz w:val="24"/>
                <w:szCs w:val="24"/>
              </w:rPr>
              <w:t>)</w:t>
            </w:r>
            <w:r w:rsidR="0051578E">
              <w:rPr>
                <w:rFonts w:ascii="Times New Roman" w:hAnsi="Times New Roman" w:cs="Times New Roman"/>
                <w:sz w:val="24"/>
                <w:szCs w:val="24"/>
              </w:rPr>
              <w:t xml:space="preserve"> un </w:t>
            </w:r>
            <w:r w:rsidR="0051578E" w:rsidRPr="0051578E">
              <w:rPr>
                <w:rFonts w:ascii="Times New Roman" w:hAnsi="Times New Roman" w:cs="Times New Roman"/>
                <w:sz w:val="24"/>
                <w:szCs w:val="24"/>
              </w:rPr>
              <w:t>Finanšu un kapitāla tirgus komisijas 2020.</w:t>
            </w:r>
            <w:r w:rsidR="005B7DF1">
              <w:rPr>
                <w:rFonts w:ascii="Times New Roman" w:hAnsi="Times New Roman" w:cs="Times New Roman"/>
                <w:sz w:val="24"/>
                <w:szCs w:val="24"/>
              </w:rPr>
              <w:t> </w:t>
            </w:r>
            <w:r w:rsidR="0051578E" w:rsidRPr="0051578E">
              <w:rPr>
                <w:rFonts w:ascii="Times New Roman" w:hAnsi="Times New Roman" w:cs="Times New Roman"/>
                <w:sz w:val="24"/>
                <w:szCs w:val="24"/>
              </w:rPr>
              <w:t>gada 14.</w:t>
            </w:r>
            <w:r w:rsidR="005B7DF1">
              <w:rPr>
                <w:rFonts w:ascii="Times New Roman" w:hAnsi="Times New Roman" w:cs="Times New Roman"/>
                <w:sz w:val="24"/>
                <w:szCs w:val="24"/>
              </w:rPr>
              <w:t> </w:t>
            </w:r>
            <w:r w:rsidR="0051578E" w:rsidRPr="0051578E">
              <w:rPr>
                <w:rFonts w:ascii="Times New Roman" w:hAnsi="Times New Roman" w:cs="Times New Roman"/>
                <w:sz w:val="24"/>
                <w:szCs w:val="24"/>
              </w:rPr>
              <w:t>jūlija normatīvos noteikumus Nr.</w:t>
            </w:r>
            <w:r w:rsidR="00180821">
              <w:rPr>
                <w:rFonts w:ascii="Times New Roman" w:hAnsi="Times New Roman" w:cs="Times New Roman"/>
                <w:sz w:val="24"/>
                <w:szCs w:val="24"/>
              </w:rPr>
              <w:t> </w:t>
            </w:r>
            <w:r w:rsidR="0051578E" w:rsidRPr="0051578E">
              <w:rPr>
                <w:rFonts w:ascii="Times New Roman" w:hAnsi="Times New Roman" w:cs="Times New Roman"/>
                <w:sz w:val="24"/>
                <w:szCs w:val="24"/>
              </w:rPr>
              <w:t>84 ''Pakalpojumu cenrāža un pakalpojumu maksas pārskata minimālo prasību noteikšanas noteikumi'' (turpmāk</w:t>
            </w:r>
            <w:r w:rsidR="00180821">
              <w:rPr>
                <w:rFonts w:ascii="Times New Roman" w:hAnsi="Times New Roman" w:cs="Times New Roman"/>
                <w:sz w:val="24"/>
                <w:szCs w:val="24"/>
              </w:rPr>
              <w:t> </w:t>
            </w:r>
            <w:r w:rsidR="0051578E" w:rsidRPr="0051578E">
              <w:rPr>
                <w:rFonts w:ascii="Times New Roman" w:hAnsi="Times New Roman" w:cs="Times New Roman"/>
                <w:sz w:val="24"/>
                <w:szCs w:val="24"/>
              </w:rPr>
              <w:t>– Noteikumi Nr.</w:t>
            </w:r>
            <w:r w:rsidR="00180821">
              <w:rPr>
                <w:rFonts w:ascii="Times New Roman" w:hAnsi="Times New Roman" w:cs="Times New Roman"/>
                <w:sz w:val="24"/>
                <w:szCs w:val="24"/>
              </w:rPr>
              <w:t> </w:t>
            </w:r>
            <w:r w:rsidR="0051578E" w:rsidRPr="0051578E">
              <w:rPr>
                <w:rFonts w:ascii="Times New Roman" w:hAnsi="Times New Roman" w:cs="Times New Roman"/>
                <w:sz w:val="24"/>
                <w:szCs w:val="24"/>
              </w:rPr>
              <w:t>84)</w:t>
            </w:r>
            <w:r w:rsidR="00FF59AC" w:rsidRPr="00C14A12">
              <w:rPr>
                <w:rFonts w:ascii="Times New Roman" w:eastAsia="Times New Roman" w:hAnsi="Times New Roman" w:cs="Times New Roman"/>
                <w:sz w:val="24"/>
                <w:szCs w:val="24"/>
                <w:lang w:eastAsia="lv-LV"/>
              </w:rPr>
              <w:t>.</w:t>
            </w:r>
          </w:p>
          <w:p w14:paraId="04BF0CF9" w14:textId="09B7BEB2" w:rsidR="0051578E" w:rsidRDefault="0051578E" w:rsidP="0051578E">
            <w:pPr>
              <w:pStyle w:val="NApunkts2"/>
              <w:numPr>
                <w:ilvl w:val="0"/>
                <w:numId w:val="0"/>
              </w:numPr>
              <w:spacing w:after="120"/>
              <w:rPr>
                <w:bCs/>
              </w:rPr>
            </w:pPr>
            <w:r>
              <w:t>1. </w:t>
            </w:r>
            <w:r w:rsidR="00103278" w:rsidRPr="00C14A12">
              <w:t>Projekts pēc satura ir līdzīg</w:t>
            </w:r>
            <w:r w:rsidR="006C69BE" w:rsidRPr="00C14A12">
              <w:t>s</w:t>
            </w:r>
            <w:r w:rsidR="00103278" w:rsidRPr="00C14A12">
              <w:t xml:space="preserve"> spēkā esošajiem Noteikumiem Nr. </w:t>
            </w:r>
            <w:r w:rsidR="00C14A12" w:rsidRPr="00C14A12">
              <w:t>82</w:t>
            </w:r>
            <w:r w:rsidR="00124986" w:rsidRPr="00C14A12">
              <w:t xml:space="preserve">. </w:t>
            </w:r>
            <w:r>
              <w:t>P</w:t>
            </w:r>
            <w:r w:rsidR="003B5143" w:rsidRPr="003B5143">
              <w:rPr>
                <w:bCs/>
              </w:rPr>
              <w:t xml:space="preserve">rojekts </w:t>
            </w:r>
            <w:r w:rsidR="00BB54F7">
              <w:rPr>
                <w:bCs/>
              </w:rPr>
              <w:t>ietver </w:t>
            </w:r>
            <w:r w:rsidR="003B5143" w:rsidRPr="003B5143">
              <w:rPr>
                <w:bCs/>
              </w:rPr>
              <w:t>Latvijas Republikā biežāk izmantojamo pakalpojumu standartizēto terminu sarakstu un šo terminu definīcijas</w:t>
            </w:r>
            <w:r>
              <w:rPr>
                <w:bCs/>
              </w:rPr>
              <w:t xml:space="preserve">. Projekts ir papildināts ar </w:t>
            </w:r>
            <w:r w:rsidR="009C55BC" w:rsidRPr="009C55BC">
              <w:rPr>
                <w:bCs/>
              </w:rPr>
              <w:t>Komisijas 2017.</w:t>
            </w:r>
            <w:r w:rsidR="00180821">
              <w:rPr>
                <w:bCs/>
              </w:rPr>
              <w:t> </w:t>
            </w:r>
            <w:r w:rsidR="009C55BC" w:rsidRPr="009C55BC">
              <w:rPr>
                <w:bCs/>
              </w:rPr>
              <w:t>gada 28.</w:t>
            </w:r>
            <w:r w:rsidR="00180821">
              <w:rPr>
                <w:bCs/>
              </w:rPr>
              <w:t> </w:t>
            </w:r>
            <w:r w:rsidR="009C55BC" w:rsidRPr="009C55BC">
              <w:rPr>
                <w:bCs/>
              </w:rPr>
              <w:t>septembra deleģēt</w:t>
            </w:r>
            <w:r w:rsidR="00742F23">
              <w:rPr>
                <w:bCs/>
              </w:rPr>
              <w:t>aj</w:t>
            </w:r>
            <w:r w:rsidR="009C55BC" w:rsidRPr="009C55BC">
              <w:rPr>
                <w:bCs/>
              </w:rPr>
              <w:t>ā regul</w:t>
            </w:r>
            <w:r w:rsidR="009C55BC">
              <w:rPr>
                <w:bCs/>
              </w:rPr>
              <w:t>ā</w:t>
            </w:r>
            <w:r w:rsidR="009C55BC" w:rsidRPr="009C55BC">
              <w:rPr>
                <w:bCs/>
              </w:rPr>
              <w:t xml:space="preserve"> (ES)</w:t>
            </w:r>
            <w:r w:rsidR="0005256F">
              <w:rPr>
                <w:bCs/>
              </w:rPr>
              <w:t> </w:t>
            </w:r>
            <w:r w:rsidR="009C55BC" w:rsidRPr="009C55BC">
              <w:rPr>
                <w:bCs/>
              </w:rPr>
              <w:t xml:space="preserve">2018/32, ar ko Eiropas Parlamenta un Padomes </w:t>
            </w:r>
            <w:r w:rsidR="00180821">
              <w:rPr>
                <w:bCs/>
              </w:rPr>
              <w:t>d</w:t>
            </w:r>
            <w:r w:rsidR="009C55BC" w:rsidRPr="009C55BC">
              <w:rPr>
                <w:bCs/>
              </w:rPr>
              <w:t>irektīvu</w:t>
            </w:r>
            <w:r w:rsidR="007B3D92">
              <w:rPr>
                <w:bCs/>
              </w:rPr>
              <w:t> </w:t>
            </w:r>
            <w:r w:rsidR="009C55BC" w:rsidRPr="009C55BC">
              <w:rPr>
                <w:bCs/>
              </w:rPr>
              <w:t>2014/92/ES papildina saistībā ar regulatīvajiem tehniskajiem standartiem Savienības standartizētajai terminoloģijai attiecībā uz raksturīgākajiem pakalpojumiem, kas saistīti ar maksājumu kontu</w:t>
            </w:r>
            <w:r w:rsidR="009C55BC">
              <w:rPr>
                <w:bCs/>
              </w:rPr>
              <w:t xml:space="preserve"> (turpmāk</w:t>
            </w:r>
            <w:r w:rsidR="00180821">
              <w:rPr>
                <w:bCs/>
              </w:rPr>
              <w:t> </w:t>
            </w:r>
            <w:r w:rsidR="00180821" w:rsidRPr="0051578E">
              <w:t>–</w:t>
            </w:r>
            <w:r w:rsidR="009C55BC">
              <w:rPr>
                <w:bCs/>
              </w:rPr>
              <w:t xml:space="preserve"> </w:t>
            </w:r>
            <w:r w:rsidRPr="0051578E">
              <w:rPr>
                <w:bCs/>
              </w:rPr>
              <w:t>Regul</w:t>
            </w:r>
            <w:r w:rsidR="009C55BC">
              <w:rPr>
                <w:bCs/>
              </w:rPr>
              <w:t>a</w:t>
            </w:r>
            <w:r w:rsidRPr="0051578E">
              <w:rPr>
                <w:bCs/>
              </w:rPr>
              <w:t xml:space="preserve"> </w:t>
            </w:r>
            <w:hyperlink r:id="rId11" w:history="1">
              <w:r w:rsidRPr="0051578E">
                <w:rPr>
                  <w:bCs/>
                </w:rPr>
                <w:t>2018/32</w:t>
              </w:r>
            </w:hyperlink>
            <w:r w:rsidR="009C55BC">
              <w:rPr>
                <w:bCs/>
              </w:rPr>
              <w:t>)</w:t>
            </w:r>
            <w:r w:rsidRPr="0051578E">
              <w:rPr>
                <w:bCs/>
              </w:rPr>
              <w:t xml:space="preserve"> noteikto terminu "tiešais debets"</w:t>
            </w:r>
            <w:r w:rsidR="00742F23">
              <w:rPr>
                <w:bCs/>
              </w:rPr>
              <w:t xml:space="preserve">, ņemot vērā </w:t>
            </w:r>
            <w:r w:rsidR="00742F23" w:rsidRPr="00742F23">
              <w:rPr>
                <w:bCs/>
              </w:rPr>
              <w:t>Eiropas Parlamenta un Padomes 2014. gada 23. jūlija direktīva</w:t>
            </w:r>
            <w:r w:rsidR="00742F23">
              <w:rPr>
                <w:bCs/>
              </w:rPr>
              <w:t>s</w:t>
            </w:r>
            <w:r w:rsidR="00BB54F7">
              <w:rPr>
                <w:bCs/>
              </w:rPr>
              <w:t> </w:t>
            </w:r>
            <w:r w:rsidR="00742F23" w:rsidRPr="00742F23">
              <w:rPr>
                <w:bCs/>
              </w:rPr>
              <w:t>2014/92/ES par maksājumu kontu tarifu salīdzināmību, maksājumu kontu maiņu un piekļuvi maksājumu kontiem ar pamatfunkcijām</w:t>
            </w:r>
            <w:r w:rsidR="00742F23">
              <w:rPr>
                <w:bCs/>
              </w:rPr>
              <w:t xml:space="preserve"> </w:t>
            </w:r>
            <w:r w:rsidR="009323CE" w:rsidRPr="0051578E">
              <w:rPr>
                <w:bCs/>
              </w:rPr>
              <w:t>(turpmāk</w:t>
            </w:r>
            <w:r w:rsidR="009323CE">
              <w:rPr>
                <w:bCs/>
              </w:rPr>
              <w:t> </w:t>
            </w:r>
            <w:r w:rsidR="009323CE" w:rsidRPr="0051578E">
              <w:rPr>
                <w:bCs/>
              </w:rPr>
              <w:t xml:space="preserve">– </w:t>
            </w:r>
            <w:r w:rsidR="009323CE">
              <w:rPr>
                <w:bCs/>
              </w:rPr>
              <w:t>D</w:t>
            </w:r>
            <w:r w:rsidR="009323CE" w:rsidRPr="0051578E">
              <w:rPr>
                <w:bCs/>
              </w:rPr>
              <w:t>irektīva</w:t>
            </w:r>
            <w:r w:rsidR="009323CE">
              <w:rPr>
                <w:bCs/>
              </w:rPr>
              <w:t> </w:t>
            </w:r>
            <w:r w:rsidR="009323CE" w:rsidRPr="0051578E">
              <w:rPr>
                <w:bCs/>
              </w:rPr>
              <w:t xml:space="preserve">2014/92/ES) </w:t>
            </w:r>
            <w:r w:rsidR="00742F23">
              <w:rPr>
                <w:bCs/>
              </w:rPr>
              <w:t>3. panta 5. punkta prasības.</w:t>
            </w:r>
          </w:p>
          <w:p w14:paraId="4056DD42" w14:textId="37D39119" w:rsidR="0051578E" w:rsidRDefault="0051578E" w:rsidP="009C55BC">
            <w:pPr>
              <w:pStyle w:val="NApunkts2"/>
              <w:numPr>
                <w:ilvl w:val="0"/>
                <w:numId w:val="0"/>
              </w:numPr>
              <w:rPr>
                <w:bCs/>
              </w:rPr>
            </w:pPr>
            <w:r>
              <w:rPr>
                <w:bCs/>
              </w:rPr>
              <w:t>2. </w:t>
            </w:r>
            <w:r w:rsidRPr="0051578E">
              <w:rPr>
                <w:bCs/>
              </w:rPr>
              <w:t>Projekts pēc satura ir līdzīgs spēkā esošajiem Noteikumiem Nr.</w:t>
            </w:r>
            <w:r w:rsidR="00AF4AB3">
              <w:rPr>
                <w:bCs/>
              </w:rPr>
              <w:t> </w:t>
            </w:r>
            <w:r w:rsidRPr="0051578E">
              <w:rPr>
                <w:bCs/>
              </w:rPr>
              <w:t>84.</w:t>
            </w:r>
          </w:p>
          <w:p w14:paraId="6A27CC11" w14:textId="01D8410D" w:rsidR="0051578E" w:rsidRPr="0051578E" w:rsidRDefault="0051578E" w:rsidP="0095342B">
            <w:pPr>
              <w:pStyle w:val="NApunkts2"/>
              <w:keepLines w:val="0"/>
              <w:numPr>
                <w:ilvl w:val="0"/>
                <w:numId w:val="0"/>
              </w:numPr>
              <w:spacing w:after="120"/>
              <w:rPr>
                <w:bCs/>
              </w:rPr>
            </w:pPr>
            <w:r w:rsidRPr="0051578E">
              <w:rPr>
                <w:bCs/>
              </w:rPr>
              <w:t>Projekts paredz</w:t>
            </w:r>
            <w:r>
              <w:rPr>
                <w:bCs/>
              </w:rPr>
              <w:t xml:space="preserve"> p</w:t>
            </w:r>
            <w:r w:rsidRPr="0051578E">
              <w:rPr>
                <w:bCs/>
              </w:rPr>
              <w:t xml:space="preserve">recizēt Latvijā izstrādājamajās veidlapās lietojamos terminus. Proti, Komisijas </w:t>
            </w:r>
            <w:r w:rsidR="00F70A2E">
              <w:rPr>
                <w:bCs/>
              </w:rPr>
              <w:t>2017.</w:t>
            </w:r>
            <w:r w:rsidR="00AF4AB3">
              <w:rPr>
                <w:bCs/>
              </w:rPr>
              <w:t> </w:t>
            </w:r>
            <w:r w:rsidR="00F70A2E">
              <w:rPr>
                <w:bCs/>
              </w:rPr>
              <w:t>gada 28.</w:t>
            </w:r>
            <w:r w:rsidR="00AF4AB3">
              <w:rPr>
                <w:bCs/>
              </w:rPr>
              <w:t> </w:t>
            </w:r>
            <w:r w:rsidR="00F70A2E">
              <w:rPr>
                <w:bCs/>
              </w:rPr>
              <w:t xml:space="preserve">septembra </w:t>
            </w:r>
            <w:r w:rsidR="00CE0A46">
              <w:rPr>
                <w:bCs/>
              </w:rPr>
              <w:t>īstenošanas</w:t>
            </w:r>
            <w:r w:rsidRPr="0051578E">
              <w:rPr>
                <w:bCs/>
              </w:rPr>
              <w:t xml:space="preserve"> regula (ES) 2018/33, ar ko nosaka īstenošanas tehniskos standartus attiecībā uz tarifu pārskata standarta noformējumu un tā vienoto simbolu saskaņā ar Eiropas Parlamenta un Padomes </w:t>
            </w:r>
            <w:r w:rsidR="00CE0A46">
              <w:rPr>
                <w:bCs/>
              </w:rPr>
              <w:t>d</w:t>
            </w:r>
            <w:r w:rsidRPr="0051578E">
              <w:rPr>
                <w:bCs/>
              </w:rPr>
              <w:t>irektīvu</w:t>
            </w:r>
            <w:r w:rsidR="007B3D92">
              <w:rPr>
                <w:bCs/>
              </w:rPr>
              <w:t> </w:t>
            </w:r>
            <w:r w:rsidRPr="0051578E">
              <w:rPr>
                <w:bCs/>
              </w:rPr>
              <w:t>2014/92/ES (turpmāk</w:t>
            </w:r>
            <w:r w:rsidR="00AF4AB3">
              <w:rPr>
                <w:bCs/>
              </w:rPr>
              <w:t> </w:t>
            </w:r>
            <w:r w:rsidRPr="0051578E">
              <w:rPr>
                <w:bCs/>
              </w:rPr>
              <w:t>– Regula Nr.</w:t>
            </w:r>
            <w:r w:rsidR="00AB7F51">
              <w:rPr>
                <w:bCs/>
              </w:rPr>
              <w:t> </w:t>
            </w:r>
            <w:r w:rsidRPr="0051578E">
              <w:rPr>
                <w:bCs/>
              </w:rPr>
              <w:t xml:space="preserve">2018/33) nosaka izstrādājamā pakalpojumu maksas pārskata veidlapas formātu. Lai gan Regulā </w:t>
            </w:r>
            <w:r w:rsidR="00CE0A46" w:rsidRPr="00CE0A46">
              <w:rPr>
                <w:bCs/>
              </w:rPr>
              <w:t>Nr.</w:t>
            </w:r>
            <w:r w:rsidR="00CE0A46">
              <w:rPr>
                <w:bCs/>
              </w:rPr>
              <w:t> </w:t>
            </w:r>
            <w:r w:rsidR="00CE0A46" w:rsidRPr="00CE0A46">
              <w:rPr>
                <w:bCs/>
              </w:rPr>
              <w:t>2018/33</w:t>
            </w:r>
            <w:r w:rsidR="00CE0A46">
              <w:rPr>
                <w:bCs/>
              </w:rPr>
              <w:t xml:space="preserve"> </w:t>
            </w:r>
            <w:r w:rsidRPr="0051578E">
              <w:rPr>
                <w:bCs/>
              </w:rPr>
              <w:t>un tās pielikumā pievienotajā veidlapā tiek lietots jēdziens "pārskats par tarifiem", tomēr saskaņā ar Likuma 60.</w:t>
            </w:r>
            <w:r w:rsidRPr="0051578E">
              <w:rPr>
                <w:bCs/>
                <w:vertAlign w:val="superscript"/>
              </w:rPr>
              <w:t>2</w:t>
            </w:r>
            <w:r w:rsidR="00AF4AB3">
              <w:rPr>
                <w:bCs/>
              </w:rPr>
              <w:t> </w:t>
            </w:r>
            <w:r w:rsidRPr="0051578E">
              <w:rPr>
                <w:bCs/>
              </w:rPr>
              <w:t xml:space="preserve">pantu </w:t>
            </w:r>
            <w:r w:rsidRPr="0051578E">
              <w:rPr>
                <w:bCs/>
              </w:rPr>
              <w:lastRenderedPageBreak/>
              <w:t>Latvijā lietotais šā dokumenta nosaukums ir "pakalpojumu maksas pārskats".</w:t>
            </w:r>
          </w:p>
          <w:p w14:paraId="13CC86AA" w14:textId="3A3CFFF7" w:rsidR="0051578E" w:rsidRPr="0051578E" w:rsidRDefault="0051578E" w:rsidP="0051578E">
            <w:pPr>
              <w:pStyle w:val="NApunkts2"/>
              <w:numPr>
                <w:ilvl w:val="0"/>
                <w:numId w:val="0"/>
              </w:numPr>
              <w:spacing w:after="120"/>
              <w:rPr>
                <w:bCs/>
              </w:rPr>
            </w:pPr>
            <w:r w:rsidRPr="0051578E">
              <w:rPr>
                <w:bCs/>
              </w:rPr>
              <w:t xml:space="preserve">Lai ievērotu </w:t>
            </w:r>
            <w:r w:rsidR="00CE3575">
              <w:rPr>
                <w:bCs/>
              </w:rPr>
              <w:t>r</w:t>
            </w:r>
            <w:r w:rsidRPr="0051578E">
              <w:rPr>
                <w:bCs/>
              </w:rPr>
              <w:t xml:space="preserve">egulas tiešās piemērojamības principu, bet vienlaikus sasniegtu </w:t>
            </w:r>
            <w:r w:rsidR="00977CE0">
              <w:rPr>
                <w:bCs/>
              </w:rPr>
              <w:t>D</w:t>
            </w:r>
            <w:r w:rsidR="00977CE0" w:rsidRPr="0051578E">
              <w:rPr>
                <w:bCs/>
              </w:rPr>
              <w:t>irektīva</w:t>
            </w:r>
            <w:r w:rsidR="009323CE">
              <w:rPr>
                <w:bCs/>
              </w:rPr>
              <w:t>s</w:t>
            </w:r>
            <w:r w:rsidR="00977CE0" w:rsidRPr="0051578E">
              <w:rPr>
                <w:bCs/>
              </w:rPr>
              <w:t xml:space="preserve"> 2014/92/ES</w:t>
            </w:r>
            <w:r w:rsidRPr="0051578E">
              <w:rPr>
                <w:bCs/>
              </w:rPr>
              <w:t xml:space="preserve"> pamatmērķi</w:t>
            </w:r>
            <w:r w:rsidR="00AF4AB3">
              <w:rPr>
                <w:bCs/>
              </w:rPr>
              <w:t> </w:t>
            </w:r>
            <w:r w:rsidRPr="0051578E">
              <w:rPr>
                <w:bCs/>
              </w:rPr>
              <w:t>– radīt patērētājiem saprotamāku un pieejamāku informāciju par viņu izmantoto pakalpojumu maksu</w:t>
            </w:r>
            <w:r w:rsidR="00977CE0">
              <w:rPr>
                <w:bCs/>
              </w:rPr>
              <w:t> </w:t>
            </w:r>
            <w:r w:rsidRPr="0051578E">
              <w:rPr>
                <w:bCs/>
              </w:rPr>
              <w:t>–, maksājumu pakalpojumu sniedzējiem Latvijā būtu lietderīgi izstrādāt veidlapu, izmantojot abus nosaukumus vienu aiz otra</w:t>
            </w:r>
            <w:r w:rsidR="00AF4AB3">
              <w:rPr>
                <w:bCs/>
              </w:rPr>
              <w:t> </w:t>
            </w:r>
            <w:r w:rsidRPr="0051578E">
              <w:rPr>
                <w:bCs/>
              </w:rPr>
              <w:t>– "pārskats par tarifiem" un "pakalpojumu maksas pārskats".</w:t>
            </w:r>
          </w:p>
          <w:p w14:paraId="2856DD1C" w14:textId="6699CE2F" w:rsidR="0051578E" w:rsidRPr="0051578E" w:rsidRDefault="0051578E" w:rsidP="0051578E">
            <w:pPr>
              <w:pStyle w:val="NApunkts2"/>
              <w:numPr>
                <w:ilvl w:val="0"/>
                <w:numId w:val="0"/>
              </w:numPr>
              <w:spacing w:after="120"/>
              <w:rPr>
                <w:bCs/>
              </w:rPr>
            </w:pPr>
            <w:r w:rsidRPr="0051578E">
              <w:rPr>
                <w:bCs/>
              </w:rPr>
              <w:t xml:space="preserve">Savukārt </w:t>
            </w:r>
            <w:bookmarkStart w:id="1" w:name="_Hlk158368565"/>
            <w:r w:rsidRPr="0051578E">
              <w:rPr>
                <w:bCs/>
              </w:rPr>
              <w:t xml:space="preserve">Komisijas </w:t>
            </w:r>
            <w:r w:rsidR="00F70A2E">
              <w:rPr>
                <w:bCs/>
              </w:rPr>
              <w:t>2017.</w:t>
            </w:r>
            <w:r w:rsidR="00AF4AB3">
              <w:rPr>
                <w:bCs/>
              </w:rPr>
              <w:t> </w:t>
            </w:r>
            <w:r w:rsidR="00F70A2E">
              <w:rPr>
                <w:bCs/>
              </w:rPr>
              <w:t>gada 28.</w:t>
            </w:r>
            <w:r w:rsidR="00AF4AB3">
              <w:rPr>
                <w:bCs/>
              </w:rPr>
              <w:t> </w:t>
            </w:r>
            <w:r w:rsidR="00F70A2E">
              <w:rPr>
                <w:bCs/>
              </w:rPr>
              <w:t>septembr</w:t>
            </w:r>
            <w:r w:rsidR="00AF4AB3">
              <w:rPr>
                <w:bCs/>
              </w:rPr>
              <w:t>a</w:t>
            </w:r>
            <w:r w:rsidR="00F70A2E">
              <w:rPr>
                <w:bCs/>
              </w:rPr>
              <w:t xml:space="preserve"> īstenošanas</w:t>
            </w:r>
            <w:r w:rsidRPr="0051578E">
              <w:rPr>
                <w:bCs/>
              </w:rPr>
              <w:t xml:space="preserve"> regula (ES) 2018/34, ar ko nosaka īstenošanas tehniskos standartus attiecībā uz tarifu informācijas dokumenta standarta noformējumu un tā vienoto simbolu saskaņā ar Eiropas Parlamenta un Padomes </w:t>
            </w:r>
            <w:r w:rsidR="00AF4AB3">
              <w:rPr>
                <w:bCs/>
              </w:rPr>
              <w:t>d</w:t>
            </w:r>
            <w:r w:rsidRPr="0051578E">
              <w:rPr>
                <w:bCs/>
              </w:rPr>
              <w:t>irektīvu</w:t>
            </w:r>
            <w:r w:rsidR="000020E0">
              <w:rPr>
                <w:bCs/>
              </w:rPr>
              <w:t> </w:t>
            </w:r>
            <w:r w:rsidRPr="0051578E">
              <w:rPr>
                <w:bCs/>
              </w:rPr>
              <w:t>2014/92/ES</w:t>
            </w:r>
            <w:bookmarkEnd w:id="1"/>
            <w:r w:rsidRPr="0051578E">
              <w:rPr>
                <w:bCs/>
              </w:rPr>
              <w:t xml:space="preserve"> (turpmāk</w:t>
            </w:r>
            <w:r w:rsidR="00AF4AB3">
              <w:rPr>
                <w:bCs/>
              </w:rPr>
              <w:t> </w:t>
            </w:r>
            <w:r w:rsidRPr="0051578E">
              <w:rPr>
                <w:bCs/>
              </w:rPr>
              <w:t>– Regula Nr.</w:t>
            </w:r>
            <w:r w:rsidR="009323CE">
              <w:rPr>
                <w:bCs/>
              </w:rPr>
              <w:t> </w:t>
            </w:r>
            <w:r w:rsidRPr="0051578E">
              <w:rPr>
                <w:bCs/>
              </w:rPr>
              <w:t>2018/34) nosaka izstrādājamā pakalpojumu cenrāža veidlapas formātu. Regulā un tās pielikumā pievienotajā veidlapā tiek lietots jēdziens "tarifu informācijas dokuments", bet saskaņā ar Likuma 60.</w:t>
            </w:r>
            <w:r w:rsidRPr="00F70A2E">
              <w:rPr>
                <w:bCs/>
                <w:vertAlign w:val="superscript"/>
              </w:rPr>
              <w:t>1</w:t>
            </w:r>
            <w:r w:rsidR="00AF4AB3">
              <w:rPr>
                <w:bCs/>
              </w:rPr>
              <w:t> </w:t>
            </w:r>
            <w:r w:rsidRPr="0051578E">
              <w:rPr>
                <w:bCs/>
              </w:rPr>
              <w:t>pantu Latvijā lietotais šā dokumenta nosaukums ir "pakalpojumu cenrādis".</w:t>
            </w:r>
          </w:p>
          <w:p w14:paraId="276D3B3D" w14:textId="346AC58D" w:rsidR="0051578E" w:rsidRPr="0051578E" w:rsidRDefault="0051578E" w:rsidP="0051578E">
            <w:pPr>
              <w:pStyle w:val="NApunkts2"/>
              <w:numPr>
                <w:ilvl w:val="0"/>
                <w:numId w:val="0"/>
              </w:numPr>
              <w:spacing w:after="120"/>
              <w:rPr>
                <w:bCs/>
              </w:rPr>
            </w:pPr>
            <w:r w:rsidRPr="0051578E">
              <w:rPr>
                <w:bCs/>
              </w:rPr>
              <w:t xml:space="preserve">Lai ievērotu </w:t>
            </w:r>
            <w:r w:rsidR="00977CE0">
              <w:rPr>
                <w:bCs/>
              </w:rPr>
              <w:t>r</w:t>
            </w:r>
            <w:r w:rsidRPr="0051578E">
              <w:rPr>
                <w:bCs/>
              </w:rPr>
              <w:t xml:space="preserve">egulas tiešās piemērojamības principu, bet vienlaikus sasniegtu </w:t>
            </w:r>
            <w:r w:rsidR="00977CE0">
              <w:rPr>
                <w:bCs/>
              </w:rPr>
              <w:t>D</w:t>
            </w:r>
            <w:r w:rsidR="00977CE0" w:rsidRPr="0051578E">
              <w:rPr>
                <w:bCs/>
              </w:rPr>
              <w:t>irektīva</w:t>
            </w:r>
            <w:r w:rsidR="00977CE0">
              <w:rPr>
                <w:bCs/>
              </w:rPr>
              <w:t>s</w:t>
            </w:r>
            <w:r w:rsidR="00977CE0" w:rsidRPr="0051578E">
              <w:rPr>
                <w:bCs/>
              </w:rPr>
              <w:t xml:space="preserve"> 2014/92/ES</w:t>
            </w:r>
            <w:r w:rsidR="00977CE0">
              <w:rPr>
                <w:bCs/>
              </w:rPr>
              <w:t xml:space="preserve"> </w:t>
            </w:r>
            <w:r w:rsidRPr="0051578E">
              <w:rPr>
                <w:bCs/>
              </w:rPr>
              <w:t>pamatmērķi</w:t>
            </w:r>
            <w:r w:rsidR="00AF4AB3">
              <w:rPr>
                <w:bCs/>
              </w:rPr>
              <w:t> </w:t>
            </w:r>
            <w:r w:rsidRPr="0051578E">
              <w:rPr>
                <w:bCs/>
              </w:rPr>
              <w:t>– radīt patērētājiem saprotamāku un pieejamāku informāciju par piedāvāto pakalpojumu maksu</w:t>
            </w:r>
            <w:r w:rsidR="00AF4AB3">
              <w:rPr>
                <w:bCs/>
              </w:rPr>
              <w:t> </w:t>
            </w:r>
            <w:r w:rsidRPr="0051578E">
              <w:rPr>
                <w:bCs/>
              </w:rPr>
              <w:t>–, maksājumu pakalpojumu sniedzējiem Latvijā būtu lietderīgi izstrādāt veidlapu, izmantojot abus nosaukumus vienu aiz otra</w:t>
            </w:r>
            <w:r w:rsidR="00AF4AB3">
              <w:rPr>
                <w:bCs/>
              </w:rPr>
              <w:t> </w:t>
            </w:r>
            <w:r w:rsidRPr="0051578E">
              <w:rPr>
                <w:bCs/>
              </w:rPr>
              <w:t>– "</w:t>
            </w:r>
            <w:r w:rsidR="00C74281">
              <w:rPr>
                <w:bCs/>
              </w:rPr>
              <w:t>t</w:t>
            </w:r>
            <w:r w:rsidRPr="0051578E">
              <w:rPr>
                <w:bCs/>
              </w:rPr>
              <w:t>arifu informācijas dokuments" un "pakalpojumu cenrādis".</w:t>
            </w:r>
          </w:p>
          <w:p w14:paraId="24865240" w14:textId="6E8AA54A" w:rsidR="0051578E" w:rsidRPr="0051578E" w:rsidRDefault="0051578E" w:rsidP="0051578E">
            <w:pPr>
              <w:pStyle w:val="NApunkts2"/>
              <w:numPr>
                <w:ilvl w:val="0"/>
                <w:numId w:val="0"/>
              </w:numPr>
              <w:spacing w:after="120"/>
              <w:rPr>
                <w:bCs/>
              </w:rPr>
            </w:pPr>
            <w:r w:rsidRPr="0051578E">
              <w:rPr>
                <w:bCs/>
              </w:rPr>
              <w:t>Projekts paredz noteikt pienākumu pakalpojumu cenrāža un pakalpojumu maksas pārskata izstrādē izmantot Latvijā noteiktos biežāk izmantoto pakalpojumu vienotos terminus.</w:t>
            </w:r>
          </w:p>
          <w:p w14:paraId="500E38D7" w14:textId="3A1A7BFC" w:rsidR="0051578E" w:rsidRPr="0051578E" w:rsidRDefault="0051578E" w:rsidP="00F70A2E">
            <w:pPr>
              <w:pStyle w:val="NApunkts2"/>
              <w:numPr>
                <w:ilvl w:val="0"/>
                <w:numId w:val="0"/>
              </w:numPr>
              <w:spacing w:after="120"/>
              <w:rPr>
                <w:bCs/>
              </w:rPr>
            </w:pPr>
            <w:r w:rsidRPr="0051578E">
              <w:rPr>
                <w:bCs/>
              </w:rPr>
              <w:t xml:space="preserve">Projekts paredz noteikt atsevišķas pakalpojumu cenrāža un pakalpojumu maksas pārskata </w:t>
            </w:r>
            <w:r w:rsidR="00326EA9">
              <w:rPr>
                <w:bCs/>
              </w:rPr>
              <w:t>formas</w:t>
            </w:r>
            <w:r w:rsidRPr="0051578E">
              <w:rPr>
                <w:bCs/>
              </w:rPr>
              <w:t xml:space="preserve"> </w:t>
            </w:r>
            <w:r w:rsidR="001B023D">
              <w:rPr>
                <w:bCs/>
              </w:rPr>
              <w:t xml:space="preserve">un satura </w:t>
            </w:r>
            <w:r w:rsidRPr="0051578E">
              <w:rPr>
                <w:bCs/>
              </w:rPr>
              <w:t>prasības, piemēram, dokumenta salasāmība gan krāsainā, gan melnbaltā formā, iespēj</w:t>
            </w:r>
            <w:r w:rsidR="004E7B8F">
              <w:rPr>
                <w:bCs/>
              </w:rPr>
              <w:t>a</w:t>
            </w:r>
            <w:r w:rsidRPr="0051578E">
              <w:rPr>
                <w:bCs/>
              </w:rPr>
              <w:t xml:space="preserve"> dokumentu izstrādāt arī citā valodā vai </w:t>
            </w:r>
            <w:r w:rsidR="000020E0">
              <w:rPr>
                <w:bCs/>
              </w:rPr>
              <w:t xml:space="preserve">cenas izteikt citā </w:t>
            </w:r>
            <w:r w:rsidRPr="0051578E">
              <w:rPr>
                <w:bCs/>
              </w:rPr>
              <w:t xml:space="preserve">valūtā, ja maksājumu pakalpojumu sniedzējs un patērētājs tā vienojušies. Prasības izriet no </w:t>
            </w:r>
            <w:r w:rsidR="00977CE0">
              <w:rPr>
                <w:bCs/>
              </w:rPr>
              <w:t>D</w:t>
            </w:r>
            <w:r w:rsidR="00977CE0" w:rsidRPr="0051578E">
              <w:rPr>
                <w:bCs/>
              </w:rPr>
              <w:t>irektīva</w:t>
            </w:r>
            <w:r w:rsidR="00977CE0">
              <w:rPr>
                <w:bCs/>
              </w:rPr>
              <w:t>s</w:t>
            </w:r>
            <w:r w:rsidR="00977CE0" w:rsidRPr="0051578E">
              <w:rPr>
                <w:bCs/>
              </w:rPr>
              <w:t xml:space="preserve"> 2014/92/ES</w:t>
            </w:r>
            <w:r w:rsidRPr="0051578E">
              <w:rPr>
                <w:bCs/>
              </w:rPr>
              <w:t xml:space="preserve"> tiesību normām, kas netika pārņemtas Likumā, jo pēc būtības tās ir tehniskas tiesību normas un to saturs ir piemērotāks šiem noteikumiem, kas papildina Regulas Nr.</w:t>
            </w:r>
            <w:r w:rsidR="00AF4AB3">
              <w:rPr>
                <w:bCs/>
              </w:rPr>
              <w:t> </w:t>
            </w:r>
            <w:r w:rsidRPr="0051578E">
              <w:rPr>
                <w:bCs/>
              </w:rPr>
              <w:t>2018/33 un Regulas Nr.</w:t>
            </w:r>
            <w:r w:rsidR="00AF4AB3">
              <w:rPr>
                <w:bCs/>
              </w:rPr>
              <w:t> </w:t>
            </w:r>
            <w:r w:rsidRPr="0051578E">
              <w:rPr>
                <w:bCs/>
              </w:rPr>
              <w:t xml:space="preserve">2018/34 prasības. </w:t>
            </w:r>
          </w:p>
          <w:p w14:paraId="59B9F588" w14:textId="25134BA3" w:rsidR="0051578E" w:rsidRDefault="0051578E" w:rsidP="0051578E">
            <w:pPr>
              <w:pStyle w:val="NApunkts2"/>
              <w:numPr>
                <w:ilvl w:val="0"/>
                <w:numId w:val="0"/>
              </w:numPr>
              <w:spacing w:after="120"/>
              <w:rPr>
                <w:bCs/>
              </w:rPr>
            </w:pPr>
            <w:r w:rsidRPr="0051578E">
              <w:rPr>
                <w:bCs/>
              </w:rPr>
              <w:t>Projekts paredz noteikt Regulā Nr.</w:t>
            </w:r>
            <w:r w:rsidR="00AF4AB3">
              <w:rPr>
                <w:bCs/>
              </w:rPr>
              <w:t> </w:t>
            </w:r>
            <w:r w:rsidRPr="0051578E">
              <w:rPr>
                <w:bCs/>
              </w:rPr>
              <w:t>2018/33 un Regulā Nr.</w:t>
            </w:r>
            <w:r w:rsidR="00AF4AB3">
              <w:rPr>
                <w:bCs/>
              </w:rPr>
              <w:t> </w:t>
            </w:r>
            <w:r w:rsidRPr="0051578E">
              <w:rPr>
                <w:bCs/>
              </w:rPr>
              <w:t xml:space="preserve">2018/34 </w:t>
            </w:r>
            <w:r w:rsidR="002B11A6">
              <w:rPr>
                <w:bCs/>
              </w:rPr>
              <w:t>ietverto</w:t>
            </w:r>
            <w:r w:rsidR="002B11A6" w:rsidRPr="0051578E">
              <w:rPr>
                <w:bCs/>
              </w:rPr>
              <w:t xml:space="preserve"> </w:t>
            </w:r>
            <w:r w:rsidRPr="0051578E">
              <w:rPr>
                <w:bCs/>
              </w:rPr>
              <w:t>dalībvalsts iespēju pakalpojumu cenrādī un pakalpojumu maksas pārskatā iekļaut visaptverošo izmaksu rādītāju</w:t>
            </w:r>
            <w:r w:rsidR="00AF4AB3">
              <w:rPr>
                <w:bCs/>
              </w:rPr>
              <w:t>.</w:t>
            </w:r>
          </w:p>
          <w:p w14:paraId="2C53C3D6" w14:textId="704984ED" w:rsidR="00CD025D" w:rsidRPr="003B5143" w:rsidRDefault="003B5143" w:rsidP="003B5143">
            <w:pPr>
              <w:pStyle w:val="NApunkts2"/>
              <w:numPr>
                <w:ilvl w:val="0"/>
                <w:numId w:val="0"/>
              </w:numPr>
              <w:spacing w:after="120"/>
              <w:rPr>
                <w:bCs/>
                <w:highlight w:val="yellow"/>
              </w:rPr>
            </w:pPr>
            <w:r>
              <w:rPr>
                <w:bCs/>
              </w:rPr>
              <w:t>N</w:t>
            </w:r>
            <w:r w:rsidRPr="003B5143">
              <w:rPr>
                <w:bCs/>
              </w:rPr>
              <w:t xml:space="preserve">oteikumi </w:t>
            </w:r>
            <w:r w:rsidR="002B11A6">
              <w:rPr>
                <w:bCs/>
              </w:rPr>
              <w:t>būs</w:t>
            </w:r>
            <w:r w:rsidRPr="003B5143">
              <w:rPr>
                <w:bCs/>
              </w:rPr>
              <w:t xml:space="preserve"> saistoši maksājumu pakalpojumu sniedzējiem, ja tie patērētājiem sniedz ar maksājumu kontu saistītus pakalpojumus Latvijā. </w:t>
            </w:r>
          </w:p>
        </w:tc>
      </w:tr>
      <w:tr w:rsidR="00F62DE2" w:rsidRPr="004E3F4A" w14:paraId="0A6F58C3" w14:textId="77777777" w:rsidTr="00A4725B">
        <w:trPr>
          <w:trHeight w:val="770"/>
        </w:trPr>
        <w:tc>
          <w:tcPr>
            <w:tcW w:w="1170" w:type="pct"/>
            <w:shd w:val="clear" w:color="auto" w:fill="auto"/>
            <w:hideMark/>
          </w:tcPr>
          <w:p w14:paraId="427434F4"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Leģitīmais mērķis</w:t>
            </w:r>
          </w:p>
          <w:p w14:paraId="7F2053CC"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243BACA9" w14:textId="39A08E94" w:rsidR="00F70A2E" w:rsidRDefault="00F70A2E" w:rsidP="00F70A2E">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w:t>
            </w:r>
            <w:r w:rsidRPr="00FB6D54">
              <w:rPr>
                <w:rFonts w:ascii="Times New Roman" w:hAnsi="Times New Roman" w:cs="Times New Roman"/>
                <w:sz w:val="24"/>
                <w:szCs w:val="24"/>
              </w:rPr>
              <w:t xml:space="preserve">rojekts ir nepieciešams, </w:t>
            </w:r>
            <w:r>
              <w:rPr>
                <w:rFonts w:ascii="Times New Roman" w:hAnsi="Times New Roman" w:cs="Times New Roman"/>
                <w:sz w:val="24"/>
                <w:szCs w:val="24"/>
              </w:rPr>
              <w:t>lai:</w:t>
            </w:r>
          </w:p>
          <w:p w14:paraId="5CE69CFA" w14:textId="1BD8EF95" w:rsidR="00F70A2E" w:rsidRDefault="00F70A2E" w:rsidP="00F70A2E">
            <w:pPr>
              <w:pStyle w:val="ListParagraph"/>
              <w:numPr>
                <w:ilvl w:val="0"/>
                <w:numId w:val="35"/>
              </w:numPr>
              <w:spacing w:after="120" w:line="240" w:lineRule="auto"/>
              <w:jc w:val="both"/>
              <w:rPr>
                <w:rFonts w:ascii="Times New Roman" w:hAnsi="Times New Roman" w:cs="Times New Roman"/>
                <w:sz w:val="24"/>
                <w:szCs w:val="24"/>
              </w:rPr>
            </w:pPr>
            <w:r w:rsidRPr="00F70A2E">
              <w:rPr>
                <w:rFonts w:ascii="Times New Roman" w:hAnsi="Times New Roman" w:cs="Times New Roman"/>
                <w:sz w:val="24"/>
                <w:szCs w:val="24"/>
              </w:rPr>
              <w:t xml:space="preserve">nodrošinātu patērētājiem pieejamu </w:t>
            </w:r>
            <w:r w:rsidR="000020E0">
              <w:rPr>
                <w:rFonts w:ascii="Times New Roman" w:hAnsi="Times New Roman" w:cs="Times New Roman"/>
                <w:sz w:val="24"/>
                <w:szCs w:val="24"/>
              </w:rPr>
              <w:t xml:space="preserve">uz </w:t>
            </w:r>
            <w:r w:rsidRPr="00F70A2E">
              <w:rPr>
                <w:rFonts w:ascii="Times New Roman" w:hAnsi="Times New Roman" w:cs="Times New Roman"/>
                <w:sz w:val="24"/>
                <w:szCs w:val="24"/>
              </w:rPr>
              <w:t>vienkāršot</w:t>
            </w:r>
            <w:r w:rsidR="000020E0">
              <w:rPr>
                <w:rFonts w:ascii="Times New Roman" w:hAnsi="Times New Roman" w:cs="Times New Roman"/>
                <w:sz w:val="24"/>
                <w:szCs w:val="24"/>
              </w:rPr>
              <w:t>u</w:t>
            </w:r>
            <w:r w:rsidRPr="00F70A2E">
              <w:rPr>
                <w:rFonts w:ascii="Times New Roman" w:hAnsi="Times New Roman" w:cs="Times New Roman"/>
                <w:sz w:val="24"/>
                <w:szCs w:val="24"/>
              </w:rPr>
              <w:t xml:space="preserve"> terminoloģij</w:t>
            </w:r>
            <w:r w:rsidR="000020E0">
              <w:rPr>
                <w:rFonts w:ascii="Times New Roman" w:hAnsi="Times New Roman" w:cs="Times New Roman"/>
                <w:sz w:val="24"/>
                <w:szCs w:val="24"/>
              </w:rPr>
              <w:t>u</w:t>
            </w:r>
            <w:r w:rsidRPr="00F70A2E">
              <w:rPr>
                <w:rFonts w:ascii="Times New Roman" w:hAnsi="Times New Roman" w:cs="Times New Roman"/>
                <w:sz w:val="24"/>
                <w:szCs w:val="24"/>
              </w:rPr>
              <w:t xml:space="preserve"> balstītu informāciju par patērētājam pieejamajiem pakalpojumiem, kas saistīti ar maksājumu kontu</w:t>
            </w:r>
            <w:r>
              <w:rPr>
                <w:rFonts w:ascii="Times New Roman" w:hAnsi="Times New Roman" w:cs="Times New Roman"/>
                <w:sz w:val="24"/>
                <w:szCs w:val="24"/>
              </w:rPr>
              <w:t>;</w:t>
            </w:r>
          </w:p>
          <w:p w14:paraId="03095CE2" w14:textId="6C6BF6B3" w:rsidR="00F70A2E" w:rsidRDefault="00F70A2E" w:rsidP="00F70A2E">
            <w:pPr>
              <w:pStyle w:val="ListParagraph"/>
              <w:numPr>
                <w:ilvl w:val="0"/>
                <w:numId w:val="35"/>
              </w:numPr>
              <w:spacing w:after="120" w:line="240" w:lineRule="auto"/>
              <w:jc w:val="both"/>
              <w:rPr>
                <w:rFonts w:ascii="Times New Roman" w:hAnsi="Times New Roman" w:cs="Times New Roman"/>
                <w:sz w:val="24"/>
                <w:szCs w:val="24"/>
              </w:rPr>
            </w:pPr>
            <w:r w:rsidRPr="00F70A2E">
              <w:rPr>
                <w:rFonts w:ascii="Times New Roman" w:hAnsi="Times New Roman" w:cs="Times New Roman"/>
                <w:sz w:val="24"/>
                <w:szCs w:val="24"/>
              </w:rPr>
              <w:t xml:space="preserve">noteiktu ar Likumu un deleģētajiem Eiropas Savienības tiesību aktiem maksājumu pakalpojumu sniedzējiem, kas apkalpo patērētāju kontus, noteikto prasību saprotamāku izpildi, kā rezultātā maksājumu pakalpojumu sniedzēji patērētājiem nodrošinās vienota formāta un saprotamu informāciju par konta un ar to saistīto pakalpojumu maksām, kā arī vienota formāta pārskatāmu informāciju par patērētāja konta izmaksām noteiktā laika periodā. </w:t>
            </w:r>
            <w:r w:rsidR="00AB7F51">
              <w:rPr>
                <w:rFonts w:ascii="Times New Roman" w:hAnsi="Times New Roman" w:cs="Times New Roman"/>
                <w:sz w:val="24"/>
                <w:szCs w:val="24"/>
              </w:rPr>
              <w:t>P</w:t>
            </w:r>
            <w:r w:rsidRPr="00F70A2E">
              <w:rPr>
                <w:rFonts w:ascii="Times New Roman" w:hAnsi="Times New Roman" w:cs="Times New Roman"/>
                <w:sz w:val="24"/>
                <w:szCs w:val="24"/>
              </w:rPr>
              <w:t>rojekts atbalsta Likuma 60.</w:t>
            </w:r>
            <w:r w:rsidRPr="00F70A2E">
              <w:rPr>
                <w:rFonts w:ascii="Times New Roman" w:hAnsi="Times New Roman" w:cs="Times New Roman"/>
                <w:sz w:val="24"/>
                <w:szCs w:val="24"/>
                <w:vertAlign w:val="superscript"/>
              </w:rPr>
              <w:t>1</w:t>
            </w:r>
            <w:r w:rsidRPr="00F70A2E">
              <w:rPr>
                <w:rFonts w:ascii="Times New Roman" w:hAnsi="Times New Roman" w:cs="Times New Roman"/>
                <w:sz w:val="24"/>
                <w:szCs w:val="24"/>
              </w:rPr>
              <w:t xml:space="preserve"> un 60.</w:t>
            </w:r>
            <w:r w:rsidRPr="00F70A2E">
              <w:rPr>
                <w:rFonts w:ascii="Times New Roman" w:hAnsi="Times New Roman" w:cs="Times New Roman"/>
                <w:sz w:val="24"/>
                <w:szCs w:val="24"/>
                <w:vertAlign w:val="superscript"/>
              </w:rPr>
              <w:t>2</w:t>
            </w:r>
            <w:r w:rsidR="00AF4AB3">
              <w:rPr>
                <w:rFonts w:ascii="Times New Roman" w:hAnsi="Times New Roman" w:cs="Times New Roman"/>
                <w:sz w:val="24"/>
                <w:szCs w:val="24"/>
              </w:rPr>
              <w:t> </w:t>
            </w:r>
            <w:r w:rsidRPr="00F70A2E">
              <w:rPr>
                <w:rFonts w:ascii="Times New Roman" w:hAnsi="Times New Roman" w:cs="Times New Roman"/>
                <w:sz w:val="24"/>
                <w:szCs w:val="24"/>
              </w:rPr>
              <w:t>panta mērķi nodrošināt patērētājiem vieglāk uztveramu un salīdzināmu informāciju par patērētāja kontam piemērojamajām un piemērotajām pakalpojumu maksām</w:t>
            </w:r>
            <w:r w:rsidR="003B5143" w:rsidRPr="003B5143">
              <w:rPr>
                <w:rFonts w:ascii="Times New Roman" w:hAnsi="Times New Roman" w:cs="Times New Roman"/>
                <w:sz w:val="24"/>
                <w:szCs w:val="24"/>
              </w:rPr>
              <w:t xml:space="preserve"> un informāciju par patērētāja konta izmaksām noteiktā laika periodā.</w:t>
            </w:r>
            <w:r>
              <w:rPr>
                <w:rFonts w:ascii="Times New Roman" w:hAnsi="Times New Roman" w:cs="Times New Roman"/>
                <w:sz w:val="24"/>
                <w:szCs w:val="24"/>
              </w:rPr>
              <w:t xml:space="preserve"> </w:t>
            </w:r>
          </w:p>
          <w:p w14:paraId="163BAD2D" w14:textId="04E42D7D" w:rsidR="000D1EBD" w:rsidRPr="00C14A12" w:rsidRDefault="002451FF" w:rsidP="003B5143">
            <w:pPr>
              <w:spacing w:after="120" w:line="240" w:lineRule="auto"/>
              <w:jc w:val="both"/>
              <w:rPr>
                <w:rFonts w:ascii="Times New Roman" w:eastAsia="Times New Roman" w:hAnsi="Times New Roman" w:cs="Times New Roman"/>
                <w:i/>
                <w:iCs/>
                <w:sz w:val="24"/>
                <w:szCs w:val="24"/>
                <w:highlight w:val="yellow"/>
                <w:lang w:eastAsia="lv-LV"/>
              </w:rPr>
            </w:pPr>
            <w:r w:rsidRPr="003B5143">
              <w:rPr>
                <w:rStyle w:val="cf01"/>
                <w:rFonts w:ascii="Times New Roman" w:hAnsi="Times New Roman" w:cs="Times New Roman"/>
                <w:sz w:val="24"/>
                <w:szCs w:val="24"/>
              </w:rPr>
              <w:t xml:space="preserve">Līdz ar to </w:t>
            </w:r>
            <w:r w:rsidR="00FB3B81" w:rsidRPr="003B5143">
              <w:rPr>
                <w:rStyle w:val="cf01"/>
                <w:rFonts w:ascii="Times New Roman" w:hAnsi="Times New Roman" w:cs="Times New Roman"/>
                <w:sz w:val="24"/>
                <w:szCs w:val="24"/>
              </w:rPr>
              <w:t>noteikumi tiek izdoti citu personu tiesību un sabiedrības labklājības aizsardzībai</w:t>
            </w:r>
            <w:r w:rsidR="007F047A" w:rsidRPr="003B5143">
              <w:rPr>
                <w:rStyle w:val="cf01"/>
                <w:rFonts w:ascii="Times New Roman" w:hAnsi="Times New Roman" w:cs="Times New Roman"/>
                <w:sz w:val="24"/>
                <w:szCs w:val="24"/>
              </w:rPr>
              <w:t>.</w:t>
            </w:r>
          </w:p>
        </w:tc>
      </w:tr>
      <w:tr w:rsidR="00F62DE2" w:rsidRPr="004E3F4A" w14:paraId="490AA477" w14:textId="77777777" w:rsidTr="00A4725B">
        <w:trPr>
          <w:trHeight w:val="567"/>
        </w:trPr>
        <w:tc>
          <w:tcPr>
            <w:tcW w:w="1170" w:type="pct"/>
            <w:shd w:val="clear" w:color="auto" w:fill="auto"/>
            <w:hideMark/>
          </w:tcPr>
          <w:p w14:paraId="6CACFA44"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Samērīgums</w:t>
            </w:r>
          </w:p>
          <w:p w14:paraId="430A0335"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64A04021" w14:textId="40B1BCA6" w:rsidR="00B64303" w:rsidRDefault="00960636" w:rsidP="00960636">
            <w:pPr>
              <w:spacing w:after="120" w:line="240" w:lineRule="auto"/>
              <w:jc w:val="both"/>
              <w:rPr>
                <w:rFonts w:ascii="Times New Roman" w:hAnsi="Times New Roman" w:cs="Times New Roman"/>
                <w:sz w:val="24"/>
                <w:szCs w:val="24"/>
              </w:rPr>
            </w:pPr>
            <w:r w:rsidRPr="00960636">
              <w:rPr>
                <w:rFonts w:ascii="Times New Roman" w:hAnsi="Times New Roman" w:cs="Times New Roman"/>
                <w:sz w:val="24"/>
                <w:szCs w:val="24"/>
              </w:rPr>
              <w:t xml:space="preserve">Atbilstošākais veids, kā noteikt vienotas prasības saistībā ar informācijas sniegšanu, kuras nodrošina normatīvajos aktos noteikto prasību izpildi, ir izdot tirgus dalībniekiem saistošus noteikumus, kuri sniedz skaidru priekšstatu par </w:t>
            </w:r>
            <w:r w:rsidR="00B64303" w:rsidRPr="00B64303">
              <w:rPr>
                <w:rFonts w:ascii="Times New Roman" w:hAnsi="Times New Roman" w:cs="Times New Roman"/>
                <w:sz w:val="24"/>
                <w:szCs w:val="24"/>
              </w:rPr>
              <w:t>saprotamu un savstarpēji salīdzināmu informāciju par konta un ar to saistīto pakalpojumu maksām un informāciju par patērētāja konta izmaksām noteiktā laika periodā.</w:t>
            </w:r>
          </w:p>
          <w:p w14:paraId="5CF4A8D0" w14:textId="77777777" w:rsidR="00B64303" w:rsidRDefault="00960636" w:rsidP="00960636">
            <w:pPr>
              <w:spacing w:after="120" w:line="240" w:lineRule="auto"/>
              <w:jc w:val="both"/>
              <w:rPr>
                <w:rFonts w:ascii="Times New Roman" w:hAnsi="Times New Roman" w:cs="Times New Roman"/>
                <w:sz w:val="24"/>
                <w:szCs w:val="24"/>
              </w:rPr>
            </w:pPr>
            <w:r w:rsidRPr="00960636">
              <w:rPr>
                <w:rFonts w:ascii="Times New Roman" w:hAnsi="Times New Roman" w:cs="Times New Roman"/>
                <w:sz w:val="24"/>
                <w:szCs w:val="24"/>
              </w:rPr>
              <w:t xml:space="preserve">Projekts kopumā un tajā ietvertās tiesību normas atbilst samērīguma principam, jo: </w:t>
            </w:r>
          </w:p>
          <w:p w14:paraId="0D279EEE" w14:textId="3C0D153D" w:rsidR="00960636" w:rsidRPr="00960636" w:rsidRDefault="00960636" w:rsidP="00960636">
            <w:pPr>
              <w:spacing w:after="120" w:line="240" w:lineRule="auto"/>
              <w:jc w:val="both"/>
              <w:rPr>
                <w:rFonts w:ascii="Times New Roman" w:hAnsi="Times New Roman" w:cs="Times New Roman"/>
                <w:sz w:val="24"/>
                <w:szCs w:val="24"/>
              </w:rPr>
            </w:pPr>
            <w:r w:rsidRPr="00960636">
              <w:rPr>
                <w:rFonts w:ascii="Times New Roman" w:hAnsi="Times New Roman" w:cs="Times New Roman"/>
                <w:sz w:val="24"/>
                <w:szCs w:val="24"/>
              </w:rPr>
              <w:t>- pirmkārt, ar projektu un tajā ietvertajām prasībām tiek sasniegts leģitīmais mērķis (citu personu tiesību un sabiedrības labklājības aizsardzība);</w:t>
            </w:r>
          </w:p>
          <w:p w14:paraId="7A50938C" w14:textId="77777777" w:rsidR="00B64303" w:rsidRDefault="00960636" w:rsidP="00960636">
            <w:pPr>
              <w:spacing w:after="120" w:line="240" w:lineRule="auto"/>
              <w:jc w:val="both"/>
              <w:rPr>
                <w:rFonts w:ascii="Times New Roman" w:hAnsi="Times New Roman" w:cs="Times New Roman"/>
                <w:sz w:val="24"/>
                <w:szCs w:val="24"/>
              </w:rPr>
            </w:pPr>
            <w:r w:rsidRPr="00960636">
              <w:rPr>
                <w:rFonts w:ascii="Times New Roman" w:hAnsi="Times New Roman" w:cs="Times New Roman"/>
                <w:sz w:val="24"/>
                <w:szCs w:val="24"/>
              </w:rPr>
              <w:t xml:space="preserve">- otrkārt, nepastāv tādi alternatīvi līdzekļi, kas sasniegtu leģitīmo mērķi tādā pašā kvalitātē; </w:t>
            </w:r>
          </w:p>
          <w:p w14:paraId="3FC38759" w14:textId="30FD23BB" w:rsidR="00960636" w:rsidRDefault="00960636" w:rsidP="00960636">
            <w:pPr>
              <w:spacing w:after="120" w:line="240" w:lineRule="auto"/>
              <w:jc w:val="both"/>
              <w:rPr>
                <w:rFonts w:ascii="Times New Roman" w:hAnsi="Times New Roman" w:cs="Times New Roman"/>
                <w:sz w:val="24"/>
                <w:szCs w:val="24"/>
              </w:rPr>
            </w:pPr>
            <w:r w:rsidRPr="00960636">
              <w:rPr>
                <w:rFonts w:ascii="Times New Roman" w:hAnsi="Times New Roman" w:cs="Times New Roman"/>
                <w:sz w:val="24"/>
                <w:szCs w:val="24"/>
              </w:rPr>
              <w:t>- treškārt, labums, ko iegūs sabiedrība, būs lielāks par projektā ietverto prasību radītajām negatīvajām sekām.</w:t>
            </w:r>
          </w:p>
          <w:p w14:paraId="451CF22C" w14:textId="28C319FD" w:rsidR="00960636" w:rsidRPr="00960636" w:rsidRDefault="00B64303" w:rsidP="0095342B">
            <w:pPr>
              <w:tabs>
                <w:tab w:val="left" w:pos="266"/>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1.</w:t>
            </w:r>
            <w:r w:rsidR="0095342B">
              <w:rPr>
                <w:rFonts w:ascii="Times New Roman" w:hAnsi="Times New Roman" w:cs="Times New Roman"/>
                <w:sz w:val="24"/>
                <w:szCs w:val="24"/>
              </w:rPr>
              <w:t> </w:t>
            </w:r>
            <w:r>
              <w:rPr>
                <w:rFonts w:ascii="Times New Roman" w:hAnsi="Times New Roman" w:cs="Times New Roman"/>
                <w:sz w:val="24"/>
                <w:szCs w:val="24"/>
              </w:rPr>
              <w:t>P</w:t>
            </w:r>
            <w:r w:rsidR="00960636" w:rsidRPr="00960636">
              <w:rPr>
                <w:rFonts w:ascii="Times New Roman" w:hAnsi="Times New Roman" w:cs="Times New Roman"/>
                <w:sz w:val="24"/>
                <w:szCs w:val="24"/>
              </w:rPr>
              <w:t>rojekts paredz noteikt vienotu terminoloģiju visbiežāk izmantotajiem pamata pakalpojumu veidiem, kas ir saistīti ar maksājumu kontu, paredzot gan vienotu lietojamo jēdzienu, gan tā vienkāršotu skaidrojumu.</w:t>
            </w:r>
          </w:p>
          <w:p w14:paraId="01AEDEA0" w14:textId="18AC8A59" w:rsidR="00960636" w:rsidRPr="00960636" w:rsidRDefault="00B64303" w:rsidP="0096063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2.</w:t>
            </w:r>
            <w:r w:rsidR="0095342B">
              <w:rPr>
                <w:rFonts w:ascii="Times New Roman" w:hAnsi="Times New Roman" w:cs="Times New Roman"/>
                <w:sz w:val="24"/>
                <w:szCs w:val="24"/>
              </w:rPr>
              <w:t> </w:t>
            </w:r>
            <w:r w:rsidR="009C55BC">
              <w:rPr>
                <w:rFonts w:ascii="Times New Roman" w:hAnsi="Times New Roman" w:cs="Times New Roman"/>
                <w:sz w:val="24"/>
                <w:szCs w:val="24"/>
              </w:rPr>
              <w:t>P</w:t>
            </w:r>
            <w:r w:rsidR="00960636" w:rsidRPr="00960636">
              <w:rPr>
                <w:rFonts w:ascii="Times New Roman" w:hAnsi="Times New Roman" w:cs="Times New Roman"/>
                <w:sz w:val="24"/>
                <w:szCs w:val="24"/>
              </w:rPr>
              <w:t xml:space="preserve">rojekta izstrādē ņemta vērā </w:t>
            </w:r>
            <w:r w:rsidR="00D6751F">
              <w:rPr>
                <w:rFonts w:ascii="Times New Roman" w:hAnsi="Times New Roman" w:cs="Times New Roman"/>
                <w:sz w:val="24"/>
                <w:szCs w:val="24"/>
              </w:rPr>
              <w:t>R</w:t>
            </w:r>
            <w:r w:rsidR="00960636" w:rsidRPr="00960636">
              <w:rPr>
                <w:rFonts w:ascii="Times New Roman" w:hAnsi="Times New Roman" w:cs="Times New Roman"/>
                <w:sz w:val="24"/>
                <w:szCs w:val="24"/>
              </w:rPr>
              <w:t xml:space="preserve">egula 2018/32, kā arī </w:t>
            </w:r>
            <w:r w:rsidR="00E32A21">
              <w:rPr>
                <w:rFonts w:ascii="Times New Roman" w:hAnsi="Times New Roman" w:cs="Times New Roman"/>
                <w:sz w:val="24"/>
                <w:szCs w:val="24"/>
              </w:rPr>
              <w:t xml:space="preserve">iepriekš </w:t>
            </w:r>
            <w:r w:rsidR="00960636" w:rsidRPr="00960636">
              <w:rPr>
                <w:rFonts w:ascii="Times New Roman" w:hAnsi="Times New Roman" w:cs="Times New Roman"/>
                <w:sz w:val="24"/>
                <w:szCs w:val="24"/>
              </w:rPr>
              <w:t>veiktā aptauja par Latvijā biežāk izmantotajiem pakalpojumiem, kas saistīti ar maksājumu kontu. Vienlaikus projekts neizvērš detalizētāku pakalpojumu vienoto jēdzienu sarakstu, atstājot to maksājumu pakalpojumu sniedzēju ziņā, lai, ievērojot samērīguma principu, pēc iespējas neiejauktos katra maksājumu pakalpojumu sniedzēja darbībā vairāk, nekā to minimāli nosaka Likumā un Eiropas Savienības tieši piemērojamajos tiesību aktos noteiktās prasības.</w:t>
            </w:r>
          </w:p>
          <w:p w14:paraId="64741C2C" w14:textId="7F3208E3" w:rsidR="00D6751F" w:rsidRDefault="00B64303" w:rsidP="0096063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3.</w:t>
            </w:r>
            <w:r w:rsidR="0095342B">
              <w:rPr>
                <w:rFonts w:ascii="Times New Roman" w:hAnsi="Times New Roman" w:cs="Times New Roman"/>
                <w:sz w:val="24"/>
                <w:szCs w:val="24"/>
              </w:rPr>
              <w:t> </w:t>
            </w:r>
            <w:r w:rsidR="00D6751F" w:rsidRPr="00D6751F">
              <w:rPr>
                <w:rFonts w:ascii="Times New Roman" w:hAnsi="Times New Roman" w:cs="Times New Roman"/>
                <w:sz w:val="24"/>
                <w:szCs w:val="24"/>
              </w:rPr>
              <w:t>Maksājumu pakalpojumu sniedzējiem, kas apkalpo patērētāju kontus, ir pienākums izpildīt Likuma 60.</w:t>
            </w:r>
            <w:r w:rsidR="00D6751F" w:rsidRPr="00D6751F">
              <w:rPr>
                <w:rFonts w:ascii="Times New Roman" w:hAnsi="Times New Roman" w:cs="Times New Roman"/>
                <w:sz w:val="24"/>
                <w:szCs w:val="24"/>
                <w:vertAlign w:val="superscript"/>
              </w:rPr>
              <w:t>1</w:t>
            </w:r>
            <w:r w:rsidR="00D6751F" w:rsidRPr="00D6751F">
              <w:rPr>
                <w:rFonts w:ascii="Times New Roman" w:hAnsi="Times New Roman" w:cs="Times New Roman"/>
                <w:sz w:val="24"/>
                <w:szCs w:val="24"/>
              </w:rPr>
              <w:t xml:space="preserve"> un 60.</w:t>
            </w:r>
            <w:r w:rsidR="00D6751F" w:rsidRPr="00D6751F">
              <w:rPr>
                <w:rFonts w:ascii="Times New Roman" w:hAnsi="Times New Roman" w:cs="Times New Roman"/>
                <w:sz w:val="24"/>
                <w:szCs w:val="24"/>
                <w:vertAlign w:val="superscript"/>
              </w:rPr>
              <w:t>2</w:t>
            </w:r>
            <w:r w:rsidR="00AF4AB3">
              <w:rPr>
                <w:rFonts w:ascii="Times New Roman" w:hAnsi="Times New Roman" w:cs="Times New Roman"/>
                <w:sz w:val="24"/>
                <w:szCs w:val="24"/>
              </w:rPr>
              <w:t> </w:t>
            </w:r>
            <w:r w:rsidR="00D6751F" w:rsidRPr="00D6751F">
              <w:rPr>
                <w:rFonts w:ascii="Times New Roman" w:hAnsi="Times New Roman" w:cs="Times New Roman"/>
                <w:sz w:val="24"/>
                <w:szCs w:val="24"/>
              </w:rPr>
              <w:t>panta prasības, ņemot vērā tieši piemērojamo Regulu Nr.</w:t>
            </w:r>
            <w:r w:rsidR="00AF4AB3">
              <w:rPr>
                <w:rFonts w:ascii="Times New Roman" w:hAnsi="Times New Roman" w:cs="Times New Roman"/>
                <w:sz w:val="24"/>
                <w:szCs w:val="24"/>
              </w:rPr>
              <w:t> </w:t>
            </w:r>
            <w:r w:rsidR="00D6751F" w:rsidRPr="00D6751F">
              <w:rPr>
                <w:rFonts w:ascii="Times New Roman" w:hAnsi="Times New Roman" w:cs="Times New Roman"/>
                <w:sz w:val="24"/>
                <w:szCs w:val="24"/>
              </w:rPr>
              <w:t>2018/34 un Regulu Nr.</w:t>
            </w:r>
            <w:r w:rsidR="00AF4AB3">
              <w:rPr>
                <w:rFonts w:ascii="Times New Roman" w:hAnsi="Times New Roman" w:cs="Times New Roman"/>
                <w:sz w:val="24"/>
                <w:szCs w:val="24"/>
              </w:rPr>
              <w:t> </w:t>
            </w:r>
            <w:r w:rsidR="00D6751F" w:rsidRPr="00D6751F">
              <w:rPr>
                <w:rFonts w:ascii="Times New Roman" w:hAnsi="Times New Roman" w:cs="Times New Roman"/>
                <w:sz w:val="24"/>
                <w:szCs w:val="24"/>
              </w:rPr>
              <w:t>2018/33. Tādējādi maksājumu pakalpojumu sniedzējiem, kas apkalpo patērētāju kontu</w:t>
            </w:r>
            <w:r w:rsidR="00726E1C">
              <w:rPr>
                <w:rFonts w:ascii="Times New Roman" w:hAnsi="Times New Roman" w:cs="Times New Roman"/>
                <w:sz w:val="24"/>
                <w:szCs w:val="24"/>
              </w:rPr>
              <w:t>s</w:t>
            </w:r>
            <w:r w:rsidR="00D6751F" w:rsidRPr="00D6751F">
              <w:rPr>
                <w:rFonts w:ascii="Times New Roman" w:hAnsi="Times New Roman" w:cs="Times New Roman"/>
                <w:sz w:val="24"/>
                <w:szCs w:val="24"/>
              </w:rPr>
              <w:t>, ir pienākums izstrādāt savu pakalpojumu cenrādi un pakalpojumu maksas pārskatu, ievērojot minētajās regulās noteikto vienoto veidlapas formātu un simbolu. Tomēr minētās tiesību normas neietver tādus piemērošanai būtiskus jautājumus kā veidlapās lietojamā valoda un valūta, Latvijā lietojamie termini, kā arī izvēlētās dalībvalsts iespējas, ko piedāvā minētās regulas.</w:t>
            </w:r>
          </w:p>
          <w:p w14:paraId="2461D4D0" w14:textId="782A6CBB" w:rsidR="00D6751F" w:rsidRDefault="00D6751F" w:rsidP="0096063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4.</w:t>
            </w:r>
            <w:r w:rsidR="0095342B">
              <w:rPr>
                <w:rFonts w:ascii="Times New Roman" w:hAnsi="Times New Roman" w:cs="Times New Roman"/>
                <w:sz w:val="24"/>
                <w:szCs w:val="24"/>
              </w:rPr>
              <w:t> </w:t>
            </w:r>
            <w:r w:rsidRPr="00D6751F">
              <w:rPr>
                <w:rFonts w:ascii="Times New Roman" w:hAnsi="Times New Roman" w:cs="Times New Roman"/>
                <w:sz w:val="24"/>
                <w:szCs w:val="24"/>
              </w:rPr>
              <w:t>Atbilstošākais veids, kā nodrošināt Regulas Nr.</w:t>
            </w:r>
            <w:r w:rsidR="00AF4AB3">
              <w:rPr>
                <w:rFonts w:ascii="Times New Roman" w:hAnsi="Times New Roman" w:cs="Times New Roman"/>
                <w:sz w:val="24"/>
                <w:szCs w:val="24"/>
              </w:rPr>
              <w:t> </w:t>
            </w:r>
            <w:r w:rsidRPr="00D6751F">
              <w:rPr>
                <w:rFonts w:ascii="Times New Roman" w:hAnsi="Times New Roman" w:cs="Times New Roman"/>
                <w:sz w:val="24"/>
                <w:szCs w:val="24"/>
              </w:rPr>
              <w:t>2018/33 un Regulas Nr.</w:t>
            </w:r>
            <w:r w:rsidR="00AF4AB3">
              <w:rPr>
                <w:rFonts w:ascii="Times New Roman" w:hAnsi="Times New Roman" w:cs="Times New Roman"/>
                <w:sz w:val="24"/>
                <w:szCs w:val="24"/>
              </w:rPr>
              <w:t> </w:t>
            </w:r>
            <w:r w:rsidRPr="00D6751F">
              <w:rPr>
                <w:rFonts w:ascii="Times New Roman" w:hAnsi="Times New Roman" w:cs="Times New Roman"/>
                <w:sz w:val="24"/>
                <w:szCs w:val="24"/>
              </w:rPr>
              <w:t>2018/34 prasību kvalitatīvu un vienveidīgu piemērošanu un Likumā noteiktā pienākuma izpildi, ir izdot tirgus dalībniekiem saistošus noteikumus.</w:t>
            </w:r>
          </w:p>
          <w:p w14:paraId="43BF8CDD" w14:textId="3D1D3F20" w:rsidR="00D6751F" w:rsidRPr="00FB6D54" w:rsidRDefault="00D6751F" w:rsidP="00D6751F">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5.</w:t>
            </w:r>
            <w:r w:rsidR="0095342B">
              <w:rPr>
                <w:rFonts w:ascii="Times New Roman" w:hAnsi="Times New Roman" w:cs="Times New Roman"/>
                <w:sz w:val="24"/>
                <w:szCs w:val="24"/>
              </w:rPr>
              <w:t> </w:t>
            </w:r>
            <w:r>
              <w:rPr>
                <w:rFonts w:ascii="Times New Roman" w:hAnsi="Times New Roman" w:cs="Times New Roman"/>
                <w:sz w:val="24"/>
                <w:szCs w:val="24"/>
              </w:rPr>
              <w:t>C</w:t>
            </w:r>
            <w:r w:rsidRPr="00FB6D54">
              <w:rPr>
                <w:rFonts w:ascii="Times New Roman" w:hAnsi="Times New Roman" w:cs="Times New Roman"/>
                <w:sz w:val="24"/>
                <w:szCs w:val="24"/>
              </w:rPr>
              <w:t xml:space="preserve">itas alternatīvas jautājuma noregulēšanai un vienotu prasību noteikšanai </w:t>
            </w:r>
            <w:r w:rsidR="000020E0">
              <w:rPr>
                <w:rFonts w:ascii="Times New Roman" w:hAnsi="Times New Roman" w:cs="Times New Roman"/>
                <w:sz w:val="24"/>
                <w:szCs w:val="24"/>
              </w:rPr>
              <w:t xml:space="preserve">attiecībā uz </w:t>
            </w:r>
            <w:r w:rsidRPr="00960636">
              <w:rPr>
                <w:rFonts w:ascii="Times New Roman" w:hAnsi="Times New Roman" w:cs="Times New Roman"/>
                <w:sz w:val="24"/>
                <w:szCs w:val="24"/>
              </w:rPr>
              <w:t>terminoloģijas lietojuma ieviešan</w:t>
            </w:r>
            <w:r w:rsidR="000020E0">
              <w:rPr>
                <w:rFonts w:ascii="Times New Roman" w:hAnsi="Times New Roman" w:cs="Times New Roman"/>
                <w:sz w:val="24"/>
                <w:szCs w:val="24"/>
              </w:rPr>
              <w:t>u</w:t>
            </w:r>
            <w:r w:rsidRPr="00960636">
              <w:rPr>
                <w:rFonts w:ascii="Times New Roman" w:hAnsi="Times New Roman" w:cs="Times New Roman"/>
                <w:sz w:val="24"/>
                <w:szCs w:val="24"/>
              </w:rPr>
              <w:t xml:space="preserve"> patērētājiem sniedzamajā informācijā</w:t>
            </w:r>
            <w:r>
              <w:rPr>
                <w:rFonts w:ascii="Times New Roman" w:hAnsi="Times New Roman" w:cs="Times New Roman"/>
                <w:sz w:val="24"/>
                <w:szCs w:val="24"/>
              </w:rPr>
              <w:t xml:space="preserve">, </w:t>
            </w:r>
            <w:r w:rsidRPr="00FB6D54">
              <w:rPr>
                <w:rFonts w:ascii="Times New Roman" w:hAnsi="Times New Roman" w:cs="Times New Roman"/>
                <w:sz w:val="24"/>
                <w:szCs w:val="24"/>
              </w:rPr>
              <w:t>pakalpojumu cenrāža un pakalpojumu maksas pārskata izstrādi nebūtu efektīvas un nesasniegtu Likumā izvirzīto mērķi</w:t>
            </w:r>
            <w:r w:rsidR="00AF4AB3">
              <w:rPr>
                <w:rFonts w:ascii="Times New Roman" w:hAnsi="Times New Roman" w:cs="Times New Roman"/>
                <w:sz w:val="24"/>
                <w:szCs w:val="24"/>
              </w:rPr>
              <w:t> </w:t>
            </w:r>
            <w:r w:rsidRPr="00FB6D54">
              <w:rPr>
                <w:rFonts w:ascii="Times New Roman" w:hAnsi="Times New Roman" w:cs="Times New Roman"/>
                <w:sz w:val="24"/>
                <w:szCs w:val="24"/>
              </w:rPr>
              <w:t xml:space="preserve">– </w:t>
            </w:r>
            <w:r>
              <w:rPr>
                <w:rFonts w:ascii="Times New Roman" w:hAnsi="Times New Roman" w:cs="Times New Roman"/>
                <w:sz w:val="24"/>
                <w:szCs w:val="24"/>
              </w:rPr>
              <w:t>Latvijas Bankai</w:t>
            </w:r>
            <w:r w:rsidRPr="00FB6D54">
              <w:rPr>
                <w:rFonts w:ascii="Times New Roman" w:hAnsi="Times New Roman" w:cs="Times New Roman"/>
                <w:sz w:val="24"/>
                <w:szCs w:val="24"/>
              </w:rPr>
              <w:t xml:space="preserve"> nodrošināt maksājumu pakalpojumu sniedzēju darbības atbilstības </w:t>
            </w:r>
            <w:r>
              <w:rPr>
                <w:rFonts w:ascii="Times New Roman" w:hAnsi="Times New Roman" w:cs="Times New Roman"/>
                <w:sz w:val="24"/>
                <w:szCs w:val="24"/>
              </w:rPr>
              <w:t>Likuma</w:t>
            </w:r>
            <w:r w:rsidRPr="00FB6D54">
              <w:rPr>
                <w:rFonts w:ascii="Times New Roman" w:hAnsi="Times New Roman" w:cs="Times New Roman"/>
                <w:sz w:val="24"/>
                <w:szCs w:val="24"/>
              </w:rPr>
              <w:t xml:space="preserve"> un Eiropas Savienības tieši piemērojamo tiesību aktu maksājumu pakalpojumu un elektroniskās naudas jomā prasībām uzraudzību.</w:t>
            </w:r>
          </w:p>
          <w:p w14:paraId="02E61C25" w14:textId="7C7ED171" w:rsidR="00D6751F" w:rsidRPr="00FB6D54" w:rsidRDefault="00D6751F" w:rsidP="00D6751F">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6.</w:t>
            </w:r>
            <w:r w:rsidR="0095342B">
              <w:rPr>
                <w:rFonts w:ascii="Times New Roman" w:hAnsi="Times New Roman" w:cs="Times New Roman"/>
                <w:sz w:val="24"/>
                <w:szCs w:val="24"/>
              </w:rPr>
              <w:t> </w:t>
            </w:r>
            <w:r>
              <w:rPr>
                <w:rFonts w:ascii="Times New Roman" w:hAnsi="Times New Roman" w:cs="Times New Roman"/>
                <w:sz w:val="24"/>
                <w:szCs w:val="24"/>
              </w:rPr>
              <w:t>P</w:t>
            </w:r>
            <w:r w:rsidRPr="00FB6D54">
              <w:rPr>
                <w:rFonts w:ascii="Times New Roman" w:hAnsi="Times New Roman" w:cs="Times New Roman"/>
                <w:sz w:val="24"/>
                <w:szCs w:val="24"/>
              </w:rPr>
              <w:t>rojekts paredz izdarīt dalībvalsts izvēli par labu Regulas Nr.</w:t>
            </w:r>
            <w:r w:rsidR="00AF4AB3">
              <w:rPr>
                <w:rFonts w:ascii="Times New Roman" w:hAnsi="Times New Roman" w:cs="Times New Roman"/>
                <w:sz w:val="24"/>
                <w:szCs w:val="24"/>
              </w:rPr>
              <w:t> </w:t>
            </w:r>
            <w:r w:rsidRPr="00FB6D54">
              <w:rPr>
                <w:rFonts w:ascii="Times New Roman" w:hAnsi="Times New Roman" w:cs="Times New Roman"/>
                <w:sz w:val="24"/>
                <w:szCs w:val="24"/>
              </w:rPr>
              <w:t>2018/34 11.</w:t>
            </w:r>
            <w:r w:rsidR="00AF4AB3">
              <w:rPr>
                <w:rFonts w:ascii="Times New Roman" w:hAnsi="Times New Roman" w:cs="Times New Roman"/>
                <w:sz w:val="24"/>
                <w:szCs w:val="24"/>
              </w:rPr>
              <w:t> </w:t>
            </w:r>
            <w:r w:rsidRPr="00FB6D54">
              <w:rPr>
                <w:rFonts w:ascii="Times New Roman" w:hAnsi="Times New Roman" w:cs="Times New Roman"/>
                <w:sz w:val="24"/>
                <w:szCs w:val="24"/>
              </w:rPr>
              <w:t>panta 1.</w:t>
            </w:r>
            <w:r w:rsidR="00AF4AB3">
              <w:rPr>
                <w:rFonts w:ascii="Times New Roman" w:hAnsi="Times New Roman" w:cs="Times New Roman"/>
                <w:sz w:val="24"/>
                <w:szCs w:val="24"/>
              </w:rPr>
              <w:t> </w:t>
            </w:r>
            <w:r w:rsidRPr="00FB6D54">
              <w:rPr>
                <w:rFonts w:ascii="Times New Roman" w:hAnsi="Times New Roman" w:cs="Times New Roman"/>
                <w:sz w:val="24"/>
                <w:szCs w:val="24"/>
              </w:rPr>
              <w:t xml:space="preserve">punktā paredzētajai prasībai iekļaut pakalpojumu cenrādī visaptverošo izmaksu rādītāju, kas apkopo maksājumu konta kopējās gada izmaksas. Šāds rādītājs patērētājam palīdzētu uzreiz salīdzināt dažādu maksājumu pakalpojumu sniedzēju piedāvāto kontu kopējās gada izmaksas. Padarot šo informāciju uzskatāmāku un pārskatāmāku, patērētājam tiek atvieglota ekonomiski visizdevīgākās izvēles izdarīšana par labu </w:t>
            </w:r>
            <w:r w:rsidR="0005256F">
              <w:rPr>
                <w:rFonts w:ascii="Times New Roman" w:hAnsi="Times New Roman" w:cs="Times New Roman"/>
                <w:sz w:val="24"/>
                <w:szCs w:val="24"/>
              </w:rPr>
              <w:t>noteiktam</w:t>
            </w:r>
            <w:r w:rsidR="0005256F" w:rsidRPr="00FB6D54">
              <w:rPr>
                <w:rFonts w:ascii="Times New Roman" w:hAnsi="Times New Roman" w:cs="Times New Roman"/>
                <w:sz w:val="24"/>
                <w:szCs w:val="24"/>
              </w:rPr>
              <w:t xml:space="preserve"> </w:t>
            </w:r>
            <w:r w:rsidRPr="00FB6D54">
              <w:rPr>
                <w:rFonts w:ascii="Times New Roman" w:hAnsi="Times New Roman" w:cs="Times New Roman"/>
                <w:sz w:val="24"/>
                <w:szCs w:val="24"/>
              </w:rPr>
              <w:t xml:space="preserve">konta nodrošinātājam, tādējādi veicinot tirgus dalībnieku konkurenci un uzlabojot to piedāvāto pakalpojumu kvalitāti. </w:t>
            </w:r>
          </w:p>
          <w:p w14:paraId="489D28F5" w14:textId="21FC3FD3" w:rsidR="00D6751F" w:rsidRPr="00FB6D54" w:rsidRDefault="00D6751F" w:rsidP="00D6751F">
            <w:pPr>
              <w:spacing w:after="120" w:line="240" w:lineRule="auto"/>
              <w:jc w:val="both"/>
              <w:rPr>
                <w:rFonts w:ascii="Times New Roman" w:hAnsi="Times New Roman" w:cs="Times New Roman"/>
                <w:sz w:val="24"/>
                <w:szCs w:val="24"/>
              </w:rPr>
            </w:pPr>
            <w:r w:rsidRPr="00FB6D54">
              <w:rPr>
                <w:rFonts w:ascii="Times New Roman" w:hAnsi="Times New Roman" w:cs="Times New Roman"/>
                <w:sz w:val="24"/>
                <w:szCs w:val="24"/>
              </w:rPr>
              <w:t>Šāda dalībvalsts izvēļu izdarīšana ir nepieciešama, jo vistiešākajā veidā īsteno Likuma 60.</w:t>
            </w:r>
            <w:r w:rsidRPr="00006B2C">
              <w:rPr>
                <w:rFonts w:ascii="Times New Roman" w:hAnsi="Times New Roman" w:cs="Times New Roman"/>
                <w:sz w:val="24"/>
                <w:szCs w:val="24"/>
                <w:vertAlign w:val="superscript"/>
              </w:rPr>
              <w:t>1</w:t>
            </w:r>
            <w:r w:rsidRPr="00FB6D54">
              <w:rPr>
                <w:rFonts w:ascii="Times New Roman" w:hAnsi="Times New Roman" w:cs="Times New Roman"/>
                <w:sz w:val="24"/>
                <w:szCs w:val="24"/>
              </w:rPr>
              <w:t xml:space="preserve"> un 60.</w:t>
            </w:r>
            <w:r w:rsidRPr="00006B2C">
              <w:rPr>
                <w:rFonts w:ascii="Times New Roman" w:hAnsi="Times New Roman" w:cs="Times New Roman"/>
                <w:sz w:val="24"/>
                <w:szCs w:val="24"/>
                <w:vertAlign w:val="superscript"/>
              </w:rPr>
              <w:t>2</w:t>
            </w:r>
            <w:r w:rsidR="00AF4AB3">
              <w:rPr>
                <w:rFonts w:ascii="Times New Roman" w:hAnsi="Times New Roman" w:cs="Times New Roman"/>
                <w:sz w:val="24"/>
                <w:szCs w:val="24"/>
              </w:rPr>
              <w:t> </w:t>
            </w:r>
            <w:r w:rsidRPr="00FB6D54">
              <w:rPr>
                <w:rFonts w:ascii="Times New Roman" w:hAnsi="Times New Roman" w:cs="Times New Roman"/>
                <w:sz w:val="24"/>
                <w:szCs w:val="24"/>
              </w:rPr>
              <w:t>pantā paredzēto mērķi</w:t>
            </w:r>
            <w:r w:rsidR="00AF4AB3">
              <w:rPr>
                <w:rFonts w:ascii="Times New Roman" w:hAnsi="Times New Roman" w:cs="Times New Roman"/>
                <w:sz w:val="24"/>
                <w:szCs w:val="24"/>
              </w:rPr>
              <w:t> </w:t>
            </w:r>
            <w:r w:rsidRPr="00FB6D54">
              <w:rPr>
                <w:rFonts w:ascii="Times New Roman" w:hAnsi="Times New Roman" w:cs="Times New Roman"/>
                <w:sz w:val="24"/>
                <w:szCs w:val="24"/>
              </w:rPr>
              <w:t xml:space="preserve">– padarīt informētāku un ātrāku patērētāja izvēli par labu </w:t>
            </w:r>
            <w:r w:rsidR="0005256F">
              <w:rPr>
                <w:rFonts w:ascii="Times New Roman" w:hAnsi="Times New Roman" w:cs="Times New Roman"/>
                <w:sz w:val="24"/>
                <w:szCs w:val="24"/>
              </w:rPr>
              <w:t>noteiktam</w:t>
            </w:r>
            <w:r w:rsidRPr="00FB6D54">
              <w:rPr>
                <w:rFonts w:ascii="Times New Roman" w:hAnsi="Times New Roman" w:cs="Times New Roman"/>
                <w:sz w:val="24"/>
                <w:szCs w:val="24"/>
              </w:rPr>
              <w:t xml:space="preserve"> maksājumu pakalpojumu sniedzējam. Šo izvēļu radītais labums patērētājiem no informācijas, kas ir kodolīga, standartizēta un viegli salīdzināma, ir samērīgs, jo sasniedz Likumā paredzēto mērķi</w:t>
            </w:r>
            <w:r w:rsidR="00AF4AB3">
              <w:rPr>
                <w:rFonts w:ascii="Times New Roman" w:hAnsi="Times New Roman" w:cs="Times New Roman"/>
                <w:sz w:val="24"/>
                <w:szCs w:val="24"/>
              </w:rPr>
              <w:t> </w:t>
            </w:r>
            <w:r w:rsidRPr="00FB6D54">
              <w:rPr>
                <w:rFonts w:ascii="Times New Roman" w:hAnsi="Times New Roman" w:cs="Times New Roman"/>
                <w:sz w:val="24"/>
                <w:szCs w:val="24"/>
              </w:rPr>
              <w:t>– veicināt maksājumu pakalpojumu maksas pārredzamību, ņemot vērā mazāk aizsargāto patērētāju vajadzības.</w:t>
            </w:r>
          </w:p>
          <w:p w14:paraId="50391F96" w14:textId="77777777" w:rsidR="00D6751F" w:rsidRDefault="00D6751F" w:rsidP="00D6751F">
            <w:pPr>
              <w:spacing w:after="120" w:line="240" w:lineRule="auto"/>
              <w:jc w:val="both"/>
              <w:rPr>
                <w:rFonts w:ascii="Times New Roman" w:hAnsi="Times New Roman" w:cs="Times New Roman"/>
                <w:sz w:val="24"/>
                <w:szCs w:val="24"/>
              </w:rPr>
            </w:pPr>
            <w:r w:rsidRPr="00FB6D54">
              <w:rPr>
                <w:rFonts w:ascii="Times New Roman" w:hAnsi="Times New Roman" w:cs="Times New Roman"/>
                <w:sz w:val="24"/>
                <w:szCs w:val="24"/>
              </w:rPr>
              <w:t>Ņemot vērā iepriekš minētos apstākļus, ieguvums, ko gūs sabiedrība, būs lielāks par konkrētajam tirgus dalībniekam noteikto tiesību ierobežojumu.</w:t>
            </w:r>
          </w:p>
          <w:p w14:paraId="7229CF82" w14:textId="18FBDE6E" w:rsidR="00960636" w:rsidRPr="00C14A12" w:rsidRDefault="00960636" w:rsidP="00D6751F">
            <w:pPr>
              <w:spacing w:after="120" w:line="240" w:lineRule="auto"/>
              <w:jc w:val="both"/>
              <w:rPr>
                <w:rFonts w:ascii="Times New Roman" w:hAnsi="Times New Roman" w:cs="Times New Roman"/>
                <w:i/>
                <w:iCs/>
                <w:sz w:val="24"/>
                <w:szCs w:val="24"/>
                <w:highlight w:val="yellow"/>
              </w:rPr>
            </w:pPr>
            <w:r w:rsidRPr="00960636">
              <w:rPr>
                <w:rFonts w:ascii="Times New Roman" w:hAnsi="Times New Roman" w:cs="Times New Roman"/>
                <w:sz w:val="24"/>
                <w:szCs w:val="24"/>
              </w:rPr>
              <w:t>Noteikumi ir attiecināmi uz maksājumu pakalpojumu sniedzējiem, ja tie patērētājiem sniedz ar maksājumu kontu saistītus pakalpojumus Latvijā.</w:t>
            </w:r>
          </w:p>
        </w:tc>
      </w:tr>
      <w:tr w:rsidR="00F62DE2" w:rsidRPr="004E3F4A" w14:paraId="7803B4D4" w14:textId="77777777" w:rsidTr="00A4725B">
        <w:trPr>
          <w:trHeight w:val="567"/>
        </w:trPr>
        <w:tc>
          <w:tcPr>
            <w:tcW w:w="1170" w:type="pct"/>
            <w:shd w:val="clear" w:color="auto" w:fill="auto"/>
            <w:hideMark/>
          </w:tcPr>
          <w:p w14:paraId="385434FC"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Spēkā stāšanās</w:t>
            </w:r>
          </w:p>
          <w:p w14:paraId="11817387"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2E39BC90" w14:textId="5DF75185" w:rsidR="0016709D" w:rsidRPr="004E3F4A" w:rsidRDefault="0062751E" w:rsidP="00D304A4">
            <w:pPr>
              <w:spacing w:after="120" w:line="240" w:lineRule="auto"/>
              <w:jc w:val="both"/>
              <w:rPr>
                <w:rFonts w:ascii="Times New Roman" w:eastAsia="Times New Roman" w:hAnsi="Times New Roman" w:cs="Times New Roman"/>
                <w:sz w:val="24"/>
                <w:szCs w:val="24"/>
                <w:lang w:eastAsia="lv-LV"/>
              </w:rPr>
            </w:pPr>
            <w:r w:rsidRPr="00515473">
              <w:rPr>
                <w:rFonts w:ascii="Times New Roman" w:eastAsia="Times New Roman" w:hAnsi="Times New Roman" w:cs="Times New Roman"/>
                <w:sz w:val="24"/>
                <w:szCs w:val="24"/>
                <w:lang w:eastAsia="lv-LV"/>
              </w:rPr>
              <w:t>Atbilstoši Latvijas Bankas likuma 8.</w:t>
            </w:r>
            <w:r w:rsidR="003F3859" w:rsidRPr="00515473">
              <w:rPr>
                <w:rFonts w:ascii="Times New Roman" w:eastAsia="Times New Roman" w:hAnsi="Times New Roman" w:cs="Times New Roman"/>
                <w:sz w:val="24"/>
                <w:szCs w:val="24"/>
                <w:lang w:eastAsia="lv-LV"/>
              </w:rPr>
              <w:t> </w:t>
            </w:r>
            <w:r w:rsidRPr="00515473">
              <w:rPr>
                <w:rFonts w:ascii="Times New Roman" w:eastAsia="Times New Roman" w:hAnsi="Times New Roman" w:cs="Times New Roman"/>
                <w:sz w:val="24"/>
                <w:szCs w:val="24"/>
                <w:lang w:eastAsia="lv-LV"/>
              </w:rPr>
              <w:t>panta otrajai daļai</w:t>
            </w:r>
            <w:r w:rsidR="003F3859" w:rsidRPr="00515473">
              <w:rPr>
                <w:rFonts w:ascii="Times New Roman" w:eastAsia="Times New Roman" w:hAnsi="Times New Roman" w:cs="Times New Roman"/>
                <w:sz w:val="24"/>
                <w:szCs w:val="24"/>
                <w:lang w:eastAsia="lv-LV"/>
              </w:rPr>
              <w:t> </w:t>
            </w:r>
            <w:r w:rsidR="00F62DE2" w:rsidRPr="00515473">
              <w:rPr>
                <w:rFonts w:ascii="Times New Roman" w:eastAsia="Times New Roman" w:hAnsi="Times New Roman" w:cs="Times New Roman"/>
                <w:sz w:val="24"/>
                <w:szCs w:val="24"/>
                <w:lang w:eastAsia="lv-LV"/>
              </w:rPr>
              <w:t>–</w:t>
            </w:r>
            <w:r w:rsidRPr="00515473">
              <w:rPr>
                <w:rFonts w:ascii="Times New Roman" w:eastAsia="Times New Roman" w:hAnsi="Times New Roman" w:cs="Times New Roman"/>
                <w:sz w:val="24"/>
                <w:szCs w:val="24"/>
                <w:lang w:eastAsia="lv-LV"/>
              </w:rPr>
              <w:t xml:space="preserve"> nākamajā dienā pēc noteikumu publicēšanas oficiālajā izdevumā ''Latvijas Vēstnesis''</w:t>
            </w:r>
            <w:r w:rsidR="00F62DE2" w:rsidRPr="00515473">
              <w:rPr>
                <w:rFonts w:ascii="Times New Roman" w:eastAsia="Times New Roman" w:hAnsi="Times New Roman" w:cs="Times New Roman"/>
                <w:sz w:val="24"/>
                <w:szCs w:val="24"/>
                <w:lang w:eastAsia="lv-LV"/>
              </w:rPr>
              <w:t>.</w:t>
            </w:r>
          </w:p>
        </w:tc>
      </w:tr>
      <w:tr w:rsidR="00F62DE2" w:rsidRPr="004E3F4A" w14:paraId="334FA83B" w14:textId="77777777" w:rsidTr="00A4725B">
        <w:trPr>
          <w:trHeight w:val="567"/>
        </w:trPr>
        <w:tc>
          <w:tcPr>
            <w:tcW w:w="1170" w:type="pct"/>
            <w:shd w:val="clear" w:color="auto" w:fill="auto"/>
            <w:hideMark/>
          </w:tcPr>
          <w:p w14:paraId="413D2506"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Ietekme uz Latvijas Bankas budžetu</w:t>
            </w:r>
          </w:p>
          <w:p w14:paraId="61C22255"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6FABF7D5" w14:textId="60FEEA42" w:rsidR="00E53DE9" w:rsidRPr="004E3F4A" w:rsidRDefault="0062751E" w:rsidP="00F62DE2">
            <w:pPr>
              <w:spacing w:after="0" w:line="240" w:lineRule="auto"/>
              <w:rPr>
                <w:rFonts w:ascii="Times New Roman" w:eastAsia="Times New Roman" w:hAnsi="Times New Roman" w:cs="Times New Roman"/>
                <w:iCs/>
                <w:sz w:val="24"/>
                <w:szCs w:val="24"/>
                <w:lang w:eastAsia="lv-LV"/>
              </w:rPr>
            </w:pPr>
            <w:r w:rsidRPr="004E3F4A">
              <w:rPr>
                <w:rFonts w:ascii="Times New Roman" w:hAnsi="Times New Roman" w:cs="Times New Roman"/>
                <w:iCs/>
                <w:sz w:val="24"/>
                <w:szCs w:val="24"/>
              </w:rPr>
              <w:t>Nav ietekme</w:t>
            </w:r>
            <w:r w:rsidR="003F3859" w:rsidRPr="004E3F4A">
              <w:rPr>
                <w:rFonts w:ascii="Times New Roman" w:hAnsi="Times New Roman" w:cs="Times New Roman"/>
                <w:iCs/>
                <w:sz w:val="24"/>
                <w:szCs w:val="24"/>
              </w:rPr>
              <w:t>s</w:t>
            </w:r>
            <w:r w:rsidRPr="004E3F4A">
              <w:rPr>
                <w:rFonts w:ascii="Times New Roman" w:hAnsi="Times New Roman" w:cs="Times New Roman"/>
                <w:iCs/>
                <w:sz w:val="24"/>
                <w:szCs w:val="24"/>
              </w:rPr>
              <w:t xml:space="preserve"> uz Latvijas Bankas budžetu</w:t>
            </w:r>
            <w:r w:rsidR="00F62DE2" w:rsidRPr="004E3F4A">
              <w:rPr>
                <w:rFonts w:ascii="Times New Roman" w:hAnsi="Times New Roman" w:cs="Times New Roman"/>
                <w:iCs/>
                <w:sz w:val="24"/>
                <w:szCs w:val="24"/>
              </w:rPr>
              <w:t>.</w:t>
            </w:r>
          </w:p>
        </w:tc>
      </w:tr>
      <w:tr w:rsidR="00F62DE2" w:rsidRPr="004E3F4A" w14:paraId="3AA013AA" w14:textId="77777777" w:rsidTr="00A4725B">
        <w:trPr>
          <w:trHeight w:val="567"/>
        </w:trPr>
        <w:tc>
          <w:tcPr>
            <w:tcW w:w="1170" w:type="pct"/>
            <w:shd w:val="clear" w:color="auto" w:fill="auto"/>
            <w:hideMark/>
          </w:tcPr>
          <w:p w14:paraId="11F5B109"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 xml:space="preserve">Administratīvā sloga un izmaksu novērtējums </w:t>
            </w:r>
            <w:r w:rsidR="00C85C34" w:rsidRPr="004E3F4A">
              <w:rPr>
                <w:rFonts w:ascii="Times New Roman" w:eastAsia="Times New Roman" w:hAnsi="Times New Roman" w:cs="Times New Roman"/>
                <w:b/>
                <w:bCs/>
                <w:sz w:val="24"/>
                <w:szCs w:val="24"/>
                <w:lang w:eastAsia="lv-LV"/>
              </w:rPr>
              <w:t>(</w:t>
            </w:r>
            <w:r w:rsidRPr="004E3F4A">
              <w:rPr>
                <w:rFonts w:ascii="Times New Roman" w:eastAsia="Times New Roman" w:hAnsi="Times New Roman" w:cs="Times New Roman"/>
                <w:b/>
                <w:bCs/>
                <w:sz w:val="24"/>
                <w:szCs w:val="24"/>
                <w:lang w:eastAsia="lv-LV"/>
              </w:rPr>
              <w:t>tirgus dalībniekiem</w:t>
            </w:r>
            <w:r w:rsidR="00C85C34" w:rsidRPr="004E3F4A">
              <w:rPr>
                <w:rFonts w:ascii="Times New Roman" w:eastAsia="Times New Roman" w:hAnsi="Times New Roman" w:cs="Times New Roman"/>
                <w:b/>
                <w:bCs/>
                <w:sz w:val="24"/>
                <w:szCs w:val="24"/>
                <w:lang w:eastAsia="lv-LV"/>
              </w:rPr>
              <w:t>)</w:t>
            </w:r>
          </w:p>
          <w:p w14:paraId="19955254"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108432DD" w14:textId="7A4ECF0C" w:rsidR="00A42788" w:rsidRPr="004E3F4A" w:rsidRDefault="0042517C" w:rsidP="00D6751F">
            <w:pPr>
              <w:spacing w:after="120" w:line="240" w:lineRule="auto"/>
              <w:jc w:val="both"/>
              <w:rPr>
                <w:rFonts w:ascii="Times New Roman" w:eastAsia="Times New Roman" w:hAnsi="Times New Roman" w:cs="Times New Roman"/>
                <w:sz w:val="24"/>
                <w:szCs w:val="24"/>
                <w:lang w:eastAsia="lv-LV"/>
              </w:rPr>
            </w:pPr>
            <w:r w:rsidRPr="004E3F4A">
              <w:rPr>
                <w:rStyle w:val="cf01"/>
                <w:rFonts w:ascii="Times New Roman" w:hAnsi="Times New Roman" w:cs="Times New Roman"/>
                <w:sz w:val="24"/>
                <w:szCs w:val="24"/>
              </w:rPr>
              <w:t>Salīdzinot ar spēkā esošajiem Noteikumiem Nr. </w:t>
            </w:r>
            <w:r w:rsidR="00C14A12">
              <w:rPr>
                <w:rStyle w:val="cf01"/>
                <w:rFonts w:ascii="Times New Roman" w:hAnsi="Times New Roman" w:cs="Times New Roman"/>
                <w:sz w:val="24"/>
                <w:szCs w:val="24"/>
              </w:rPr>
              <w:t>82</w:t>
            </w:r>
            <w:r w:rsidR="00D6751F">
              <w:rPr>
                <w:rStyle w:val="cf01"/>
                <w:rFonts w:ascii="Times New Roman" w:hAnsi="Times New Roman" w:cs="Times New Roman"/>
                <w:sz w:val="24"/>
                <w:szCs w:val="24"/>
              </w:rPr>
              <w:t xml:space="preserve"> un Noteikumiem Nr.</w:t>
            </w:r>
            <w:r w:rsidR="00726E1C">
              <w:rPr>
                <w:rStyle w:val="cf01"/>
                <w:rFonts w:ascii="Times New Roman" w:hAnsi="Times New Roman" w:cs="Times New Roman"/>
                <w:sz w:val="24"/>
                <w:szCs w:val="24"/>
              </w:rPr>
              <w:t> </w:t>
            </w:r>
            <w:r w:rsidR="00D6751F">
              <w:rPr>
                <w:rStyle w:val="cf01"/>
                <w:rFonts w:ascii="Times New Roman" w:hAnsi="Times New Roman" w:cs="Times New Roman"/>
                <w:sz w:val="24"/>
                <w:szCs w:val="24"/>
              </w:rPr>
              <w:t>84</w:t>
            </w:r>
            <w:r w:rsidR="002B6C45">
              <w:rPr>
                <w:rStyle w:val="cf01"/>
                <w:rFonts w:ascii="Times New Roman" w:hAnsi="Times New Roman" w:cs="Times New Roman"/>
                <w:sz w:val="24"/>
                <w:szCs w:val="24"/>
              </w:rPr>
              <w:t>,</w:t>
            </w:r>
            <w:r w:rsidR="008F6091" w:rsidRPr="004E3F4A">
              <w:rPr>
                <w:rStyle w:val="cf01"/>
                <w:rFonts w:ascii="Times New Roman" w:hAnsi="Times New Roman" w:cs="Times New Roman"/>
                <w:sz w:val="24"/>
                <w:szCs w:val="24"/>
              </w:rPr>
              <w:t xml:space="preserve"> </w:t>
            </w:r>
            <w:r w:rsidRPr="004E3F4A">
              <w:rPr>
                <w:rStyle w:val="cf01"/>
                <w:rFonts w:ascii="Times New Roman" w:hAnsi="Times New Roman" w:cs="Times New Roman"/>
                <w:sz w:val="24"/>
                <w:szCs w:val="24"/>
              </w:rPr>
              <w:t xml:space="preserve">projekts neparedz jaunas prasības </w:t>
            </w:r>
            <w:r w:rsidR="00960636">
              <w:rPr>
                <w:rStyle w:val="cf01"/>
                <w:rFonts w:ascii="Times New Roman" w:hAnsi="Times New Roman" w:cs="Times New Roman"/>
                <w:sz w:val="24"/>
                <w:szCs w:val="24"/>
              </w:rPr>
              <w:t>e</w:t>
            </w:r>
            <w:r w:rsidR="00960636" w:rsidRPr="00960636">
              <w:rPr>
                <w:rStyle w:val="cf01"/>
                <w:rFonts w:ascii="Times New Roman" w:hAnsi="Times New Roman" w:cs="Times New Roman"/>
                <w:sz w:val="24"/>
                <w:szCs w:val="24"/>
              </w:rPr>
              <w:t>sošajiem maksājumu pakalpojumu sniedzējiem</w:t>
            </w:r>
            <w:r w:rsidR="00357118">
              <w:rPr>
                <w:rStyle w:val="cf01"/>
                <w:rFonts w:ascii="Times New Roman" w:hAnsi="Times New Roman" w:cs="Times New Roman"/>
                <w:sz w:val="24"/>
                <w:szCs w:val="24"/>
              </w:rPr>
              <w:t xml:space="preserve">. </w:t>
            </w:r>
          </w:p>
        </w:tc>
      </w:tr>
      <w:tr w:rsidR="00F62DE2" w:rsidRPr="004E3F4A" w14:paraId="3F88AC9B" w14:textId="77777777" w:rsidTr="00A4725B">
        <w:trPr>
          <w:trHeight w:val="567"/>
        </w:trPr>
        <w:tc>
          <w:tcPr>
            <w:tcW w:w="1170" w:type="pct"/>
            <w:shd w:val="clear" w:color="auto" w:fill="auto"/>
            <w:hideMark/>
          </w:tcPr>
          <w:p w14:paraId="2A1F3042"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Saistītie dokumenti</w:t>
            </w:r>
          </w:p>
          <w:p w14:paraId="098B231B"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311BC643" w14:textId="2E75FC7A" w:rsidR="00F11CFF" w:rsidRPr="004E3F4A" w:rsidRDefault="00F11CFF" w:rsidP="009F2F3C">
            <w:pPr>
              <w:pStyle w:val="NApunkts2"/>
              <w:numPr>
                <w:ilvl w:val="0"/>
                <w:numId w:val="0"/>
              </w:numPr>
              <w:tabs>
                <w:tab w:val="left" w:pos="487"/>
              </w:tabs>
              <w:spacing w:after="120"/>
            </w:pPr>
            <w:r w:rsidRPr="004E3F4A">
              <w:t>Ar projektu saistītie dokumenti:</w:t>
            </w:r>
          </w:p>
          <w:p w14:paraId="65BCFE57" w14:textId="2458AF11" w:rsidR="00674B05" w:rsidRPr="004E3F4A" w:rsidRDefault="00AF4AB3" w:rsidP="00AE1B80">
            <w:pPr>
              <w:pStyle w:val="NApunkts2"/>
              <w:numPr>
                <w:ilvl w:val="0"/>
                <w:numId w:val="23"/>
              </w:numPr>
              <w:tabs>
                <w:tab w:val="left" w:pos="321"/>
              </w:tabs>
              <w:spacing w:after="120"/>
              <w:ind w:left="0" w:firstLine="0"/>
            </w:pPr>
            <w:r>
              <w:t>L</w:t>
            </w:r>
            <w:r w:rsidR="00BF1839" w:rsidRPr="004E3F4A">
              <w:t>ikums;</w:t>
            </w:r>
          </w:p>
          <w:p w14:paraId="050FB705" w14:textId="5179C75E" w:rsidR="00E53DE9" w:rsidRDefault="00C762C2" w:rsidP="00AE1B80">
            <w:pPr>
              <w:pStyle w:val="NApunkts2"/>
              <w:numPr>
                <w:ilvl w:val="0"/>
                <w:numId w:val="23"/>
              </w:numPr>
              <w:tabs>
                <w:tab w:val="left" w:pos="321"/>
              </w:tabs>
              <w:spacing w:after="120"/>
              <w:ind w:left="0" w:firstLine="0"/>
            </w:pPr>
            <w:r w:rsidRPr="004E3F4A">
              <w:t>Noteikumi Nr. </w:t>
            </w:r>
            <w:r w:rsidR="00D11139">
              <w:t>82</w:t>
            </w:r>
            <w:r w:rsidR="00BF1839" w:rsidRPr="004E3F4A">
              <w:t>;</w:t>
            </w:r>
          </w:p>
          <w:p w14:paraId="7298472F" w14:textId="65295618" w:rsidR="00D6751F" w:rsidRDefault="00D6751F" w:rsidP="00AE1B80">
            <w:pPr>
              <w:pStyle w:val="NApunkts2"/>
              <w:numPr>
                <w:ilvl w:val="0"/>
                <w:numId w:val="23"/>
              </w:numPr>
              <w:tabs>
                <w:tab w:val="left" w:pos="321"/>
              </w:tabs>
              <w:spacing w:after="120"/>
              <w:ind w:left="0" w:firstLine="0"/>
            </w:pPr>
            <w:r>
              <w:t>Noteikumi Nr.</w:t>
            </w:r>
            <w:r w:rsidR="00726E1C">
              <w:t> </w:t>
            </w:r>
            <w:r>
              <w:t>84;</w:t>
            </w:r>
          </w:p>
          <w:p w14:paraId="70469404" w14:textId="7DD8CBC1" w:rsidR="00D6751F" w:rsidRDefault="00977CE0" w:rsidP="00D6751F">
            <w:pPr>
              <w:pStyle w:val="NApunkts2"/>
              <w:numPr>
                <w:ilvl w:val="0"/>
                <w:numId w:val="23"/>
              </w:numPr>
              <w:tabs>
                <w:tab w:val="left" w:pos="336"/>
              </w:tabs>
              <w:spacing w:after="120"/>
              <w:ind w:left="0" w:firstLine="0"/>
            </w:pPr>
            <w:r>
              <w:rPr>
                <w:bCs/>
              </w:rPr>
              <w:t>D</w:t>
            </w:r>
            <w:r w:rsidRPr="0051578E">
              <w:rPr>
                <w:bCs/>
              </w:rPr>
              <w:t>irektīva</w:t>
            </w:r>
            <w:r w:rsidR="00726E1C">
              <w:rPr>
                <w:bCs/>
              </w:rPr>
              <w:t> </w:t>
            </w:r>
            <w:r w:rsidRPr="0051578E">
              <w:rPr>
                <w:bCs/>
              </w:rPr>
              <w:t>2014/92/ES</w:t>
            </w:r>
            <w:r w:rsidR="009C55BC">
              <w:rPr>
                <w:lang w:eastAsia="en-GB"/>
              </w:rPr>
              <w:t>;</w:t>
            </w:r>
          </w:p>
          <w:p w14:paraId="581A703A" w14:textId="010DA0AE" w:rsidR="009C55BC" w:rsidRDefault="00AF4AB3" w:rsidP="009C55BC">
            <w:pPr>
              <w:pStyle w:val="NApunkts2"/>
              <w:numPr>
                <w:ilvl w:val="0"/>
                <w:numId w:val="23"/>
              </w:numPr>
              <w:tabs>
                <w:tab w:val="left" w:pos="336"/>
              </w:tabs>
              <w:spacing w:after="120"/>
              <w:ind w:left="0" w:firstLine="0"/>
            </w:pPr>
            <w:r w:rsidRPr="00AF4AB3">
              <w:rPr>
                <w:lang w:eastAsia="en-GB"/>
              </w:rPr>
              <w:t>Regula</w:t>
            </w:r>
            <w:r w:rsidR="00726E1C">
              <w:rPr>
                <w:lang w:eastAsia="en-GB"/>
              </w:rPr>
              <w:t> </w:t>
            </w:r>
            <w:r w:rsidRPr="00AF4AB3">
              <w:rPr>
                <w:lang w:eastAsia="en-GB"/>
              </w:rPr>
              <w:t>2018/32</w:t>
            </w:r>
            <w:r w:rsidR="009C55BC">
              <w:rPr>
                <w:lang w:eastAsia="en-GB"/>
              </w:rPr>
              <w:t>;</w:t>
            </w:r>
          </w:p>
          <w:p w14:paraId="21E9DCA8" w14:textId="02D9E68A" w:rsidR="009C55BC" w:rsidRDefault="00AF4AB3" w:rsidP="009C55BC">
            <w:pPr>
              <w:pStyle w:val="NApunkts2"/>
              <w:numPr>
                <w:ilvl w:val="0"/>
                <w:numId w:val="23"/>
              </w:numPr>
              <w:tabs>
                <w:tab w:val="left" w:pos="336"/>
              </w:tabs>
              <w:spacing w:after="120"/>
              <w:ind w:left="0" w:firstLine="0"/>
            </w:pPr>
            <w:r w:rsidRPr="00AF4AB3">
              <w:t>Regula Nr.</w:t>
            </w:r>
            <w:r w:rsidR="00726E1C">
              <w:t> </w:t>
            </w:r>
            <w:r w:rsidRPr="00AF4AB3">
              <w:t>2018/33</w:t>
            </w:r>
            <w:r w:rsidR="009C55BC">
              <w:t>;</w:t>
            </w:r>
          </w:p>
          <w:p w14:paraId="39CE6F18" w14:textId="7C6DFFDE" w:rsidR="00D6751F" w:rsidRPr="004E3F4A" w:rsidRDefault="00AF4AB3" w:rsidP="009C55BC">
            <w:pPr>
              <w:pStyle w:val="NApunkts2"/>
              <w:numPr>
                <w:ilvl w:val="0"/>
                <w:numId w:val="23"/>
              </w:numPr>
              <w:tabs>
                <w:tab w:val="left" w:pos="336"/>
              </w:tabs>
              <w:spacing w:after="120"/>
              <w:ind w:left="0" w:firstLine="0"/>
            </w:pPr>
            <w:r w:rsidRPr="00AF4AB3">
              <w:rPr>
                <w:lang w:eastAsia="en-GB"/>
              </w:rPr>
              <w:t>Regula Nr.</w:t>
            </w:r>
            <w:r w:rsidR="00726E1C">
              <w:rPr>
                <w:lang w:eastAsia="en-GB"/>
              </w:rPr>
              <w:t> </w:t>
            </w:r>
            <w:r w:rsidRPr="00AF4AB3">
              <w:rPr>
                <w:lang w:eastAsia="en-GB"/>
              </w:rPr>
              <w:t>2018/34</w:t>
            </w:r>
            <w:r w:rsidR="009C55BC">
              <w:rPr>
                <w:lang w:eastAsia="en-GB"/>
              </w:rPr>
              <w:t>.</w:t>
            </w:r>
          </w:p>
        </w:tc>
      </w:tr>
      <w:tr w:rsidR="00F62DE2" w:rsidRPr="004E3F4A" w14:paraId="48A1FBA5" w14:textId="77777777" w:rsidTr="00A4725B">
        <w:trPr>
          <w:trHeight w:val="567"/>
        </w:trPr>
        <w:tc>
          <w:tcPr>
            <w:tcW w:w="1170" w:type="pct"/>
            <w:shd w:val="clear" w:color="auto" w:fill="auto"/>
            <w:hideMark/>
          </w:tcPr>
          <w:p w14:paraId="79529BAF"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Saskaņošana ar Eiropas Centrālo banku</w:t>
            </w:r>
          </w:p>
          <w:p w14:paraId="712B7F8F"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2CC97BE0" w14:textId="1067EE96" w:rsidR="00A42788" w:rsidRPr="004E3F4A" w:rsidRDefault="0062751E" w:rsidP="00F62DE2">
            <w:pPr>
              <w:spacing w:after="0" w:line="240" w:lineRule="auto"/>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Nav nepieciešama</w:t>
            </w:r>
            <w:r w:rsidR="00F62DE2" w:rsidRPr="004E3F4A">
              <w:rPr>
                <w:rFonts w:ascii="Times New Roman" w:eastAsia="Times New Roman" w:hAnsi="Times New Roman" w:cs="Times New Roman"/>
                <w:sz w:val="24"/>
                <w:szCs w:val="24"/>
                <w:lang w:eastAsia="lv-LV"/>
              </w:rPr>
              <w:t>.</w:t>
            </w:r>
          </w:p>
        </w:tc>
      </w:tr>
      <w:tr w:rsidR="00F62DE2" w:rsidRPr="004E3F4A" w14:paraId="1F40980D" w14:textId="77777777" w:rsidTr="00A4725B">
        <w:trPr>
          <w:trHeight w:val="567"/>
        </w:trPr>
        <w:tc>
          <w:tcPr>
            <w:tcW w:w="1170" w:type="pct"/>
            <w:shd w:val="clear" w:color="auto" w:fill="auto"/>
            <w:hideMark/>
          </w:tcPr>
          <w:p w14:paraId="093FB66C"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5387E3F2" w14:textId="5E3AAB23" w:rsidR="00BC43FC" w:rsidRPr="004E3F4A" w:rsidRDefault="00035C9E" w:rsidP="00580BC4">
            <w:pPr>
              <w:spacing w:after="12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lang w:eastAsia="lv-LV"/>
              </w:rPr>
              <w:t>P</w:t>
            </w:r>
            <w:r w:rsidR="00580BC4" w:rsidRPr="00580BC4">
              <w:rPr>
                <w:rFonts w:ascii="Times New Roman" w:hAnsi="Times New Roman" w:cs="Times New Roman"/>
                <w:sz w:val="24"/>
                <w:szCs w:val="24"/>
                <w:lang w:eastAsia="lv-LV"/>
              </w:rPr>
              <w:t>rojekts tika publicēts Latvijas Bankas tīmekļvietnes www.bank.lv sadaļas "Tiesību akti" apakšsadaļā "Sabiedrības līdzdalība", un sabiedrībai līdz 2024.</w:t>
            </w:r>
            <w:r w:rsidR="008B25D0">
              <w:rPr>
                <w:rFonts w:ascii="Times New Roman" w:hAnsi="Times New Roman" w:cs="Times New Roman"/>
                <w:sz w:val="24"/>
                <w:szCs w:val="24"/>
                <w:lang w:eastAsia="lv-LV"/>
              </w:rPr>
              <w:t> </w:t>
            </w:r>
            <w:r w:rsidR="00580BC4" w:rsidRPr="00580BC4">
              <w:rPr>
                <w:rFonts w:ascii="Times New Roman" w:hAnsi="Times New Roman" w:cs="Times New Roman"/>
                <w:sz w:val="24"/>
                <w:szCs w:val="24"/>
                <w:lang w:eastAsia="lv-LV"/>
              </w:rPr>
              <w:t xml:space="preserve">gada </w:t>
            </w:r>
            <w:r w:rsidR="00580BC4">
              <w:rPr>
                <w:rFonts w:ascii="Times New Roman" w:hAnsi="Times New Roman" w:cs="Times New Roman"/>
                <w:sz w:val="24"/>
                <w:szCs w:val="24"/>
                <w:lang w:eastAsia="lv-LV"/>
              </w:rPr>
              <w:t>28.</w:t>
            </w:r>
            <w:r w:rsidR="008B25D0">
              <w:rPr>
                <w:rFonts w:ascii="Times New Roman" w:hAnsi="Times New Roman" w:cs="Times New Roman"/>
                <w:sz w:val="24"/>
                <w:szCs w:val="24"/>
                <w:lang w:eastAsia="lv-LV"/>
              </w:rPr>
              <w:t> </w:t>
            </w:r>
            <w:r w:rsidR="00580BC4">
              <w:rPr>
                <w:rFonts w:ascii="Times New Roman" w:hAnsi="Times New Roman" w:cs="Times New Roman"/>
                <w:sz w:val="24"/>
                <w:szCs w:val="24"/>
                <w:lang w:eastAsia="lv-LV"/>
              </w:rPr>
              <w:t>februārim</w:t>
            </w:r>
            <w:r w:rsidR="00580BC4" w:rsidRPr="00580BC4">
              <w:rPr>
                <w:rFonts w:ascii="Times New Roman" w:hAnsi="Times New Roman" w:cs="Times New Roman"/>
                <w:sz w:val="24"/>
                <w:szCs w:val="24"/>
                <w:lang w:eastAsia="lv-LV"/>
              </w:rPr>
              <w:t xml:space="preserve"> bija iespēja iesaistīties tā apspriešanā. Vienlaikus par projektu un notiekošo sabiedrības līdzdalību tika informēta Latvijas Maksājumu pakalpojumu un elektroniskās naudas iestāžu asociācija,</w:t>
            </w:r>
            <w:r w:rsidR="008B25D0">
              <w:rPr>
                <w:rFonts w:ascii="Times New Roman" w:hAnsi="Times New Roman" w:cs="Times New Roman"/>
                <w:sz w:val="24"/>
                <w:szCs w:val="24"/>
                <w:lang w:eastAsia="lv-LV"/>
              </w:rPr>
              <w:t xml:space="preserve"> Latvijas</w:t>
            </w:r>
            <w:r w:rsidR="00580BC4" w:rsidRPr="00580BC4">
              <w:rPr>
                <w:rFonts w:ascii="Times New Roman" w:hAnsi="Times New Roman" w:cs="Times New Roman"/>
                <w:sz w:val="24"/>
                <w:szCs w:val="24"/>
                <w:lang w:eastAsia="lv-LV"/>
              </w:rPr>
              <w:t xml:space="preserve"> Finanšu nozares asociācija un </w:t>
            </w:r>
            <w:r w:rsidR="008B25D0">
              <w:rPr>
                <w:rFonts w:ascii="Times New Roman" w:hAnsi="Times New Roman" w:cs="Times New Roman"/>
                <w:sz w:val="24"/>
                <w:szCs w:val="24"/>
                <w:lang w:eastAsia="lv-LV"/>
              </w:rPr>
              <w:t>akciju sabiedrība</w:t>
            </w:r>
            <w:r w:rsidR="00580BC4" w:rsidRPr="00580BC4">
              <w:rPr>
                <w:rFonts w:ascii="Times New Roman" w:hAnsi="Times New Roman" w:cs="Times New Roman"/>
                <w:sz w:val="24"/>
                <w:szCs w:val="24"/>
                <w:lang w:eastAsia="lv-LV"/>
              </w:rPr>
              <w:t xml:space="preserve"> ''Rietumu </w:t>
            </w:r>
            <w:r w:rsidR="008B25D0">
              <w:rPr>
                <w:rFonts w:ascii="Times New Roman" w:hAnsi="Times New Roman" w:cs="Times New Roman"/>
                <w:sz w:val="24"/>
                <w:szCs w:val="24"/>
                <w:lang w:eastAsia="lv-LV"/>
              </w:rPr>
              <w:t>B</w:t>
            </w:r>
            <w:r w:rsidR="00580BC4" w:rsidRPr="00580BC4">
              <w:rPr>
                <w:rFonts w:ascii="Times New Roman" w:hAnsi="Times New Roman" w:cs="Times New Roman"/>
                <w:sz w:val="24"/>
                <w:szCs w:val="24"/>
                <w:lang w:eastAsia="lv-LV"/>
              </w:rPr>
              <w:t>anka'</w:t>
            </w:r>
            <w:r w:rsidR="00580BC4">
              <w:rPr>
                <w:rFonts w:ascii="Times New Roman" w:hAnsi="Times New Roman" w:cs="Times New Roman"/>
                <w:sz w:val="24"/>
                <w:szCs w:val="24"/>
                <w:lang w:eastAsia="lv-LV"/>
              </w:rPr>
              <w:t>'</w:t>
            </w:r>
            <w:r w:rsidR="00580BC4" w:rsidRPr="00580BC4">
              <w:rPr>
                <w:rFonts w:ascii="Times New Roman" w:hAnsi="Times New Roman" w:cs="Times New Roman"/>
                <w:sz w:val="24"/>
                <w:szCs w:val="24"/>
                <w:lang w:eastAsia="lv-LV"/>
              </w:rPr>
              <w:t xml:space="preserve">. Komentāri no </w:t>
            </w:r>
            <w:r w:rsidR="008B25D0">
              <w:rPr>
                <w:rFonts w:ascii="Times New Roman" w:hAnsi="Times New Roman" w:cs="Times New Roman"/>
                <w:sz w:val="24"/>
                <w:szCs w:val="24"/>
                <w:lang w:eastAsia="lv-LV"/>
              </w:rPr>
              <w:t>akciju sabiedrības</w:t>
            </w:r>
            <w:r w:rsidR="008B25D0" w:rsidRPr="00580BC4">
              <w:rPr>
                <w:rFonts w:ascii="Times New Roman" w:hAnsi="Times New Roman" w:cs="Times New Roman"/>
                <w:sz w:val="24"/>
                <w:szCs w:val="24"/>
                <w:lang w:eastAsia="lv-LV"/>
              </w:rPr>
              <w:t xml:space="preserve"> </w:t>
            </w:r>
            <w:r w:rsidR="00580BC4" w:rsidRPr="00580BC4">
              <w:rPr>
                <w:rFonts w:ascii="Times New Roman" w:hAnsi="Times New Roman" w:cs="Times New Roman"/>
                <w:sz w:val="24"/>
                <w:szCs w:val="24"/>
                <w:lang w:eastAsia="lv-LV"/>
              </w:rPr>
              <w:t>''Rietumu banka''</w:t>
            </w:r>
            <w:r w:rsidR="00580BC4">
              <w:rPr>
                <w:rFonts w:ascii="Times New Roman" w:hAnsi="Times New Roman" w:cs="Times New Roman"/>
                <w:sz w:val="24"/>
                <w:szCs w:val="24"/>
                <w:lang w:eastAsia="lv-LV"/>
              </w:rPr>
              <w:t xml:space="preserve"> </w:t>
            </w:r>
            <w:r w:rsidR="00580BC4" w:rsidRPr="00580BC4">
              <w:rPr>
                <w:rFonts w:ascii="Times New Roman" w:hAnsi="Times New Roman" w:cs="Times New Roman"/>
                <w:sz w:val="24"/>
                <w:szCs w:val="24"/>
                <w:lang w:eastAsia="lv-LV"/>
              </w:rPr>
              <w:t>tika saņemti 2024.</w:t>
            </w:r>
            <w:r w:rsidR="008B25D0">
              <w:rPr>
                <w:rFonts w:ascii="Times New Roman" w:hAnsi="Times New Roman" w:cs="Times New Roman"/>
                <w:sz w:val="24"/>
                <w:szCs w:val="24"/>
                <w:lang w:eastAsia="lv-LV"/>
              </w:rPr>
              <w:t> </w:t>
            </w:r>
            <w:r w:rsidR="00580BC4" w:rsidRPr="00580BC4">
              <w:rPr>
                <w:rFonts w:ascii="Times New Roman" w:hAnsi="Times New Roman" w:cs="Times New Roman"/>
                <w:sz w:val="24"/>
                <w:szCs w:val="24"/>
                <w:lang w:eastAsia="lv-LV"/>
              </w:rPr>
              <w:t xml:space="preserve">gada </w:t>
            </w:r>
            <w:r w:rsidR="00580BC4">
              <w:rPr>
                <w:rFonts w:ascii="Times New Roman" w:hAnsi="Times New Roman" w:cs="Times New Roman"/>
                <w:sz w:val="24"/>
                <w:szCs w:val="24"/>
                <w:lang w:eastAsia="lv-LV"/>
              </w:rPr>
              <w:t>29.</w:t>
            </w:r>
            <w:r w:rsidR="008B25D0">
              <w:rPr>
                <w:rFonts w:ascii="Times New Roman" w:hAnsi="Times New Roman" w:cs="Times New Roman"/>
                <w:sz w:val="24"/>
                <w:szCs w:val="24"/>
                <w:lang w:eastAsia="lv-LV"/>
              </w:rPr>
              <w:t> </w:t>
            </w:r>
            <w:r w:rsidR="00580BC4">
              <w:rPr>
                <w:rFonts w:ascii="Times New Roman" w:hAnsi="Times New Roman" w:cs="Times New Roman"/>
                <w:sz w:val="24"/>
                <w:szCs w:val="24"/>
                <w:lang w:eastAsia="lv-LV"/>
              </w:rPr>
              <w:t>februārī, pēc sabiedrības apspriešanas termiņa beigām</w:t>
            </w:r>
            <w:r w:rsidR="00580BC4" w:rsidRPr="00580BC4">
              <w:rPr>
                <w:rFonts w:ascii="Times New Roman" w:hAnsi="Times New Roman" w:cs="Times New Roman"/>
                <w:sz w:val="24"/>
                <w:szCs w:val="24"/>
                <w:lang w:eastAsia="lv-LV"/>
              </w:rPr>
              <w:t>.</w:t>
            </w:r>
          </w:p>
        </w:tc>
      </w:tr>
      <w:tr w:rsidR="00F62DE2" w:rsidRPr="004E3F4A" w14:paraId="542C6B80" w14:textId="77777777" w:rsidTr="00A4725B">
        <w:trPr>
          <w:trHeight w:val="567"/>
        </w:trPr>
        <w:tc>
          <w:tcPr>
            <w:tcW w:w="1170" w:type="pct"/>
            <w:shd w:val="clear" w:color="auto" w:fill="auto"/>
            <w:hideMark/>
          </w:tcPr>
          <w:p w14:paraId="0C15FC19"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Saskaņošanas rezultāti</w:t>
            </w:r>
          </w:p>
          <w:p w14:paraId="42750899"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830" w:type="pct"/>
            <w:shd w:val="clear" w:color="auto" w:fill="auto"/>
          </w:tcPr>
          <w:p w14:paraId="1ED7B44B" w14:textId="56C150D7" w:rsidR="00515473" w:rsidRPr="004E3F4A" w:rsidRDefault="00580BC4" w:rsidP="00AE1B80">
            <w:pPr>
              <w:spacing w:after="120" w:line="240" w:lineRule="auto"/>
              <w:jc w:val="both"/>
              <w:rPr>
                <w:rFonts w:ascii="Times New Roman" w:eastAsia="Times New Roman" w:hAnsi="Times New Roman" w:cs="Times New Roman"/>
                <w:sz w:val="24"/>
                <w:szCs w:val="24"/>
                <w:lang w:eastAsia="lv-LV"/>
              </w:rPr>
            </w:pPr>
            <w:r w:rsidRPr="00580BC4">
              <w:rPr>
                <w:rFonts w:ascii="Times New Roman" w:eastAsia="Times New Roman" w:hAnsi="Times New Roman" w:cs="Times New Roman"/>
                <w:sz w:val="24"/>
                <w:szCs w:val="24"/>
                <w:lang w:eastAsia="lv-LV"/>
              </w:rPr>
              <w:t xml:space="preserve">Latvijas Banka ir iepazinusies ar </w:t>
            </w:r>
            <w:r w:rsidR="008B25D0">
              <w:rPr>
                <w:rFonts w:ascii="Times New Roman" w:eastAsia="Times New Roman" w:hAnsi="Times New Roman" w:cs="Times New Roman"/>
                <w:sz w:val="24"/>
                <w:szCs w:val="24"/>
                <w:lang w:eastAsia="lv-LV"/>
              </w:rPr>
              <w:t>akciju sabiedrības</w:t>
            </w:r>
            <w:r w:rsidRPr="00580BC4">
              <w:rPr>
                <w:rFonts w:ascii="Times New Roman" w:eastAsia="Times New Roman" w:hAnsi="Times New Roman" w:cs="Times New Roman"/>
                <w:sz w:val="24"/>
                <w:szCs w:val="24"/>
                <w:lang w:eastAsia="lv-LV"/>
              </w:rPr>
              <w:t xml:space="preserve"> ''Rietumu </w:t>
            </w:r>
            <w:r w:rsidR="008B25D0">
              <w:rPr>
                <w:rFonts w:ascii="Times New Roman" w:eastAsia="Times New Roman" w:hAnsi="Times New Roman" w:cs="Times New Roman"/>
                <w:sz w:val="24"/>
                <w:szCs w:val="24"/>
                <w:lang w:eastAsia="lv-LV"/>
              </w:rPr>
              <w:t>B</w:t>
            </w:r>
            <w:r w:rsidRPr="00580BC4">
              <w:rPr>
                <w:rFonts w:ascii="Times New Roman" w:eastAsia="Times New Roman" w:hAnsi="Times New Roman" w:cs="Times New Roman"/>
                <w:sz w:val="24"/>
                <w:szCs w:val="24"/>
                <w:lang w:eastAsia="lv-LV"/>
              </w:rPr>
              <w:t>anka'' komentāriem par projektu un sniegusi viedokli, kas iekļauts projekta anotācijas pielikumā</w:t>
            </w:r>
            <w:r w:rsidR="008B25D0">
              <w:rPr>
                <w:rFonts w:ascii="Times New Roman" w:eastAsia="Times New Roman" w:hAnsi="Times New Roman" w:cs="Times New Roman"/>
                <w:sz w:val="24"/>
                <w:szCs w:val="24"/>
                <w:lang w:eastAsia="lv-LV"/>
              </w:rPr>
              <w:t xml:space="preserve"> Nr. 2</w:t>
            </w:r>
            <w:r w:rsidRPr="00580BC4">
              <w:rPr>
                <w:rFonts w:ascii="Times New Roman" w:eastAsia="Times New Roman" w:hAnsi="Times New Roman" w:cs="Times New Roman"/>
                <w:sz w:val="24"/>
                <w:szCs w:val="24"/>
                <w:lang w:eastAsia="lv-LV"/>
              </w:rPr>
              <w:t>.</w:t>
            </w:r>
          </w:p>
        </w:tc>
      </w:tr>
    </w:tbl>
    <w:p w14:paraId="6C17CC46" w14:textId="77777777" w:rsidR="00C23BE8" w:rsidRDefault="00C23BE8" w:rsidP="00E32A21">
      <w:pPr>
        <w:spacing w:after="0" w:line="240" w:lineRule="auto"/>
        <w:rPr>
          <w:rFonts w:ascii="Times New Roman" w:hAnsi="Times New Roman" w:cs="Times New Roman"/>
          <w:sz w:val="24"/>
          <w:szCs w:val="24"/>
        </w:rPr>
        <w:sectPr w:rsidR="00C23BE8" w:rsidSect="00E37D1E">
          <w:headerReference w:type="default" r:id="rId12"/>
          <w:pgSz w:w="11906" w:h="16838" w:code="9"/>
          <w:pgMar w:top="1134" w:right="1134" w:bottom="1134" w:left="1701" w:header="709" w:footer="709" w:gutter="0"/>
          <w:cols w:space="708"/>
          <w:titlePg/>
          <w:docGrid w:linePitch="360"/>
        </w:sectPr>
      </w:pPr>
    </w:p>
    <w:p w14:paraId="0753FC10" w14:textId="0D70960C" w:rsidR="0005256F" w:rsidRDefault="0005256F" w:rsidP="00C23BE8">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Pielikums</w:t>
      </w:r>
      <w:r w:rsidR="00373C71">
        <w:rPr>
          <w:rFonts w:ascii="Times New Roman" w:hAnsi="Times New Roman" w:cs="Times New Roman"/>
          <w:color w:val="000000" w:themeColor="text1"/>
          <w:sz w:val="24"/>
          <w:szCs w:val="24"/>
        </w:rPr>
        <w:t xml:space="preserve"> Nr.</w:t>
      </w:r>
      <w:r w:rsidR="008B25D0">
        <w:rPr>
          <w:rFonts w:ascii="Times New Roman" w:hAnsi="Times New Roman" w:cs="Times New Roman"/>
          <w:color w:val="000000" w:themeColor="text1"/>
          <w:sz w:val="24"/>
          <w:szCs w:val="24"/>
        </w:rPr>
        <w:t> </w:t>
      </w:r>
      <w:r w:rsidR="00373C71">
        <w:rPr>
          <w:rFonts w:ascii="Times New Roman" w:hAnsi="Times New Roman" w:cs="Times New Roman"/>
          <w:color w:val="000000" w:themeColor="text1"/>
          <w:sz w:val="24"/>
          <w:szCs w:val="24"/>
        </w:rPr>
        <w:t>1</w:t>
      </w:r>
    </w:p>
    <w:p w14:paraId="4473720E" w14:textId="7FF223CA" w:rsidR="00C23BE8" w:rsidRPr="00C23BE8" w:rsidRDefault="00C23BE8" w:rsidP="00C23BE8">
      <w:pPr>
        <w:spacing w:after="0" w:line="240" w:lineRule="auto"/>
        <w:jc w:val="right"/>
        <w:rPr>
          <w:rFonts w:ascii="Times New Roman" w:hAnsi="Times New Roman" w:cs="Times New Roman"/>
          <w:color w:val="000000" w:themeColor="text1"/>
          <w:sz w:val="24"/>
          <w:szCs w:val="24"/>
        </w:rPr>
      </w:pPr>
      <w:r w:rsidRPr="00C23BE8">
        <w:rPr>
          <w:rFonts w:ascii="Times New Roman" w:hAnsi="Times New Roman" w:cs="Times New Roman"/>
          <w:color w:val="000000" w:themeColor="text1"/>
          <w:sz w:val="24"/>
          <w:szCs w:val="24"/>
        </w:rPr>
        <w:t>Latvijas Bankas noteikumu projekta anotācijai</w:t>
      </w:r>
    </w:p>
    <w:p w14:paraId="1BEB50F0" w14:textId="77777777" w:rsidR="00C23BE8" w:rsidRPr="00C23BE8" w:rsidRDefault="00C23BE8" w:rsidP="00C23BE8">
      <w:pPr>
        <w:jc w:val="right"/>
        <w:rPr>
          <w:rFonts w:ascii="Times New Roman" w:hAnsi="Times New Roman" w:cs="Times New Roman"/>
          <w:color w:val="000000" w:themeColor="text1"/>
          <w:sz w:val="24"/>
          <w:szCs w:val="24"/>
        </w:rPr>
      </w:pPr>
    </w:p>
    <w:p w14:paraId="2D8CD677" w14:textId="77777777" w:rsidR="00C23BE8" w:rsidRPr="00C23BE8" w:rsidRDefault="00C23BE8" w:rsidP="00C23BE8">
      <w:pPr>
        <w:jc w:val="center"/>
        <w:rPr>
          <w:rFonts w:ascii="Times New Roman" w:hAnsi="Times New Roman" w:cs="Times New Roman"/>
          <w:b/>
          <w:color w:val="000000" w:themeColor="text1"/>
          <w:sz w:val="24"/>
          <w:szCs w:val="24"/>
        </w:rPr>
      </w:pPr>
      <w:r w:rsidRPr="00C23BE8">
        <w:rPr>
          <w:rFonts w:ascii="Times New Roman" w:hAnsi="Times New Roman" w:cs="Times New Roman"/>
          <w:b/>
          <w:color w:val="000000" w:themeColor="text1"/>
          <w:sz w:val="24"/>
          <w:szCs w:val="24"/>
        </w:rPr>
        <w:t>Eiropas Savienības tiesību aktu pārņemšanas/ieviešanas tabula</w:t>
      </w:r>
    </w:p>
    <w:p w14:paraId="660413C9" w14:textId="24C0B13A" w:rsidR="00C23BE8" w:rsidRPr="00C23BE8" w:rsidRDefault="00C23BE8" w:rsidP="00C23BE8">
      <w:pPr>
        <w:jc w:val="both"/>
        <w:rPr>
          <w:rFonts w:ascii="Times New Roman" w:hAnsi="Times New Roman" w:cs="Times New Roman"/>
          <w:bCs/>
          <w:color w:val="000000" w:themeColor="text1"/>
          <w:sz w:val="24"/>
          <w:szCs w:val="24"/>
        </w:rPr>
      </w:pPr>
      <w:r w:rsidRPr="00C23BE8">
        <w:rPr>
          <w:rFonts w:ascii="Times New Roman" w:hAnsi="Times New Roman" w:cs="Times New Roman"/>
          <w:b/>
          <w:color w:val="000000" w:themeColor="text1"/>
          <w:sz w:val="24"/>
          <w:szCs w:val="24"/>
        </w:rPr>
        <w:t xml:space="preserve">Latvijas Bankas noteikumu projekta nosaukums: </w:t>
      </w:r>
      <w:r w:rsidR="00AD4D54" w:rsidRPr="00783A42">
        <w:rPr>
          <w:rFonts w:ascii="Times New Roman" w:hAnsi="Times New Roman" w:cs="Times New Roman"/>
          <w:bCs/>
          <w:color w:val="000000" w:themeColor="text1"/>
          <w:sz w:val="24"/>
          <w:szCs w:val="24"/>
        </w:rPr>
        <w:t>''</w:t>
      </w:r>
      <w:r w:rsidR="00783A42" w:rsidRPr="00783A42">
        <w:rPr>
          <w:rFonts w:ascii="Times New Roman" w:hAnsi="Times New Roman" w:cs="Times New Roman"/>
          <w:bCs/>
          <w:color w:val="000000" w:themeColor="text1"/>
          <w:sz w:val="24"/>
          <w:szCs w:val="24"/>
        </w:rPr>
        <w:t>Minimālās prasības</w:t>
      </w:r>
      <w:r w:rsidR="00783A42">
        <w:rPr>
          <w:rFonts w:ascii="Times New Roman" w:hAnsi="Times New Roman" w:cs="Times New Roman"/>
          <w:b/>
          <w:color w:val="000000" w:themeColor="text1"/>
          <w:sz w:val="24"/>
          <w:szCs w:val="24"/>
        </w:rPr>
        <w:t xml:space="preserve"> </w:t>
      </w:r>
      <w:r w:rsidR="00783A42">
        <w:rPr>
          <w:rFonts w:ascii="Times New Roman" w:hAnsi="Times New Roman" w:cs="Times New Roman"/>
          <w:bCs/>
          <w:color w:val="000000" w:themeColor="text1"/>
          <w:sz w:val="24"/>
          <w:szCs w:val="24"/>
        </w:rPr>
        <w:t>a</w:t>
      </w:r>
      <w:r w:rsidR="00AD4D54" w:rsidRPr="00AD4D54">
        <w:rPr>
          <w:rFonts w:ascii="Times New Roman" w:hAnsi="Times New Roman" w:cs="Times New Roman"/>
          <w:bCs/>
          <w:color w:val="000000" w:themeColor="text1"/>
          <w:sz w:val="24"/>
          <w:szCs w:val="24"/>
        </w:rPr>
        <w:t>r maksājumu kontu saistīto pakalpojumu cenrā</w:t>
      </w:r>
      <w:r w:rsidR="00783A42">
        <w:rPr>
          <w:rFonts w:ascii="Times New Roman" w:hAnsi="Times New Roman" w:cs="Times New Roman"/>
          <w:bCs/>
          <w:color w:val="000000" w:themeColor="text1"/>
          <w:sz w:val="24"/>
          <w:szCs w:val="24"/>
        </w:rPr>
        <w:t>dim</w:t>
      </w:r>
      <w:r w:rsidR="00AD4D54" w:rsidRPr="00AD4D54">
        <w:rPr>
          <w:rFonts w:ascii="Times New Roman" w:hAnsi="Times New Roman" w:cs="Times New Roman"/>
          <w:bCs/>
          <w:color w:val="000000" w:themeColor="text1"/>
          <w:sz w:val="24"/>
          <w:szCs w:val="24"/>
        </w:rPr>
        <w:t xml:space="preserve"> un pakalpojumu maksas pārskata</w:t>
      </w:r>
      <w:r w:rsidR="00783A42">
        <w:rPr>
          <w:rFonts w:ascii="Times New Roman" w:hAnsi="Times New Roman" w:cs="Times New Roman"/>
          <w:bCs/>
          <w:color w:val="000000" w:themeColor="text1"/>
          <w:sz w:val="24"/>
          <w:szCs w:val="24"/>
        </w:rPr>
        <w:t>m</w:t>
      </w:r>
      <w:r w:rsidR="00AD4D54">
        <w:rPr>
          <w:rFonts w:ascii="Times New Roman" w:hAnsi="Times New Roman" w:cs="Times New Roman"/>
          <w:bCs/>
          <w:color w:val="000000" w:themeColor="text1"/>
          <w:sz w:val="24"/>
          <w:szCs w:val="24"/>
        </w:rPr>
        <w:t>''</w:t>
      </w:r>
      <w:r w:rsidR="00AD4D54" w:rsidRPr="00AD4D54">
        <w:rPr>
          <w:rFonts w:ascii="Times New Roman" w:hAnsi="Times New Roman" w:cs="Times New Roman"/>
          <w:bCs/>
          <w:color w:val="000000" w:themeColor="text1"/>
          <w:sz w:val="24"/>
          <w:szCs w:val="24"/>
        </w:rPr>
        <w:t xml:space="preserve"> </w:t>
      </w:r>
      <w:r w:rsidRPr="00C23BE8">
        <w:rPr>
          <w:rFonts w:ascii="Times New Roman" w:eastAsia="Times New Roman" w:hAnsi="Times New Roman" w:cs="Times New Roman"/>
          <w:sz w:val="24"/>
          <w:szCs w:val="24"/>
          <w:lang w:eastAsia="lv-LV"/>
        </w:rPr>
        <w:t>(turpmāk</w:t>
      </w:r>
      <w:r w:rsidR="008B25D0">
        <w:rPr>
          <w:rFonts w:ascii="Times New Roman" w:eastAsia="Times New Roman" w:hAnsi="Times New Roman" w:cs="Times New Roman"/>
          <w:sz w:val="24"/>
          <w:szCs w:val="24"/>
          <w:lang w:eastAsia="lv-LV"/>
        </w:rPr>
        <w:t> </w:t>
      </w:r>
      <w:r w:rsidRPr="00C23BE8">
        <w:rPr>
          <w:rFonts w:ascii="Times New Roman" w:eastAsia="Times New Roman" w:hAnsi="Times New Roman" w:cs="Times New Roman"/>
          <w:sz w:val="24"/>
          <w:szCs w:val="24"/>
          <w:lang w:eastAsia="lv-LV"/>
        </w:rPr>
        <w:t>– projekts)</w:t>
      </w:r>
    </w:p>
    <w:p w14:paraId="5D653837" w14:textId="7B9DD824" w:rsidR="00AD4D54" w:rsidRDefault="00C23BE8" w:rsidP="00C23BE8">
      <w:pPr>
        <w:jc w:val="both"/>
        <w:rPr>
          <w:rFonts w:ascii="Times New Roman" w:hAnsi="Times New Roman" w:cs="Times New Roman"/>
          <w:sz w:val="24"/>
          <w:szCs w:val="24"/>
        </w:rPr>
      </w:pPr>
      <w:r w:rsidRPr="00C23BE8">
        <w:rPr>
          <w:rFonts w:ascii="Times New Roman" w:hAnsi="Times New Roman" w:cs="Times New Roman"/>
          <w:b/>
          <w:color w:val="000000" w:themeColor="text1"/>
          <w:sz w:val="24"/>
          <w:szCs w:val="24"/>
        </w:rPr>
        <w:t>Eiropas Savienības tiesību akta nosaukums:</w:t>
      </w:r>
      <w:r w:rsidRPr="00C23BE8">
        <w:rPr>
          <w:rFonts w:ascii="Times New Roman" w:hAnsi="Times New Roman" w:cs="Times New Roman"/>
          <w:sz w:val="24"/>
          <w:szCs w:val="24"/>
        </w:rPr>
        <w:t xml:space="preserve"> </w:t>
      </w:r>
      <w:r w:rsidR="00767AEC" w:rsidRPr="00767AEC">
        <w:rPr>
          <w:rFonts w:ascii="Times New Roman" w:hAnsi="Times New Roman" w:cs="Times New Roman"/>
          <w:sz w:val="24"/>
          <w:szCs w:val="24"/>
        </w:rPr>
        <w:t>Eiropas Parlamenta un Padomes Eiropas Parlamenta un Padomes 2014.</w:t>
      </w:r>
      <w:r w:rsidR="00783A42">
        <w:rPr>
          <w:rFonts w:ascii="Times New Roman" w:hAnsi="Times New Roman" w:cs="Times New Roman"/>
          <w:sz w:val="24"/>
          <w:szCs w:val="24"/>
        </w:rPr>
        <w:t> </w:t>
      </w:r>
      <w:r w:rsidR="00767AEC" w:rsidRPr="00767AEC">
        <w:rPr>
          <w:rFonts w:ascii="Times New Roman" w:hAnsi="Times New Roman" w:cs="Times New Roman"/>
          <w:sz w:val="24"/>
          <w:szCs w:val="24"/>
        </w:rPr>
        <w:t>gada 23.</w:t>
      </w:r>
      <w:r w:rsidR="00783A42">
        <w:rPr>
          <w:rFonts w:ascii="Times New Roman" w:hAnsi="Times New Roman" w:cs="Times New Roman"/>
          <w:sz w:val="24"/>
          <w:szCs w:val="24"/>
        </w:rPr>
        <w:t> </w:t>
      </w:r>
      <w:r w:rsidR="00767AEC" w:rsidRPr="00767AEC">
        <w:rPr>
          <w:rFonts w:ascii="Times New Roman" w:hAnsi="Times New Roman" w:cs="Times New Roman"/>
          <w:sz w:val="24"/>
          <w:szCs w:val="24"/>
        </w:rPr>
        <w:t xml:space="preserve">jūlija </w:t>
      </w:r>
      <w:r w:rsidR="00783A42">
        <w:rPr>
          <w:rFonts w:ascii="Times New Roman" w:hAnsi="Times New Roman" w:cs="Times New Roman"/>
          <w:sz w:val="24"/>
          <w:szCs w:val="24"/>
        </w:rPr>
        <w:t>d</w:t>
      </w:r>
      <w:r w:rsidR="00767AEC" w:rsidRPr="00767AEC">
        <w:rPr>
          <w:rFonts w:ascii="Times New Roman" w:hAnsi="Times New Roman" w:cs="Times New Roman"/>
          <w:sz w:val="24"/>
          <w:szCs w:val="24"/>
        </w:rPr>
        <w:t>irektīva</w:t>
      </w:r>
      <w:r w:rsidR="0005256F">
        <w:rPr>
          <w:rFonts w:ascii="Times New Roman" w:hAnsi="Times New Roman" w:cs="Times New Roman"/>
          <w:sz w:val="24"/>
          <w:szCs w:val="24"/>
        </w:rPr>
        <w:t> </w:t>
      </w:r>
      <w:r w:rsidR="00767AEC" w:rsidRPr="00767AEC">
        <w:rPr>
          <w:rFonts w:ascii="Times New Roman" w:hAnsi="Times New Roman" w:cs="Times New Roman"/>
          <w:sz w:val="24"/>
          <w:szCs w:val="24"/>
        </w:rPr>
        <w:t>2014/92/ES par maksājumu kontu tarifu salīdzināmību, maksājumu kontu maiņu un piekļuvi maksājumu kontiem ar pamatfunkcijām (turpmāk</w:t>
      </w:r>
      <w:r w:rsidR="00783A42">
        <w:rPr>
          <w:rFonts w:ascii="Times New Roman" w:hAnsi="Times New Roman" w:cs="Times New Roman"/>
          <w:sz w:val="24"/>
          <w:szCs w:val="24"/>
        </w:rPr>
        <w:t> </w:t>
      </w:r>
      <w:r w:rsidR="00767AEC" w:rsidRPr="00767AEC">
        <w:rPr>
          <w:rFonts w:ascii="Times New Roman" w:hAnsi="Times New Roman" w:cs="Times New Roman"/>
          <w:sz w:val="24"/>
          <w:szCs w:val="24"/>
        </w:rPr>
        <w:t>– Direktīva Nr.</w:t>
      </w:r>
      <w:r w:rsidR="008B25D0">
        <w:rPr>
          <w:rFonts w:ascii="Times New Roman" w:hAnsi="Times New Roman" w:cs="Times New Roman"/>
          <w:sz w:val="24"/>
          <w:szCs w:val="24"/>
        </w:rPr>
        <w:t> </w:t>
      </w:r>
      <w:r w:rsidR="00767AEC" w:rsidRPr="00767AEC">
        <w:rPr>
          <w:rFonts w:ascii="Times New Roman" w:hAnsi="Times New Roman" w:cs="Times New Roman"/>
          <w:sz w:val="24"/>
          <w:szCs w:val="24"/>
        </w:rPr>
        <w:t>2014/92)</w:t>
      </w:r>
    </w:p>
    <w:tbl>
      <w:tblPr>
        <w:tblStyle w:val="TableGrid"/>
        <w:tblW w:w="14786" w:type="dxa"/>
        <w:tblLook w:val="04A0" w:firstRow="1" w:lastRow="0" w:firstColumn="1" w:lastColumn="0" w:noHBand="0" w:noVBand="1"/>
      </w:tblPr>
      <w:tblGrid>
        <w:gridCol w:w="2088"/>
        <w:gridCol w:w="2358"/>
        <w:gridCol w:w="2579"/>
        <w:gridCol w:w="2604"/>
        <w:gridCol w:w="2822"/>
        <w:gridCol w:w="2335"/>
      </w:tblGrid>
      <w:tr w:rsidR="00767AEC" w:rsidRPr="00C23BE8" w14:paraId="3A3C471B" w14:textId="77777777" w:rsidTr="000C4502">
        <w:tc>
          <w:tcPr>
            <w:tcW w:w="2088" w:type="dxa"/>
          </w:tcPr>
          <w:p w14:paraId="11EF22E0" w14:textId="77777777" w:rsidR="00767AEC" w:rsidRPr="00C23BE8" w:rsidRDefault="00767AEC" w:rsidP="0095342B">
            <w:pPr>
              <w:jc w:val="center"/>
              <w:rPr>
                <w:rFonts w:eastAsiaTheme="minorHAnsi"/>
                <w:color w:val="000000" w:themeColor="text1"/>
                <w:sz w:val="24"/>
                <w:szCs w:val="24"/>
                <w:lang w:eastAsia="en-US"/>
              </w:rPr>
            </w:pPr>
            <w:r w:rsidRPr="00C23BE8">
              <w:rPr>
                <w:rFonts w:eastAsiaTheme="minorHAnsi"/>
                <w:b/>
                <w:bCs/>
                <w:color w:val="000000" w:themeColor="text1"/>
                <w:sz w:val="24"/>
                <w:szCs w:val="24"/>
                <w:lang w:eastAsia="en-US"/>
              </w:rPr>
              <w:t xml:space="preserve">Eiropas Savienības tiesību akta pants, punkts vai apakšpunkts, kurā paredzētās prasības Latvijā jāizpilda </w:t>
            </w:r>
            <w:r w:rsidRPr="00C23BE8">
              <w:rPr>
                <w:rFonts w:eastAsiaTheme="minorHAnsi"/>
                <w:i/>
                <w:iCs/>
                <w:color w:val="000000" w:themeColor="text1"/>
                <w:sz w:val="24"/>
                <w:szCs w:val="24"/>
                <w:lang w:eastAsia="en-US"/>
              </w:rPr>
              <w:t>(norāda pēc iespējas konkrētāku teksta vienību)</w:t>
            </w:r>
          </w:p>
        </w:tc>
        <w:tc>
          <w:tcPr>
            <w:tcW w:w="2358" w:type="dxa"/>
          </w:tcPr>
          <w:p w14:paraId="1E1994BD" w14:textId="77777777" w:rsidR="00767AEC" w:rsidRPr="00C23BE8" w:rsidRDefault="00767AEC" w:rsidP="0095342B">
            <w:pPr>
              <w:jc w:val="center"/>
              <w:rPr>
                <w:rFonts w:eastAsiaTheme="minorHAnsi"/>
                <w:b/>
                <w:bCs/>
                <w:color w:val="000000" w:themeColor="text1"/>
                <w:sz w:val="24"/>
                <w:szCs w:val="24"/>
                <w:lang w:eastAsia="en-US"/>
              </w:rPr>
            </w:pPr>
            <w:r w:rsidRPr="00C23BE8">
              <w:rPr>
                <w:rFonts w:eastAsiaTheme="minorHAnsi"/>
                <w:b/>
                <w:bCs/>
                <w:color w:val="000000" w:themeColor="text1"/>
                <w:sz w:val="24"/>
                <w:szCs w:val="24"/>
                <w:lang w:eastAsia="en-US"/>
              </w:rPr>
              <w:t xml:space="preserve">Projekta punkts/apakšpunkts, kas izpilda A ailē minēto prasību </w:t>
            </w:r>
            <w:r w:rsidRPr="00C23BE8">
              <w:rPr>
                <w:rFonts w:eastAsiaTheme="minorHAnsi"/>
                <w:i/>
                <w:iCs/>
                <w:color w:val="000000" w:themeColor="text1"/>
                <w:sz w:val="24"/>
                <w:szCs w:val="24"/>
                <w:lang w:eastAsia="en-US"/>
              </w:rPr>
              <w:t>(norāda pēc iespējas konkrētāku teksta vienību)</w:t>
            </w:r>
          </w:p>
        </w:tc>
        <w:tc>
          <w:tcPr>
            <w:tcW w:w="2579" w:type="dxa"/>
          </w:tcPr>
          <w:p w14:paraId="566BD453" w14:textId="77777777" w:rsidR="00767AEC" w:rsidRPr="00C23BE8" w:rsidRDefault="00767AEC" w:rsidP="0095342B">
            <w:pPr>
              <w:jc w:val="center"/>
              <w:rPr>
                <w:rFonts w:eastAsiaTheme="minorHAnsi"/>
                <w:b/>
                <w:bCs/>
                <w:color w:val="000000" w:themeColor="text1"/>
                <w:sz w:val="24"/>
                <w:szCs w:val="24"/>
                <w:lang w:eastAsia="en-US"/>
              </w:rPr>
            </w:pPr>
            <w:r w:rsidRPr="00C23BE8">
              <w:rPr>
                <w:rFonts w:eastAsiaTheme="minorHAnsi"/>
                <w:b/>
                <w:bCs/>
                <w:color w:val="000000" w:themeColor="text1"/>
                <w:sz w:val="24"/>
                <w:szCs w:val="24"/>
                <w:lang w:eastAsia="en-US"/>
              </w:rPr>
              <w:t xml:space="preserve">Vai A ailē minētā prasība ar B ailē minēto projekta punktu/apakšpunktu tiek izpildīta pilnībā vai daļēji? </w:t>
            </w:r>
            <w:r w:rsidRPr="00C23BE8">
              <w:rPr>
                <w:rFonts w:eastAsiaTheme="minorHAnsi"/>
                <w:i/>
                <w:iCs/>
                <w:color w:val="000000" w:themeColor="text1"/>
                <w:sz w:val="24"/>
                <w:szCs w:val="24"/>
                <w:lang w:eastAsia="en-US"/>
              </w:rPr>
              <w:t>(ja daļēji, norāda, kur un kā ir vai tiks nodrošināta prasības pilnīga izpilde)</w:t>
            </w:r>
          </w:p>
        </w:tc>
        <w:tc>
          <w:tcPr>
            <w:tcW w:w="2604" w:type="dxa"/>
          </w:tcPr>
          <w:p w14:paraId="01BD60CD" w14:textId="4E6030D2" w:rsidR="00767AEC" w:rsidRPr="00C23BE8" w:rsidRDefault="00767AEC" w:rsidP="0095342B">
            <w:pPr>
              <w:jc w:val="center"/>
              <w:rPr>
                <w:rFonts w:eastAsiaTheme="minorHAnsi"/>
                <w:b/>
                <w:bCs/>
                <w:color w:val="000000" w:themeColor="text1"/>
                <w:sz w:val="24"/>
                <w:szCs w:val="24"/>
                <w:lang w:eastAsia="en-US"/>
              </w:rPr>
            </w:pPr>
            <w:r w:rsidRPr="00C23BE8">
              <w:rPr>
                <w:rFonts w:eastAsiaTheme="minorHAnsi"/>
                <w:b/>
                <w:bCs/>
                <w:color w:val="000000" w:themeColor="text1"/>
                <w:sz w:val="24"/>
                <w:szCs w:val="24"/>
                <w:lang w:eastAsia="en-US"/>
              </w:rPr>
              <w:t>Vai B ailē norādītais projekta punkts/apakšpunkts paredz stingrākas prasības nekā A ailē minētā prasība</w:t>
            </w:r>
            <w:r w:rsidR="008B25D0">
              <w:rPr>
                <w:rFonts w:eastAsiaTheme="minorHAnsi"/>
                <w:b/>
                <w:bCs/>
                <w:color w:val="000000" w:themeColor="text1"/>
                <w:sz w:val="24"/>
                <w:szCs w:val="24"/>
                <w:lang w:eastAsia="en-US"/>
              </w:rPr>
              <w:t>?</w:t>
            </w:r>
            <w:r w:rsidRPr="00C23BE8">
              <w:rPr>
                <w:rFonts w:eastAsiaTheme="minorHAnsi"/>
                <w:b/>
                <w:bCs/>
                <w:color w:val="000000" w:themeColor="text1"/>
                <w:sz w:val="24"/>
                <w:szCs w:val="24"/>
                <w:lang w:eastAsia="en-US"/>
              </w:rPr>
              <w:t xml:space="preserve"> </w:t>
            </w:r>
            <w:r w:rsidRPr="00C23BE8">
              <w:rPr>
                <w:rFonts w:eastAsiaTheme="minorHAnsi"/>
                <w:i/>
                <w:iCs/>
                <w:color w:val="000000" w:themeColor="text1"/>
                <w:sz w:val="24"/>
                <w:szCs w:val="24"/>
                <w:lang w:eastAsia="en-US"/>
              </w:rPr>
              <w:t>(ja paredz stingrākas prasības, papildus norāda pamatojumu šādu stingrāku prasību nepieciešamībai)</w:t>
            </w:r>
          </w:p>
        </w:tc>
        <w:tc>
          <w:tcPr>
            <w:tcW w:w="2822" w:type="dxa"/>
          </w:tcPr>
          <w:p w14:paraId="59375A7C" w14:textId="1B471212" w:rsidR="00767AEC" w:rsidRPr="00C23BE8" w:rsidRDefault="00767AEC" w:rsidP="0095342B">
            <w:pPr>
              <w:jc w:val="center"/>
              <w:rPr>
                <w:rFonts w:eastAsiaTheme="minorHAnsi"/>
                <w:i/>
                <w:iCs/>
                <w:color w:val="000000" w:themeColor="text1"/>
                <w:sz w:val="24"/>
                <w:szCs w:val="24"/>
                <w:lang w:eastAsia="en-US"/>
              </w:rPr>
            </w:pPr>
            <w:r w:rsidRPr="00C23BE8">
              <w:rPr>
                <w:rFonts w:eastAsiaTheme="minorHAnsi"/>
                <w:b/>
                <w:bCs/>
                <w:color w:val="000000" w:themeColor="text1"/>
                <w:sz w:val="24"/>
                <w:szCs w:val="24"/>
                <w:lang w:eastAsia="en-US"/>
              </w:rPr>
              <w:t>Vai A ailē minētā prasība ir jāizpilda obligāti</w:t>
            </w:r>
            <w:r w:rsidR="008B25D0">
              <w:rPr>
                <w:rFonts w:eastAsiaTheme="minorHAnsi"/>
                <w:b/>
                <w:bCs/>
                <w:color w:val="000000" w:themeColor="text1"/>
                <w:sz w:val="24"/>
                <w:szCs w:val="24"/>
                <w:lang w:eastAsia="en-US"/>
              </w:rPr>
              <w:t>?</w:t>
            </w:r>
            <w:r w:rsidRPr="00C23BE8">
              <w:rPr>
                <w:rFonts w:eastAsiaTheme="minorHAnsi"/>
                <w:b/>
                <w:bCs/>
                <w:color w:val="000000" w:themeColor="text1"/>
                <w:sz w:val="24"/>
                <w:szCs w:val="24"/>
                <w:lang w:eastAsia="en-US"/>
              </w:rPr>
              <w:t xml:space="preserve"> </w:t>
            </w:r>
            <w:r w:rsidRPr="00C23BE8">
              <w:rPr>
                <w:rFonts w:eastAsiaTheme="minorHAnsi"/>
                <w:i/>
                <w:iCs/>
                <w:color w:val="000000" w:themeColor="text1"/>
                <w:sz w:val="24"/>
                <w:szCs w:val="24"/>
                <w:lang w:eastAsia="en-US"/>
              </w:rPr>
              <w:t>(ja Eiropas Savienības tiesību akts paredz izvēles iespēju, papildus norāda, vai un kādēļ šī rīcības brīvība Latvijā ir vai nav jāizmanto)</w:t>
            </w:r>
          </w:p>
          <w:p w14:paraId="3B9721DD" w14:textId="77777777" w:rsidR="00767AEC" w:rsidRPr="00C23BE8" w:rsidRDefault="00767AEC" w:rsidP="0095342B">
            <w:pPr>
              <w:jc w:val="center"/>
              <w:rPr>
                <w:rFonts w:eastAsiaTheme="minorHAnsi"/>
                <w:b/>
                <w:bCs/>
                <w:color w:val="000000" w:themeColor="text1"/>
                <w:sz w:val="24"/>
                <w:szCs w:val="24"/>
                <w:lang w:eastAsia="en-US"/>
              </w:rPr>
            </w:pPr>
          </w:p>
        </w:tc>
        <w:tc>
          <w:tcPr>
            <w:tcW w:w="2335" w:type="dxa"/>
          </w:tcPr>
          <w:p w14:paraId="4827CEFB" w14:textId="244F2515" w:rsidR="00767AEC" w:rsidRPr="00C23BE8" w:rsidRDefault="00767AEC" w:rsidP="0095342B">
            <w:pPr>
              <w:jc w:val="center"/>
              <w:rPr>
                <w:rFonts w:eastAsiaTheme="minorHAnsi"/>
                <w:b/>
                <w:bCs/>
                <w:color w:val="000000" w:themeColor="text1"/>
                <w:sz w:val="24"/>
                <w:szCs w:val="24"/>
                <w:lang w:eastAsia="en-US"/>
              </w:rPr>
            </w:pPr>
            <w:r w:rsidRPr="008B25D0">
              <w:rPr>
                <w:b/>
                <w:bCs/>
                <w:sz w:val="24"/>
                <w:szCs w:val="24"/>
              </w:rPr>
              <w:t>Vai A ailē minētais Eiropas Savienības tiesību akts paredz dalībvalsts paziņošanas pienākumu Eiropas Savienības institūcijām?</w:t>
            </w:r>
            <w:r w:rsidR="008B25D0">
              <w:rPr>
                <w:rFonts w:eastAsiaTheme="minorHAnsi"/>
                <w:b/>
                <w:bCs/>
                <w:color w:val="auto"/>
                <w:sz w:val="24"/>
                <w:szCs w:val="24"/>
                <w:lang w:eastAsia="en-US"/>
              </w:rPr>
              <w:t xml:space="preserve"> </w:t>
            </w:r>
            <w:r w:rsidRPr="008B25D0">
              <w:rPr>
                <w:i/>
                <w:iCs/>
                <w:sz w:val="24"/>
                <w:szCs w:val="24"/>
              </w:rPr>
              <w:t>(</w:t>
            </w:r>
            <w:r w:rsidR="008B25D0">
              <w:rPr>
                <w:rFonts w:eastAsiaTheme="minorHAnsi"/>
                <w:i/>
                <w:iCs/>
                <w:color w:val="auto"/>
                <w:sz w:val="24"/>
                <w:szCs w:val="24"/>
                <w:lang w:eastAsia="en-US"/>
              </w:rPr>
              <w:t>j</w:t>
            </w:r>
            <w:r w:rsidRPr="008B25D0">
              <w:rPr>
                <w:i/>
                <w:iCs/>
                <w:sz w:val="24"/>
                <w:szCs w:val="24"/>
              </w:rPr>
              <w:t>a paredz, norāda, kas un kādā termiņā šo paziņošanas pienākumu izpildīs)</w:t>
            </w:r>
          </w:p>
        </w:tc>
      </w:tr>
      <w:tr w:rsidR="00767AEC" w:rsidRPr="00C23BE8" w14:paraId="0BD0FBFA" w14:textId="77777777" w:rsidTr="000C4502">
        <w:tc>
          <w:tcPr>
            <w:tcW w:w="2088" w:type="dxa"/>
            <w:tcBorders>
              <w:bottom w:val="single" w:sz="4" w:space="0" w:color="auto"/>
            </w:tcBorders>
          </w:tcPr>
          <w:p w14:paraId="35809B12" w14:textId="77777777" w:rsidR="00767AEC" w:rsidRPr="00C23BE8" w:rsidRDefault="00767AEC" w:rsidP="0095342B">
            <w:pPr>
              <w:spacing w:after="160" w:line="259" w:lineRule="auto"/>
              <w:jc w:val="center"/>
              <w:rPr>
                <w:rFonts w:eastAsiaTheme="minorHAnsi"/>
                <w:color w:val="000000" w:themeColor="text1"/>
                <w:sz w:val="24"/>
                <w:szCs w:val="24"/>
                <w:lang w:eastAsia="en-US"/>
              </w:rPr>
            </w:pPr>
            <w:r w:rsidRPr="00C23BE8">
              <w:rPr>
                <w:rFonts w:eastAsiaTheme="minorHAnsi"/>
                <w:color w:val="000000" w:themeColor="text1"/>
                <w:sz w:val="24"/>
                <w:szCs w:val="24"/>
                <w:lang w:eastAsia="en-US"/>
              </w:rPr>
              <w:t>A</w:t>
            </w:r>
          </w:p>
        </w:tc>
        <w:tc>
          <w:tcPr>
            <w:tcW w:w="2358" w:type="dxa"/>
            <w:tcBorders>
              <w:bottom w:val="single" w:sz="4" w:space="0" w:color="auto"/>
            </w:tcBorders>
          </w:tcPr>
          <w:p w14:paraId="21C9C739" w14:textId="77777777" w:rsidR="00767AEC" w:rsidRPr="00C23BE8" w:rsidRDefault="00767AEC" w:rsidP="0095342B">
            <w:pPr>
              <w:spacing w:after="160" w:line="259" w:lineRule="auto"/>
              <w:jc w:val="center"/>
              <w:rPr>
                <w:rFonts w:eastAsiaTheme="minorHAnsi"/>
                <w:color w:val="000000" w:themeColor="text1"/>
                <w:sz w:val="24"/>
                <w:szCs w:val="24"/>
                <w:lang w:eastAsia="en-US"/>
              </w:rPr>
            </w:pPr>
            <w:r w:rsidRPr="00C23BE8">
              <w:rPr>
                <w:rFonts w:eastAsiaTheme="minorHAnsi"/>
                <w:color w:val="000000" w:themeColor="text1"/>
                <w:sz w:val="24"/>
                <w:szCs w:val="24"/>
                <w:lang w:eastAsia="en-US"/>
              </w:rPr>
              <w:t>B</w:t>
            </w:r>
          </w:p>
        </w:tc>
        <w:tc>
          <w:tcPr>
            <w:tcW w:w="2579" w:type="dxa"/>
            <w:tcBorders>
              <w:bottom w:val="single" w:sz="4" w:space="0" w:color="auto"/>
            </w:tcBorders>
          </w:tcPr>
          <w:p w14:paraId="54ECACB3" w14:textId="77777777" w:rsidR="00767AEC" w:rsidRPr="00C23BE8" w:rsidRDefault="00767AEC" w:rsidP="0095342B">
            <w:pPr>
              <w:spacing w:after="160" w:line="259" w:lineRule="auto"/>
              <w:jc w:val="center"/>
              <w:rPr>
                <w:rFonts w:eastAsiaTheme="minorHAnsi"/>
                <w:color w:val="000000" w:themeColor="text1"/>
                <w:sz w:val="24"/>
                <w:szCs w:val="24"/>
                <w:lang w:eastAsia="en-US"/>
              </w:rPr>
            </w:pPr>
            <w:r w:rsidRPr="00C23BE8">
              <w:rPr>
                <w:rFonts w:eastAsiaTheme="minorHAnsi"/>
                <w:color w:val="000000" w:themeColor="text1"/>
                <w:sz w:val="24"/>
                <w:szCs w:val="24"/>
                <w:lang w:eastAsia="en-US"/>
              </w:rPr>
              <w:t>C</w:t>
            </w:r>
          </w:p>
        </w:tc>
        <w:tc>
          <w:tcPr>
            <w:tcW w:w="2604" w:type="dxa"/>
            <w:tcBorders>
              <w:bottom w:val="single" w:sz="4" w:space="0" w:color="auto"/>
            </w:tcBorders>
          </w:tcPr>
          <w:p w14:paraId="16AA2473" w14:textId="77777777" w:rsidR="00767AEC" w:rsidRPr="00C23BE8" w:rsidRDefault="00767AEC" w:rsidP="0095342B">
            <w:pPr>
              <w:spacing w:after="160" w:line="259" w:lineRule="auto"/>
              <w:jc w:val="center"/>
              <w:rPr>
                <w:rFonts w:eastAsiaTheme="minorHAnsi"/>
                <w:color w:val="000000" w:themeColor="text1"/>
                <w:sz w:val="24"/>
                <w:szCs w:val="24"/>
                <w:lang w:eastAsia="en-US"/>
              </w:rPr>
            </w:pPr>
            <w:r w:rsidRPr="00C23BE8">
              <w:rPr>
                <w:rFonts w:eastAsiaTheme="minorHAnsi"/>
                <w:color w:val="000000" w:themeColor="text1"/>
                <w:sz w:val="24"/>
                <w:szCs w:val="24"/>
                <w:lang w:eastAsia="en-US"/>
              </w:rPr>
              <w:t>D</w:t>
            </w:r>
          </w:p>
        </w:tc>
        <w:tc>
          <w:tcPr>
            <w:tcW w:w="2822" w:type="dxa"/>
            <w:tcBorders>
              <w:bottom w:val="single" w:sz="4" w:space="0" w:color="auto"/>
            </w:tcBorders>
          </w:tcPr>
          <w:p w14:paraId="184505F4" w14:textId="77777777" w:rsidR="00767AEC" w:rsidRPr="00C23BE8" w:rsidRDefault="00767AEC" w:rsidP="0095342B">
            <w:pPr>
              <w:spacing w:after="160" w:line="259" w:lineRule="auto"/>
              <w:jc w:val="center"/>
              <w:rPr>
                <w:rFonts w:eastAsiaTheme="minorHAnsi"/>
                <w:color w:val="000000" w:themeColor="text1"/>
                <w:sz w:val="24"/>
                <w:szCs w:val="24"/>
                <w:lang w:eastAsia="en-US"/>
              </w:rPr>
            </w:pPr>
            <w:r w:rsidRPr="00C23BE8">
              <w:rPr>
                <w:rFonts w:eastAsiaTheme="minorHAnsi"/>
                <w:color w:val="000000" w:themeColor="text1"/>
                <w:sz w:val="24"/>
                <w:szCs w:val="24"/>
                <w:lang w:eastAsia="en-US"/>
              </w:rPr>
              <w:t>E</w:t>
            </w:r>
          </w:p>
        </w:tc>
        <w:tc>
          <w:tcPr>
            <w:tcW w:w="2335" w:type="dxa"/>
            <w:tcBorders>
              <w:bottom w:val="single" w:sz="4" w:space="0" w:color="auto"/>
            </w:tcBorders>
          </w:tcPr>
          <w:p w14:paraId="2B0221A2" w14:textId="77777777" w:rsidR="00767AEC" w:rsidRPr="00C23BE8" w:rsidRDefault="00767AEC" w:rsidP="0095342B">
            <w:pPr>
              <w:spacing w:after="160" w:line="259" w:lineRule="auto"/>
              <w:jc w:val="center"/>
              <w:rPr>
                <w:rFonts w:eastAsiaTheme="minorHAnsi"/>
                <w:color w:val="000000" w:themeColor="text1"/>
                <w:sz w:val="24"/>
                <w:szCs w:val="24"/>
                <w:lang w:eastAsia="en-US"/>
              </w:rPr>
            </w:pPr>
            <w:r w:rsidRPr="00C23BE8">
              <w:rPr>
                <w:rFonts w:eastAsiaTheme="minorHAnsi"/>
                <w:color w:val="000000" w:themeColor="text1"/>
                <w:sz w:val="24"/>
                <w:szCs w:val="24"/>
                <w:lang w:eastAsia="en-US"/>
              </w:rPr>
              <w:t>F</w:t>
            </w:r>
          </w:p>
        </w:tc>
      </w:tr>
      <w:tr w:rsidR="00767AEC" w:rsidRPr="00C23BE8" w14:paraId="04CFB567" w14:textId="77777777" w:rsidTr="000C4502">
        <w:tc>
          <w:tcPr>
            <w:tcW w:w="2088" w:type="dxa"/>
            <w:tcBorders>
              <w:bottom w:val="single" w:sz="4" w:space="0" w:color="auto"/>
            </w:tcBorders>
          </w:tcPr>
          <w:p w14:paraId="2A3D83F3" w14:textId="0B4A4ACF" w:rsidR="00767AEC" w:rsidRPr="00C23BE8" w:rsidRDefault="0005256F" w:rsidP="0095342B">
            <w:pPr>
              <w:jc w:val="left"/>
              <w:rPr>
                <w:color w:val="000000" w:themeColor="text1"/>
                <w:sz w:val="24"/>
                <w:szCs w:val="24"/>
              </w:rPr>
            </w:pPr>
            <w:r>
              <w:rPr>
                <w:color w:val="000000" w:themeColor="text1"/>
                <w:sz w:val="24"/>
                <w:szCs w:val="24"/>
              </w:rPr>
              <w:t>Direktīvas Nr. </w:t>
            </w:r>
            <w:r w:rsidR="002254F6" w:rsidRPr="002254F6">
              <w:rPr>
                <w:color w:val="000000" w:themeColor="text1"/>
                <w:sz w:val="24"/>
                <w:szCs w:val="24"/>
              </w:rPr>
              <w:t>2014/92</w:t>
            </w:r>
            <w:r w:rsidR="002254F6">
              <w:rPr>
                <w:color w:val="000000" w:themeColor="text1"/>
                <w:sz w:val="24"/>
                <w:szCs w:val="24"/>
              </w:rPr>
              <w:t xml:space="preserve"> 3.</w:t>
            </w:r>
            <w:r w:rsidR="00783A42">
              <w:rPr>
                <w:color w:val="000000" w:themeColor="text1"/>
                <w:sz w:val="24"/>
                <w:szCs w:val="24"/>
              </w:rPr>
              <w:t> </w:t>
            </w:r>
            <w:r w:rsidR="002254F6">
              <w:rPr>
                <w:color w:val="000000" w:themeColor="text1"/>
                <w:sz w:val="24"/>
                <w:szCs w:val="24"/>
              </w:rPr>
              <w:t>panta 5.</w:t>
            </w:r>
            <w:r w:rsidR="00783A42">
              <w:rPr>
                <w:color w:val="000000" w:themeColor="text1"/>
                <w:sz w:val="24"/>
                <w:szCs w:val="24"/>
              </w:rPr>
              <w:t> </w:t>
            </w:r>
            <w:r w:rsidR="002254F6">
              <w:rPr>
                <w:color w:val="000000" w:themeColor="text1"/>
                <w:sz w:val="24"/>
                <w:szCs w:val="24"/>
              </w:rPr>
              <w:t>punkts</w:t>
            </w:r>
          </w:p>
        </w:tc>
        <w:tc>
          <w:tcPr>
            <w:tcW w:w="2358" w:type="dxa"/>
            <w:tcBorders>
              <w:bottom w:val="single" w:sz="4" w:space="0" w:color="auto"/>
            </w:tcBorders>
          </w:tcPr>
          <w:p w14:paraId="14FBC4CA" w14:textId="74958362" w:rsidR="00767AEC" w:rsidRPr="00C23BE8" w:rsidRDefault="002254F6" w:rsidP="000C4502">
            <w:pPr>
              <w:rPr>
                <w:color w:val="000000" w:themeColor="text1"/>
                <w:sz w:val="24"/>
                <w:szCs w:val="24"/>
              </w:rPr>
            </w:pPr>
            <w:r>
              <w:rPr>
                <w:color w:val="000000" w:themeColor="text1"/>
                <w:sz w:val="24"/>
                <w:szCs w:val="24"/>
              </w:rPr>
              <w:t>Projekt</w:t>
            </w:r>
            <w:r w:rsidR="008B25D0">
              <w:rPr>
                <w:color w:val="000000" w:themeColor="text1"/>
                <w:sz w:val="24"/>
                <w:szCs w:val="24"/>
              </w:rPr>
              <w:t>a</w:t>
            </w:r>
            <w:r>
              <w:rPr>
                <w:color w:val="000000" w:themeColor="text1"/>
                <w:sz w:val="24"/>
                <w:szCs w:val="24"/>
              </w:rPr>
              <w:t xml:space="preserve"> </w:t>
            </w:r>
            <w:r w:rsidR="00585844">
              <w:rPr>
                <w:color w:val="000000" w:themeColor="text1"/>
                <w:sz w:val="24"/>
                <w:szCs w:val="24"/>
              </w:rPr>
              <w:t>2</w:t>
            </w:r>
            <w:r>
              <w:rPr>
                <w:color w:val="000000" w:themeColor="text1"/>
                <w:sz w:val="24"/>
                <w:szCs w:val="24"/>
              </w:rPr>
              <w:t>.</w:t>
            </w:r>
            <w:r w:rsidR="00783A42">
              <w:rPr>
                <w:color w:val="000000" w:themeColor="text1"/>
                <w:sz w:val="24"/>
                <w:szCs w:val="24"/>
              </w:rPr>
              <w:t> </w:t>
            </w:r>
            <w:r>
              <w:rPr>
                <w:color w:val="000000" w:themeColor="text1"/>
                <w:sz w:val="24"/>
                <w:szCs w:val="24"/>
              </w:rPr>
              <w:t>punkts</w:t>
            </w:r>
          </w:p>
        </w:tc>
        <w:tc>
          <w:tcPr>
            <w:tcW w:w="2579" w:type="dxa"/>
            <w:tcBorders>
              <w:bottom w:val="single" w:sz="4" w:space="0" w:color="auto"/>
            </w:tcBorders>
          </w:tcPr>
          <w:p w14:paraId="19B9461D" w14:textId="26CA6514" w:rsidR="00767AEC" w:rsidRPr="00C23BE8" w:rsidRDefault="002254F6" w:rsidP="000C4502">
            <w:pPr>
              <w:rPr>
                <w:color w:val="000000" w:themeColor="text1"/>
                <w:sz w:val="24"/>
                <w:szCs w:val="24"/>
              </w:rPr>
            </w:pPr>
            <w:r>
              <w:rPr>
                <w:color w:val="000000" w:themeColor="text1"/>
                <w:sz w:val="24"/>
                <w:szCs w:val="24"/>
              </w:rPr>
              <w:t>Izpilda pilnībā</w:t>
            </w:r>
          </w:p>
        </w:tc>
        <w:tc>
          <w:tcPr>
            <w:tcW w:w="2604" w:type="dxa"/>
            <w:tcBorders>
              <w:bottom w:val="single" w:sz="4" w:space="0" w:color="auto"/>
            </w:tcBorders>
          </w:tcPr>
          <w:p w14:paraId="73C37A02" w14:textId="040A9BF0" w:rsidR="00767AEC" w:rsidRPr="00C23BE8" w:rsidRDefault="002254F6" w:rsidP="000C4502">
            <w:pPr>
              <w:rPr>
                <w:color w:val="000000" w:themeColor="text1"/>
                <w:sz w:val="24"/>
                <w:szCs w:val="24"/>
              </w:rPr>
            </w:pPr>
            <w:r>
              <w:rPr>
                <w:color w:val="000000" w:themeColor="text1"/>
                <w:sz w:val="24"/>
                <w:szCs w:val="24"/>
              </w:rPr>
              <w:t>Nē</w:t>
            </w:r>
          </w:p>
        </w:tc>
        <w:tc>
          <w:tcPr>
            <w:tcW w:w="2822" w:type="dxa"/>
            <w:tcBorders>
              <w:bottom w:val="single" w:sz="4" w:space="0" w:color="auto"/>
            </w:tcBorders>
          </w:tcPr>
          <w:p w14:paraId="2D2C96C3" w14:textId="50D0D690" w:rsidR="00767AEC" w:rsidRPr="00C23BE8" w:rsidRDefault="002254F6" w:rsidP="000C4502">
            <w:pPr>
              <w:rPr>
                <w:color w:val="000000" w:themeColor="text1"/>
                <w:sz w:val="24"/>
                <w:szCs w:val="24"/>
              </w:rPr>
            </w:pPr>
            <w:r>
              <w:rPr>
                <w:color w:val="000000" w:themeColor="text1"/>
                <w:sz w:val="24"/>
                <w:szCs w:val="24"/>
              </w:rPr>
              <w:t xml:space="preserve">Jā </w:t>
            </w:r>
          </w:p>
        </w:tc>
        <w:tc>
          <w:tcPr>
            <w:tcW w:w="2335" w:type="dxa"/>
            <w:tcBorders>
              <w:bottom w:val="single" w:sz="4" w:space="0" w:color="auto"/>
            </w:tcBorders>
          </w:tcPr>
          <w:p w14:paraId="15012341" w14:textId="3C24AEC2" w:rsidR="004D4F7A" w:rsidRPr="004D4F7A" w:rsidRDefault="004D4F7A" w:rsidP="0095342B">
            <w:pPr>
              <w:jc w:val="left"/>
              <w:rPr>
                <w:color w:val="000000" w:themeColor="text1"/>
                <w:sz w:val="24"/>
                <w:szCs w:val="24"/>
              </w:rPr>
            </w:pPr>
            <w:r w:rsidRPr="004D4F7A">
              <w:rPr>
                <w:color w:val="000000" w:themeColor="text1"/>
                <w:sz w:val="24"/>
                <w:szCs w:val="24"/>
              </w:rPr>
              <w:t xml:space="preserve">Direktīvas </w:t>
            </w:r>
            <w:r w:rsidR="0005256F">
              <w:rPr>
                <w:color w:val="000000" w:themeColor="text1"/>
                <w:sz w:val="24"/>
                <w:szCs w:val="24"/>
              </w:rPr>
              <w:t>Nr. </w:t>
            </w:r>
            <w:r w:rsidRPr="004D4F7A">
              <w:rPr>
                <w:color w:val="000000" w:themeColor="text1"/>
                <w:sz w:val="24"/>
                <w:szCs w:val="24"/>
              </w:rPr>
              <w:t xml:space="preserve">2014/92 </w:t>
            </w:r>
            <w:r w:rsidR="00821D5C">
              <w:rPr>
                <w:color w:val="000000" w:themeColor="text1"/>
                <w:sz w:val="24"/>
                <w:szCs w:val="24"/>
              </w:rPr>
              <w:t>29. panta 4. punkts</w:t>
            </w:r>
            <w:r w:rsidRPr="004D4F7A">
              <w:rPr>
                <w:color w:val="000000" w:themeColor="text1"/>
                <w:sz w:val="24"/>
                <w:szCs w:val="24"/>
              </w:rPr>
              <w:t xml:space="preserve"> paredz, ka dalībvalstis paziņo Eiropas Komisijai par šīs direktīvas prasību pārņemšanu. </w:t>
            </w:r>
          </w:p>
          <w:p w14:paraId="22A09062" w14:textId="0ECFB1BD" w:rsidR="00767AEC" w:rsidRPr="00C23BE8" w:rsidRDefault="004D4F7A" w:rsidP="0095342B">
            <w:pPr>
              <w:jc w:val="left"/>
              <w:rPr>
                <w:color w:val="000000" w:themeColor="text1"/>
                <w:sz w:val="24"/>
                <w:szCs w:val="24"/>
              </w:rPr>
            </w:pPr>
            <w:r w:rsidRPr="004D4F7A">
              <w:rPr>
                <w:color w:val="000000" w:themeColor="text1"/>
                <w:sz w:val="24"/>
                <w:szCs w:val="24"/>
              </w:rPr>
              <w:t>Minēto paziņošanas pienākumu izpildīs Finanšu ministrija, sniedzot paziņojumu Eiropas Komisijai pēc projekta apstiprināšanas Latvijas Bankas padomē.</w:t>
            </w:r>
          </w:p>
        </w:tc>
      </w:tr>
      <w:tr w:rsidR="00767AEC" w:rsidRPr="00C23BE8" w14:paraId="03ED3E53" w14:textId="77777777" w:rsidTr="000C4502">
        <w:tc>
          <w:tcPr>
            <w:tcW w:w="2088" w:type="dxa"/>
          </w:tcPr>
          <w:p w14:paraId="6B5F5B2B" w14:textId="66510DDC" w:rsidR="00767AEC" w:rsidRDefault="00767AEC" w:rsidP="00A4725B">
            <w:pPr>
              <w:jc w:val="left"/>
              <w:rPr>
                <w:rFonts w:eastAsiaTheme="minorHAnsi"/>
                <w:color w:val="000000" w:themeColor="text1"/>
                <w:sz w:val="24"/>
                <w:szCs w:val="24"/>
                <w:lang w:eastAsia="en-US"/>
              </w:rPr>
            </w:pPr>
            <w:r>
              <w:rPr>
                <w:rFonts w:eastAsiaTheme="minorHAnsi"/>
                <w:color w:val="000000" w:themeColor="text1"/>
                <w:sz w:val="24"/>
                <w:szCs w:val="24"/>
                <w:lang w:eastAsia="en-US"/>
              </w:rPr>
              <w:t xml:space="preserve">Direktīvas </w:t>
            </w:r>
            <w:r w:rsidR="0005256F">
              <w:rPr>
                <w:rFonts w:eastAsiaTheme="minorHAnsi"/>
                <w:color w:val="000000" w:themeColor="text1"/>
                <w:sz w:val="24"/>
                <w:szCs w:val="24"/>
                <w:lang w:eastAsia="en-US"/>
              </w:rPr>
              <w:t>Nr. </w:t>
            </w:r>
            <w:r>
              <w:rPr>
                <w:rFonts w:eastAsiaTheme="minorHAnsi"/>
                <w:color w:val="000000" w:themeColor="text1"/>
                <w:sz w:val="24"/>
                <w:szCs w:val="24"/>
                <w:lang w:eastAsia="en-US"/>
              </w:rPr>
              <w:t>2014/92</w:t>
            </w:r>
          </w:p>
          <w:p w14:paraId="4439670C" w14:textId="16B30AD8" w:rsidR="00767AEC" w:rsidRPr="00C23BE8" w:rsidRDefault="00767AEC" w:rsidP="00A4725B">
            <w:pPr>
              <w:jc w:val="left"/>
              <w:rPr>
                <w:rFonts w:eastAsiaTheme="minorHAnsi"/>
                <w:color w:val="000000" w:themeColor="text1"/>
                <w:sz w:val="24"/>
                <w:szCs w:val="24"/>
                <w:lang w:eastAsia="en-US"/>
              </w:rPr>
            </w:pPr>
            <w:r>
              <w:rPr>
                <w:rFonts w:eastAsiaTheme="minorHAnsi"/>
                <w:color w:val="000000" w:themeColor="text1"/>
                <w:sz w:val="24"/>
                <w:szCs w:val="24"/>
                <w:lang w:eastAsia="en-US"/>
              </w:rPr>
              <w:t>4.</w:t>
            </w:r>
            <w:r w:rsidR="00783A42">
              <w:rPr>
                <w:rFonts w:eastAsiaTheme="minorHAnsi"/>
                <w:color w:val="000000" w:themeColor="text1"/>
                <w:sz w:val="24"/>
                <w:szCs w:val="24"/>
                <w:lang w:eastAsia="en-US"/>
              </w:rPr>
              <w:t> </w:t>
            </w:r>
            <w:r>
              <w:rPr>
                <w:rFonts w:eastAsiaTheme="minorHAnsi"/>
                <w:color w:val="000000" w:themeColor="text1"/>
                <w:sz w:val="24"/>
                <w:szCs w:val="24"/>
                <w:lang w:eastAsia="en-US"/>
              </w:rPr>
              <w:t>panta 2.</w:t>
            </w:r>
            <w:r w:rsidR="00783A42">
              <w:rPr>
                <w:rFonts w:eastAsiaTheme="minorHAnsi"/>
                <w:color w:val="000000" w:themeColor="text1"/>
                <w:sz w:val="24"/>
                <w:szCs w:val="24"/>
                <w:lang w:eastAsia="en-US"/>
              </w:rPr>
              <w:t> </w:t>
            </w:r>
            <w:r>
              <w:rPr>
                <w:rFonts w:eastAsiaTheme="minorHAnsi"/>
                <w:color w:val="000000" w:themeColor="text1"/>
                <w:sz w:val="24"/>
                <w:szCs w:val="24"/>
                <w:lang w:eastAsia="en-US"/>
              </w:rPr>
              <w:t>punkts</w:t>
            </w:r>
          </w:p>
          <w:p w14:paraId="69331CE3" w14:textId="77777777" w:rsidR="00767AEC" w:rsidRPr="00C23BE8" w:rsidRDefault="00767AEC" w:rsidP="000C4502">
            <w:pPr>
              <w:spacing w:after="160" w:line="259" w:lineRule="auto"/>
              <w:ind w:left="720"/>
              <w:contextualSpacing/>
              <w:jc w:val="left"/>
              <w:rPr>
                <w:rFonts w:eastAsiaTheme="minorHAnsi"/>
                <w:color w:val="000000" w:themeColor="text1"/>
                <w:kern w:val="2"/>
                <w:sz w:val="24"/>
                <w:szCs w:val="24"/>
                <w14:ligatures w14:val="standardContextual"/>
              </w:rPr>
            </w:pPr>
          </w:p>
        </w:tc>
        <w:tc>
          <w:tcPr>
            <w:tcW w:w="2358" w:type="dxa"/>
          </w:tcPr>
          <w:p w14:paraId="68E80F06" w14:textId="4E8D9267" w:rsidR="00767AEC" w:rsidRPr="00C23BE8" w:rsidRDefault="00767AEC" w:rsidP="000C4502">
            <w:pPr>
              <w:spacing w:after="160" w:line="259" w:lineRule="auto"/>
              <w:jc w:val="left"/>
              <w:rPr>
                <w:rFonts w:eastAsiaTheme="minorHAnsi"/>
                <w:color w:val="000000" w:themeColor="text1"/>
                <w:sz w:val="24"/>
                <w:szCs w:val="24"/>
                <w:lang w:eastAsia="en-US"/>
              </w:rPr>
            </w:pPr>
            <w:r w:rsidRPr="00C23BE8">
              <w:rPr>
                <w:rFonts w:eastAsiaTheme="minorHAnsi"/>
                <w:color w:val="000000" w:themeColor="text1"/>
                <w:sz w:val="24"/>
                <w:szCs w:val="24"/>
                <w:lang w:eastAsia="en-US"/>
              </w:rPr>
              <w:t xml:space="preserve">Projekta </w:t>
            </w:r>
            <w:r>
              <w:rPr>
                <w:rFonts w:eastAsiaTheme="minorHAnsi"/>
                <w:color w:val="000000" w:themeColor="text1"/>
                <w:sz w:val="24"/>
                <w:szCs w:val="24"/>
                <w:lang w:eastAsia="en-US"/>
              </w:rPr>
              <w:t>3.</w:t>
            </w:r>
            <w:r w:rsidR="00585844">
              <w:rPr>
                <w:rFonts w:eastAsiaTheme="minorHAnsi"/>
                <w:color w:val="000000" w:themeColor="text1"/>
                <w:sz w:val="24"/>
                <w:szCs w:val="24"/>
                <w:lang w:eastAsia="en-US"/>
              </w:rPr>
              <w:t>, 4.</w:t>
            </w:r>
            <w:r w:rsidR="002F3D67">
              <w:rPr>
                <w:rFonts w:eastAsiaTheme="minorHAnsi"/>
                <w:color w:val="000000" w:themeColor="text1"/>
                <w:sz w:val="24"/>
                <w:szCs w:val="24"/>
                <w:lang w:eastAsia="en-US"/>
              </w:rPr>
              <w:t xml:space="preserve">, </w:t>
            </w:r>
            <w:r w:rsidR="00472FF5">
              <w:rPr>
                <w:rFonts w:eastAsiaTheme="minorHAnsi"/>
                <w:color w:val="000000" w:themeColor="text1"/>
                <w:sz w:val="24"/>
                <w:szCs w:val="24"/>
                <w:lang w:eastAsia="en-US"/>
              </w:rPr>
              <w:t>5</w:t>
            </w:r>
            <w:r w:rsidR="002F3D67">
              <w:rPr>
                <w:rFonts w:eastAsiaTheme="minorHAnsi"/>
                <w:color w:val="000000" w:themeColor="text1"/>
                <w:sz w:val="24"/>
                <w:szCs w:val="24"/>
                <w:lang w:eastAsia="en-US"/>
              </w:rPr>
              <w:t>.</w:t>
            </w:r>
            <w:r w:rsidR="00726E1C">
              <w:rPr>
                <w:rFonts w:eastAsiaTheme="minorHAnsi"/>
                <w:color w:val="000000" w:themeColor="text1"/>
                <w:sz w:val="24"/>
                <w:szCs w:val="24"/>
                <w:lang w:eastAsia="en-US"/>
              </w:rPr>
              <w:t xml:space="preserve"> </w:t>
            </w:r>
            <w:r w:rsidR="00585844">
              <w:rPr>
                <w:rFonts w:eastAsiaTheme="minorHAnsi"/>
                <w:color w:val="000000" w:themeColor="text1"/>
                <w:sz w:val="24"/>
                <w:szCs w:val="24"/>
                <w:lang w:eastAsia="en-US"/>
              </w:rPr>
              <w:t xml:space="preserve">un </w:t>
            </w:r>
            <w:r w:rsidR="00472FF5">
              <w:rPr>
                <w:rFonts w:eastAsiaTheme="minorHAnsi"/>
                <w:color w:val="000000" w:themeColor="text1"/>
                <w:sz w:val="24"/>
                <w:szCs w:val="24"/>
                <w:lang w:eastAsia="en-US"/>
              </w:rPr>
              <w:t>6</w:t>
            </w:r>
            <w:r w:rsidR="00585844">
              <w:rPr>
                <w:rFonts w:eastAsiaTheme="minorHAnsi"/>
                <w:color w:val="000000" w:themeColor="text1"/>
                <w:sz w:val="24"/>
                <w:szCs w:val="24"/>
                <w:lang w:eastAsia="en-US"/>
              </w:rPr>
              <w:t>. </w:t>
            </w:r>
            <w:r>
              <w:rPr>
                <w:rFonts w:eastAsiaTheme="minorHAnsi"/>
                <w:color w:val="000000" w:themeColor="text1"/>
                <w:sz w:val="24"/>
                <w:szCs w:val="24"/>
                <w:lang w:eastAsia="en-US"/>
              </w:rPr>
              <w:t>punkts</w:t>
            </w:r>
          </w:p>
        </w:tc>
        <w:tc>
          <w:tcPr>
            <w:tcW w:w="2579" w:type="dxa"/>
          </w:tcPr>
          <w:p w14:paraId="29953BDD" w14:textId="77777777" w:rsidR="00767AEC" w:rsidRPr="00C23BE8" w:rsidRDefault="00767AEC" w:rsidP="000C4502">
            <w:pPr>
              <w:spacing w:after="160" w:line="259" w:lineRule="auto"/>
              <w:jc w:val="left"/>
              <w:rPr>
                <w:rFonts w:eastAsiaTheme="minorHAnsi"/>
                <w:color w:val="000000" w:themeColor="text1"/>
                <w:sz w:val="24"/>
                <w:szCs w:val="24"/>
                <w:lang w:eastAsia="en-US"/>
              </w:rPr>
            </w:pPr>
            <w:r w:rsidRPr="00C23BE8">
              <w:rPr>
                <w:rFonts w:eastAsiaTheme="minorHAnsi"/>
                <w:color w:val="000000" w:themeColor="text1"/>
                <w:sz w:val="24"/>
                <w:szCs w:val="24"/>
                <w:lang w:eastAsia="en-US"/>
              </w:rPr>
              <w:t>Izpilda pilnībā</w:t>
            </w:r>
          </w:p>
        </w:tc>
        <w:tc>
          <w:tcPr>
            <w:tcW w:w="2604" w:type="dxa"/>
          </w:tcPr>
          <w:p w14:paraId="5D26493A" w14:textId="77777777" w:rsidR="00767AEC" w:rsidRPr="00C23BE8" w:rsidRDefault="00767AEC" w:rsidP="000C4502">
            <w:pPr>
              <w:spacing w:after="160" w:line="259" w:lineRule="auto"/>
              <w:jc w:val="left"/>
              <w:rPr>
                <w:rFonts w:eastAsiaTheme="minorHAnsi"/>
                <w:color w:val="000000" w:themeColor="text1"/>
                <w:sz w:val="24"/>
                <w:szCs w:val="24"/>
                <w:lang w:eastAsia="en-US"/>
              </w:rPr>
            </w:pPr>
            <w:r w:rsidRPr="00C23BE8">
              <w:rPr>
                <w:rFonts w:eastAsiaTheme="minorHAnsi"/>
                <w:color w:val="000000" w:themeColor="text1"/>
                <w:sz w:val="24"/>
                <w:szCs w:val="24"/>
                <w:lang w:eastAsia="en-US"/>
              </w:rPr>
              <w:t>Nē</w:t>
            </w:r>
          </w:p>
        </w:tc>
        <w:tc>
          <w:tcPr>
            <w:tcW w:w="2822" w:type="dxa"/>
          </w:tcPr>
          <w:p w14:paraId="20D41BE6" w14:textId="77777777" w:rsidR="00767AEC" w:rsidRPr="00C23BE8" w:rsidRDefault="00767AEC" w:rsidP="000C4502">
            <w:pPr>
              <w:spacing w:after="160" w:line="259" w:lineRule="auto"/>
              <w:jc w:val="left"/>
              <w:rPr>
                <w:rFonts w:eastAsiaTheme="minorHAnsi"/>
                <w:color w:val="000000" w:themeColor="text1"/>
                <w:sz w:val="24"/>
                <w:szCs w:val="24"/>
                <w:lang w:eastAsia="en-US"/>
              </w:rPr>
            </w:pPr>
            <w:r w:rsidRPr="00C23BE8">
              <w:rPr>
                <w:rFonts w:eastAsiaTheme="minorHAnsi"/>
                <w:color w:val="000000" w:themeColor="text1"/>
                <w:sz w:val="24"/>
                <w:szCs w:val="24"/>
                <w:lang w:eastAsia="en-US"/>
              </w:rPr>
              <w:t>Jā</w:t>
            </w:r>
          </w:p>
        </w:tc>
        <w:tc>
          <w:tcPr>
            <w:tcW w:w="2335" w:type="dxa"/>
          </w:tcPr>
          <w:p w14:paraId="07BB103E" w14:textId="467A3E17" w:rsidR="00821D5C" w:rsidRPr="00821D5C" w:rsidRDefault="00821D5C" w:rsidP="0095342B">
            <w:pPr>
              <w:jc w:val="left"/>
              <w:rPr>
                <w:color w:val="000000" w:themeColor="text1"/>
                <w:sz w:val="24"/>
                <w:szCs w:val="24"/>
              </w:rPr>
            </w:pPr>
            <w:r w:rsidRPr="00821D5C">
              <w:rPr>
                <w:color w:val="000000" w:themeColor="text1"/>
                <w:sz w:val="24"/>
                <w:szCs w:val="24"/>
              </w:rPr>
              <w:t xml:space="preserve">Direktīvas </w:t>
            </w:r>
            <w:r w:rsidR="0005256F">
              <w:rPr>
                <w:color w:val="000000" w:themeColor="text1"/>
                <w:sz w:val="24"/>
                <w:szCs w:val="24"/>
              </w:rPr>
              <w:t>Nr. </w:t>
            </w:r>
            <w:r w:rsidRPr="00821D5C">
              <w:rPr>
                <w:color w:val="000000" w:themeColor="text1"/>
                <w:sz w:val="24"/>
                <w:szCs w:val="24"/>
              </w:rPr>
              <w:t>2014/92 29.</w:t>
            </w:r>
            <w:r w:rsidR="0005256F">
              <w:rPr>
                <w:color w:val="000000" w:themeColor="text1"/>
                <w:sz w:val="24"/>
                <w:szCs w:val="24"/>
              </w:rPr>
              <w:t> </w:t>
            </w:r>
            <w:r w:rsidRPr="00821D5C">
              <w:rPr>
                <w:color w:val="000000" w:themeColor="text1"/>
                <w:sz w:val="24"/>
                <w:szCs w:val="24"/>
              </w:rPr>
              <w:t>panta 4.</w:t>
            </w:r>
            <w:r w:rsidR="0005256F">
              <w:rPr>
                <w:color w:val="000000" w:themeColor="text1"/>
                <w:sz w:val="24"/>
                <w:szCs w:val="24"/>
              </w:rPr>
              <w:t> </w:t>
            </w:r>
            <w:r w:rsidRPr="00821D5C">
              <w:rPr>
                <w:color w:val="000000" w:themeColor="text1"/>
                <w:sz w:val="24"/>
                <w:szCs w:val="24"/>
              </w:rPr>
              <w:t xml:space="preserve">punkts paredz, ka dalībvalstis paziņo Eiropas Komisijai par šīs direktīvas prasību pārņemšanu. </w:t>
            </w:r>
          </w:p>
          <w:p w14:paraId="043F1AA1" w14:textId="6DB3C9BF" w:rsidR="00767AEC" w:rsidRPr="00C23BE8" w:rsidRDefault="00821D5C" w:rsidP="00C43B63">
            <w:pPr>
              <w:spacing w:after="160"/>
              <w:jc w:val="left"/>
              <w:rPr>
                <w:rFonts w:eastAsiaTheme="minorHAnsi"/>
                <w:color w:val="000000" w:themeColor="text1"/>
                <w:sz w:val="24"/>
                <w:szCs w:val="24"/>
                <w:lang w:eastAsia="en-US"/>
              </w:rPr>
            </w:pPr>
            <w:r w:rsidRPr="00821D5C">
              <w:rPr>
                <w:color w:val="000000" w:themeColor="text1"/>
                <w:sz w:val="24"/>
                <w:szCs w:val="24"/>
              </w:rPr>
              <w:t>Minēto paziņošanas pienākumu izpildīs Finanšu ministrija, sniedzot paziņojumu Eiropas Komisijai pēc projekta apstiprināšanas Latvijas Bankas padomē.</w:t>
            </w:r>
          </w:p>
        </w:tc>
      </w:tr>
      <w:tr w:rsidR="00767AEC" w:rsidRPr="00C23BE8" w14:paraId="20279D8A" w14:textId="77777777" w:rsidTr="000C4502">
        <w:tc>
          <w:tcPr>
            <w:tcW w:w="2088" w:type="dxa"/>
          </w:tcPr>
          <w:p w14:paraId="3F7CB398" w14:textId="4AB57183" w:rsidR="00767AEC" w:rsidRPr="00877B19" w:rsidRDefault="00767AEC" w:rsidP="000C4502">
            <w:pPr>
              <w:rPr>
                <w:color w:val="000000" w:themeColor="text1"/>
                <w:sz w:val="24"/>
                <w:szCs w:val="24"/>
              </w:rPr>
            </w:pPr>
            <w:r w:rsidRPr="00877B19">
              <w:rPr>
                <w:color w:val="000000" w:themeColor="text1"/>
                <w:sz w:val="24"/>
                <w:szCs w:val="24"/>
              </w:rPr>
              <w:t xml:space="preserve">Direktīvas </w:t>
            </w:r>
            <w:r w:rsidR="0005256F">
              <w:rPr>
                <w:color w:val="000000" w:themeColor="text1"/>
                <w:sz w:val="24"/>
                <w:szCs w:val="24"/>
              </w:rPr>
              <w:t>Nr. </w:t>
            </w:r>
            <w:r w:rsidRPr="00877B19">
              <w:rPr>
                <w:color w:val="000000" w:themeColor="text1"/>
                <w:sz w:val="24"/>
                <w:szCs w:val="24"/>
              </w:rPr>
              <w:t xml:space="preserve">2014/92 </w:t>
            </w:r>
          </w:p>
          <w:p w14:paraId="2E02A5F6" w14:textId="795EDE23" w:rsidR="00767AEC" w:rsidRDefault="00767AEC" w:rsidP="000C4502">
            <w:pPr>
              <w:rPr>
                <w:color w:val="000000" w:themeColor="text1"/>
                <w:sz w:val="24"/>
                <w:szCs w:val="24"/>
              </w:rPr>
            </w:pPr>
            <w:r>
              <w:rPr>
                <w:color w:val="000000" w:themeColor="text1"/>
                <w:sz w:val="24"/>
                <w:szCs w:val="24"/>
              </w:rPr>
              <w:t>5</w:t>
            </w:r>
            <w:r w:rsidRPr="00877B19">
              <w:rPr>
                <w:color w:val="000000" w:themeColor="text1"/>
                <w:sz w:val="24"/>
                <w:szCs w:val="24"/>
              </w:rPr>
              <w:t>.</w:t>
            </w:r>
            <w:r w:rsidR="00783A42">
              <w:rPr>
                <w:color w:val="000000" w:themeColor="text1"/>
                <w:sz w:val="24"/>
                <w:szCs w:val="24"/>
              </w:rPr>
              <w:t> </w:t>
            </w:r>
            <w:r w:rsidRPr="00877B19">
              <w:rPr>
                <w:color w:val="000000" w:themeColor="text1"/>
                <w:sz w:val="24"/>
                <w:szCs w:val="24"/>
              </w:rPr>
              <w:t xml:space="preserve">panta </w:t>
            </w:r>
            <w:r>
              <w:rPr>
                <w:color w:val="000000" w:themeColor="text1"/>
                <w:sz w:val="24"/>
                <w:szCs w:val="24"/>
              </w:rPr>
              <w:t>3</w:t>
            </w:r>
            <w:r w:rsidRPr="00877B19">
              <w:rPr>
                <w:color w:val="000000" w:themeColor="text1"/>
                <w:sz w:val="24"/>
                <w:szCs w:val="24"/>
              </w:rPr>
              <w:t>.</w:t>
            </w:r>
            <w:r w:rsidR="00783A42">
              <w:rPr>
                <w:color w:val="000000" w:themeColor="text1"/>
                <w:sz w:val="24"/>
                <w:szCs w:val="24"/>
              </w:rPr>
              <w:t> </w:t>
            </w:r>
            <w:r w:rsidRPr="00877B19">
              <w:rPr>
                <w:color w:val="000000" w:themeColor="text1"/>
                <w:sz w:val="24"/>
                <w:szCs w:val="24"/>
              </w:rPr>
              <w:t>punkts</w:t>
            </w:r>
          </w:p>
        </w:tc>
        <w:tc>
          <w:tcPr>
            <w:tcW w:w="2358" w:type="dxa"/>
          </w:tcPr>
          <w:p w14:paraId="36A59CBE" w14:textId="5AACDC89" w:rsidR="00767AEC" w:rsidRPr="00C23BE8" w:rsidRDefault="00767AEC" w:rsidP="000C4502">
            <w:pPr>
              <w:rPr>
                <w:color w:val="000000" w:themeColor="text1"/>
                <w:sz w:val="24"/>
                <w:szCs w:val="24"/>
              </w:rPr>
            </w:pPr>
            <w:r>
              <w:rPr>
                <w:color w:val="000000" w:themeColor="text1"/>
                <w:sz w:val="24"/>
                <w:szCs w:val="24"/>
              </w:rPr>
              <w:t xml:space="preserve">Projekta </w:t>
            </w:r>
            <w:r w:rsidR="00D759EA">
              <w:rPr>
                <w:color w:val="000000" w:themeColor="text1"/>
                <w:sz w:val="24"/>
                <w:szCs w:val="24"/>
              </w:rPr>
              <w:t xml:space="preserve">3., </w:t>
            </w:r>
            <w:r>
              <w:rPr>
                <w:color w:val="000000" w:themeColor="text1"/>
                <w:sz w:val="24"/>
                <w:szCs w:val="24"/>
              </w:rPr>
              <w:t>4.</w:t>
            </w:r>
            <w:r w:rsidR="009A057F">
              <w:rPr>
                <w:color w:val="000000" w:themeColor="text1"/>
                <w:sz w:val="24"/>
                <w:szCs w:val="24"/>
              </w:rPr>
              <w:t xml:space="preserve">, </w:t>
            </w:r>
            <w:r w:rsidR="00284DE5">
              <w:rPr>
                <w:color w:val="000000" w:themeColor="text1"/>
                <w:sz w:val="24"/>
                <w:szCs w:val="24"/>
              </w:rPr>
              <w:t>5</w:t>
            </w:r>
            <w:r w:rsidR="00D759EA">
              <w:rPr>
                <w:color w:val="000000" w:themeColor="text1"/>
                <w:sz w:val="24"/>
                <w:szCs w:val="24"/>
              </w:rPr>
              <w:t>.</w:t>
            </w:r>
            <w:r w:rsidR="00726E1C">
              <w:rPr>
                <w:color w:val="000000" w:themeColor="text1"/>
                <w:sz w:val="24"/>
                <w:szCs w:val="24"/>
              </w:rPr>
              <w:t xml:space="preserve"> </w:t>
            </w:r>
            <w:r w:rsidR="009A057F">
              <w:rPr>
                <w:color w:val="000000" w:themeColor="text1"/>
                <w:sz w:val="24"/>
                <w:szCs w:val="24"/>
              </w:rPr>
              <w:t xml:space="preserve">un </w:t>
            </w:r>
            <w:r w:rsidR="00284DE5">
              <w:rPr>
                <w:color w:val="000000" w:themeColor="text1"/>
                <w:sz w:val="24"/>
                <w:szCs w:val="24"/>
              </w:rPr>
              <w:t>7</w:t>
            </w:r>
            <w:r w:rsidR="009A057F">
              <w:rPr>
                <w:color w:val="000000" w:themeColor="text1"/>
                <w:sz w:val="24"/>
                <w:szCs w:val="24"/>
              </w:rPr>
              <w:t>.</w:t>
            </w:r>
            <w:r>
              <w:rPr>
                <w:color w:val="000000" w:themeColor="text1"/>
                <w:sz w:val="24"/>
                <w:szCs w:val="24"/>
              </w:rPr>
              <w:t xml:space="preserve"> punkts </w:t>
            </w:r>
          </w:p>
        </w:tc>
        <w:tc>
          <w:tcPr>
            <w:tcW w:w="2579" w:type="dxa"/>
          </w:tcPr>
          <w:p w14:paraId="0A7AFEB7" w14:textId="77777777" w:rsidR="00767AEC" w:rsidRPr="00C23BE8" w:rsidRDefault="00767AEC" w:rsidP="000C4502">
            <w:pPr>
              <w:rPr>
                <w:color w:val="000000" w:themeColor="text1"/>
                <w:sz w:val="24"/>
                <w:szCs w:val="24"/>
              </w:rPr>
            </w:pPr>
            <w:r>
              <w:rPr>
                <w:color w:val="000000" w:themeColor="text1"/>
                <w:sz w:val="24"/>
                <w:szCs w:val="24"/>
              </w:rPr>
              <w:t>Izpilda pilnībā</w:t>
            </w:r>
          </w:p>
        </w:tc>
        <w:tc>
          <w:tcPr>
            <w:tcW w:w="2604" w:type="dxa"/>
          </w:tcPr>
          <w:p w14:paraId="2B8A7638" w14:textId="77777777" w:rsidR="00767AEC" w:rsidRPr="00C23BE8" w:rsidRDefault="00767AEC" w:rsidP="000C4502">
            <w:pPr>
              <w:rPr>
                <w:color w:val="000000" w:themeColor="text1"/>
                <w:sz w:val="24"/>
                <w:szCs w:val="24"/>
              </w:rPr>
            </w:pPr>
            <w:r>
              <w:rPr>
                <w:color w:val="000000" w:themeColor="text1"/>
                <w:sz w:val="24"/>
                <w:szCs w:val="24"/>
              </w:rPr>
              <w:t>Nē</w:t>
            </w:r>
          </w:p>
        </w:tc>
        <w:tc>
          <w:tcPr>
            <w:tcW w:w="2822" w:type="dxa"/>
          </w:tcPr>
          <w:p w14:paraId="79E5FD9C" w14:textId="77777777" w:rsidR="00767AEC" w:rsidRPr="00C23BE8" w:rsidRDefault="00767AEC" w:rsidP="000C4502">
            <w:pPr>
              <w:rPr>
                <w:color w:val="000000" w:themeColor="text1"/>
                <w:sz w:val="24"/>
                <w:szCs w:val="24"/>
              </w:rPr>
            </w:pPr>
            <w:r>
              <w:rPr>
                <w:color w:val="000000" w:themeColor="text1"/>
                <w:sz w:val="24"/>
                <w:szCs w:val="24"/>
              </w:rPr>
              <w:t>Jā</w:t>
            </w:r>
          </w:p>
        </w:tc>
        <w:tc>
          <w:tcPr>
            <w:tcW w:w="2335" w:type="dxa"/>
          </w:tcPr>
          <w:p w14:paraId="4FDF46DF" w14:textId="7E1DA28E" w:rsidR="00821D5C" w:rsidRPr="00821D5C" w:rsidRDefault="00821D5C" w:rsidP="0095342B">
            <w:pPr>
              <w:jc w:val="left"/>
              <w:rPr>
                <w:color w:val="000000" w:themeColor="text1"/>
                <w:sz w:val="24"/>
                <w:szCs w:val="24"/>
              </w:rPr>
            </w:pPr>
            <w:r w:rsidRPr="00821D5C">
              <w:rPr>
                <w:color w:val="000000" w:themeColor="text1"/>
                <w:sz w:val="24"/>
                <w:szCs w:val="24"/>
              </w:rPr>
              <w:t xml:space="preserve">Direktīvas </w:t>
            </w:r>
            <w:r w:rsidR="0005256F">
              <w:rPr>
                <w:color w:val="000000" w:themeColor="text1"/>
                <w:sz w:val="24"/>
                <w:szCs w:val="24"/>
              </w:rPr>
              <w:t>Nr. </w:t>
            </w:r>
            <w:r w:rsidRPr="00821D5C">
              <w:rPr>
                <w:color w:val="000000" w:themeColor="text1"/>
                <w:sz w:val="24"/>
                <w:szCs w:val="24"/>
              </w:rPr>
              <w:t>2014/92 29.</w:t>
            </w:r>
            <w:r w:rsidR="0005256F">
              <w:rPr>
                <w:color w:val="000000" w:themeColor="text1"/>
                <w:sz w:val="24"/>
                <w:szCs w:val="24"/>
              </w:rPr>
              <w:t> </w:t>
            </w:r>
            <w:r w:rsidRPr="00821D5C">
              <w:rPr>
                <w:color w:val="000000" w:themeColor="text1"/>
                <w:sz w:val="24"/>
                <w:szCs w:val="24"/>
              </w:rPr>
              <w:t>panta 4.</w:t>
            </w:r>
            <w:r w:rsidR="0005256F">
              <w:rPr>
                <w:color w:val="000000" w:themeColor="text1"/>
                <w:sz w:val="24"/>
                <w:szCs w:val="24"/>
              </w:rPr>
              <w:t> </w:t>
            </w:r>
            <w:r w:rsidRPr="00821D5C">
              <w:rPr>
                <w:color w:val="000000" w:themeColor="text1"/>
                <w:sz w:val="24"/>
                <w:szCs w:val="24"/>
              </w:rPr>
              <w:t xml:space="preserve">punkts paredz, ka dalībvalstis paziņo Eiropas Komisijai par šīs direktīvas prasību pārņemšanu. </w:t>
            </w:r>
          </w:p>
          <w:p w14:paraId="073F3D84" w14:textId="477CDA34" w:rsidR="00767AEC" w:rsidRPr="00C23BE8" w:rsidRDefault="00821D5C" w:rsidP="0095342B">
            <w:pPr>
              <w:jc w:val="left"/>
              <w:rPr>
                <w:color w:val="000000" w:themeColor="text1"/>
                <w:sz w:val="24"/>
                <w:szCs w:val="24"/>
              </w:rPr>
            </w:pPr>
            <w:r w:rsidRPr="00821D5C">
              <w:rPr>
                <w:color w:val="000000" w:themeColor="text1"/>
                <w:sz w:val="24"/>
                <w:szCs w:val="24"/>
              </w:rPr>
              <w:t>Minēto paziņošanas pienākumu izpildīs Finanšu ministrija, sniedzot paziņojumu Eiropas Komisijai pēc projekta apstiprināšanas Latvijas Bankas padomē.</w:t>
            </w:r>
          </w:p>
        </w:tc>
      </w:tr>
    </w:tbl>
    <w:p w14:paraId="42D2C8D8" w14:textId="51E054FC" w:rsidR="00531E1A" w:rsidRDefault="00531E1A" w:rsidP="00783A42">
      <w:pPr>
        <w:spacing w:after="0" w:line="240" w:lineRule="auto"/>
        <w:rPr>
          <w:rFonts w:ascii="Times New Roman" w:hAnsi="Times New Roman" w:cs="Times New Roman"/>
          <w:sz w:val="24"/>
          <w:szCs w:val="24"/>
        </w:rPr>
      </w:pPr>
    </w:p>
    <w:p w14:paraId="26292F8D" w14:textId="77777777" w:rsidR="00531E1A" w:rsidRDefault="00531E1A">
      <w:pPr>
        <w:rPr>
          <w:rFonts w:ascii="Times New Roman" w:hAnsi="Times New Roman" w:cs="Times New Roman"/>
          <w:sz w:val="24"/>
          <w:szCs w:val="24"/>
        </w:rPr>
      </w:pPr>
      <w:r>
        <w:rPr>
          <w:rFonts w:ascii="Times New Roman" w:hAnsi="Times New Roman" w:cs="Times New Roman"/>
          <w:sz w:val="24"/>
          <w:szCs w:val="24"/>
        </w:rPr>
        <w:br w:type="page"/>
      </w:r>
    </w:p>
    <w:p w14:paraId="3365B426" w14:textId="305E590E" w:rsidR="00580BC4" w:rsidRPr="005C79A5" w:rsidRDefault="00580BC4" w:rsidP="00C43B63">
      <w:pPr>
        <w:spacing w:after="0" w:line="240" w:lineRule="auto"/>
        <w:jc w:val="right"/>
        <w:rPr>
          <w:rFonts w:ascii="Times New Roman" w:hAnsi="Times New Roman" w:cs="Times New Roman"/>
          <w:sz w:val="24"/>
          <w:szCs w:val="24"/>
        </w:rPr>
      </w:pPr>
      <w:r w:rsidRPr="005C79A5">
        <w:rPr>
          <w:rFonts w:ascii="Times New Roman" w:hAnsi="Times New Roman" w:cs="Times New Roman"/>
          <w:sz w:val="24"/>
          <w:szCs w:val="24"/>
        </w:rPr>
        <w:t>Pielikums</w:t>
      </w:r>
      <w:r w:rsidR="00373C71">
        <w:rPr>
          <w:rFonts w:ascii="Times New Roman" w:hAnsi="Times New Roman" w:cs="Times New Roman"/>
          <w:sz w:val="24"/>
          <w:szCs w:val="24"/>
        </w:rPr>
        <w:t xml:space="preserve"> Nr.</w:t>
      </w:r>
      <w:r w:rsidR="008B25D0">
        <w:rPr>
          <w:rFonts w:ascii="Times New Roman" w:hAnsi="Times New Roman" w:cs="Times New Roman"/>
          <w:sz w:val="24"/>
          <w:szCs w:val="24"/>
        </w:rPr>
        <w:t> </w:t>
      </w:r>
      <w:r w:rsidR="00373C71">
        <w:rPr>
          <w:rFonts w:ascii="Times New Roman" w:hAnsi="Times New Roman" w:cs="Times New Roman"/>
          <w:sz w:val="24"/>
          <w:szCs w:val="24"/>
        </w:rPr>
        <w:t>2</w:t>
      </w:r>
    </w:p>
    <w:p w14:paraId="5FBCEC7F" w14:textId="77777777" w:rsidR="00580BC4" w:rsidRPr="005C79A5" w:rsidRDefault="00580BC4" w:rsidP="00580BC4">
      <w:pPr>
        <w:spacing w:after="0" w:line="240" w:lineRule="auto"/>
        <w:jc w:val="right"/>
        <w:rPr>
          <w:rFonts w:ascii="Times New Roman" w:hAnsi="Times New Roman" w:cs="Times New Roman"/>
          <w:sz w:val="24"/>
          <w:szCs w:val="24"/>
        </w:rPr>
      </w:pPr>
      <w:r w:rsidRPr="005C79A5">
        <w:rPr>
          <w:rFonts w:ascii="Times New Roman" w:hAnsi="Times New Roman" w:cs="Times New Roman"/>
          <w:sz w:val="24"/>
          <w:szCs w:val="24"/>
        </w:rPr>
        <w:t>Latvijas Bankas noteikumu projekta</w:t>
      </w:r>
    </w:p>
    <w:p w14:paraId="6DC9A40B" w14:textId="35E552D2" w:rsidR="00580BC4" w:rsidRPr="005C79A5" w:rsidRDefault="00580BC4" w:rsidP="00580BC4">
      <w:pPr>
        <w:spacing w:after="0" w:line="240" w:lineRule="auto"/>
        <w:jc w:val="right"/>
        <w:rPr>
          <w:rFonts w:ascii="Times New Roman" w:hAnsi="Times New Roman" w:cs="Times New Roman"/>
          <w:sz w:val="24"/>
          <w:szCs w:val="24"/>
        </w:rPr>
      </w:pPr>
      <w:r w:rsidRPr="005C79A5">
        <w:rPr>
          <w:rFonts w:ascii="Times New Roman" w:hAnsi="Times New Roman" w:cs="Times New Roman"/>
          <w:sz w:val="24"/>
          <w:szCs w:val="24"/>
        </w:rPr>
        <w:t>anotācijai</w:t>
      </w:r>
    </w:p>
    <w:sdt>
      <w:sdtPr>
        <w:rPr>
          <w:rFonts w:ascii="Times New Roman" w:hAnsi="Times New Roman" w:cs="Times New Roman"/>
          <w:b/>
          <w:color w:val="000000" w:themeColor="text1"/>
          <w:sz w:val="24"/>
          <w:szCs w:val="24"/>
        </w:rPr>
        <w:id w:val="-1871525274"/>
        <w:placeholder>
          <w:docPart w:val="10133751E11B4FA6A7EB0A4BBDF81AED"/>
        </w:placeholder>
      </w:sdtPr>
      <w:sdtEndPr/>
      <w:sdtContent>
        <w:sdt>
          <w:sdtPr>
            <w:rPr>
              <w:rFonts w:ascii="Times New Roman" w:hAnsi="Times New Roman" w:cs="Times New Roman"/>
              <w:b/>
              <w:color w:val="000000" w:themeColor="text1"/>
              <w:sz w:val="24"/>
              <w:szCs w:val="24"/>
            </w:rPr>
            <w:id w:val="293333744"/>
            <w:placeholder>
              <w:docPart w:val="F44696EF12AC42E38E22C63A7275B63D"/>
            </w:placeholder>
          </w:sdtPr>
          <w:sdtEndPr/>
          <w:sdtContent>
            <w:sdt>
              <w:sdtPr>
                <w:rPr>
                  <w:rFonts w:ascii="Times New Roman" w:hAnsi="Times New Roman" w:cs="Times New Roman"/>
                  <w:b/>
                  <w:color w:val="000000" w:themeColor="text1"/>
                  <w:sz w:val="24"/>
                  <w:szCs w:val="24"/>
                </w:rPr>
                <w:id w:val="1472949152"/>
                <w:placeholder>
                  <w:docPart w:val="4FA488E03FCF4D0B80C7DEFBD9AB1586"/>
                </w:placeholder>
              </w:sdtPr>
              <w:sdtEndPr/>
              <w:sdtContent>
                <w:p w14:paraId="6BA72704" w14:textId="11D0AC76" w:rsidR="00580BC4" w:rsidRPr="005C79A5" w:rsidRDefault="00580BC4" w:rsidP="00580BC4">
                  <w:pPr>
                    <w:spacing w:before="240" w:after="0" w:line="240" w:lineRule="auto"/>
                    <w:jc w:val="both"/>
                    <w:rPr>
                      <w:rFonts w:ascii="Times New Roman" w:hAnsi="Times New Roman" w:cs="Times New Roman"/>
                      <w:b/>
                      <w:color w:val="000000" w:themeColor="text1"/>
                      <w:sz w:val="24"/>
                      <w:szCs w:val="24"/>
                    </w:rPr>
                  </w:pPr>
                  <w:r w:rsidRPr="005C79A5">
                    <w:rPr>
                      <w:rFonts w:ascii="Times New Roman" w:hAnsi="Times New Roman" w:cs="Times New Roman"/>
                      <w:b/>
                      <w:color w:val="000000" w:themeColor="text1"/>
                      <w:sz w:val="24"/>
                      <w:szCs w:val="24"/>
                    </w:rPr>
                    <w:t xml:space="preserve">Sabiedrības līdzdalības laikā </w:t>
                  </w:r>
                  <w:bookmarkStart w:id="2" w:name="_Hlk158042709"/>
                  <w:r w:rsidRPr="005C79A5">
                    <w:rPr>
                      <w:rFonts w:ascii="Times New Roman" w:hAnsi="Times New Roman" w:cs="Times New Roman"/>
                      <w:b/>
                      <w:color w:val="000000" w:themeColor="text1"/>
                      <w:sz w:val="24"/>
                      <w:szCs w:val="24"/>
                    </w:rPr>
                    <w:t>saņemto priekšlikumu par Latvijas Bankas noteikumu projektu</w:t>
                  </w:r>
                  <w:r w:rsidRPr="005C79A5">
                    <w:t xml:space="preserve"> </w:t>
                  </w:r>
                  <w:bookmarkEnd w:id="2"/>
                  <w:r w:rsidRPr="00580BC4">
                    <w:rPr>
                      <w:rFonts w:ascii="Times New Roman" w:hAnsi="Times New Roman" w:cs="Times New Roman"/>
                      <w:b/>
                      <w:color w:val="000000" w:themeColor="text1"/>
                      <w:sz w:val="24"/>
                      <w:szCs w:val="24"/>
                    </w:rPr>
                    <w:t xml:space="preserve">''Minimālās prasības ar maksājumu kontu saistīto pakalpojumu cenrādim un pakalpojumu maksas pārskatam'' </w:t>
                  </w:r>
                  <w:r w:rsidRPr="005C79A5">
                    <w:rPr>
                      <w:rFonts w:ascii="Times New Roman" w:hAnsi="Times New Roman" w:cs="Times New Roman"/>
                      <w:b/>
                      <w:color w:val="000000" w:themeColor="text1"/>
                      <w:sz w:val="24"/>
                      <w:szCs w:val="24"/>
                    </w:rPr>
                    <w:t>apkopojums</w:t>
                  </w:r>
                </w:p>
              </w:sdtContent>
            </w:sdt>
          </w:sdtContent>
        </w:sdt>
      </w:sdtContent>
    </w:sdt>
    <w:p w14:paraId="0690A963" w14:textId="0E0A923B" w:rsidR="00580BC4" w:rsidRPr="005C79A5" w:rsidRDefault="00580BC4" w:rsidP="00580BC4">
      <w:pPr>
        <w:spacing w:before="240" w:after="0" w:line="240" w:lineRule="auto"/>
        <w:jc w:val="both"/>
        <w:outlineLvl w:val="0"/>
        <w:rPr>
          <w:rFonts w:ascii="Times New Roman" w:eastAsia="Times New Roman" w:hAnsi="Times New Roman" w:cs="Times New Roman"/>
          <w:bCs/>
          <w:sz w:val="24"/>
          <w:szCs w:val="24"/>
          <w:lang w:eastAsia="lv-LV"/>
        </w:rPr>
      </w:pPr>
      <w:r w:rsidRPr="005C79A5">
        <w:rPr>
          <w:rFonts w:ascii="Times New Roman" w:eastAsia="Times New Roman" w:hAnsi="Times New Roman" w:cs="Times New Roman"/>
          <w:bCs/>
          <w:sz w:val="24"/>
          <w:szCs w:val="24"/>
          <w:lang w:eastAsia="lv-LV"/>
        </w:rPr>
        <w:t>Latvijas Banka 202</w:t>
      </w:r>
      <w:r>
        <w:rPr>
          <w:rFonts w:ascii="Times New Roman" w:eastAsia="Times New Roman" w:hAnsi="Times New Roman" w:cs="Times New Roman"/>
          <w:bCs/>
          <w:sz w:val="24"/>
          <w:szCs w:val="24"/>
          <w:lang w:eastAsia="lv-LV"/>
        </w:rPr>
        <w:t>4</w:t>
      </w:r>
      <w:r w:rsidRPr="005C79A5">
        <w:rPr>
          <w:rFonts w:ascii="Times New Roman" w:eastAsia="Times New Roman" w:hAnsi="Times New Roman" w:cs="Times New Roman"/>
          <w:bCs/>
          <w:sz w:val="24"/>
          <w:szCs w:val="24"/>
          <w:lang w:eastAsia="lv-LV"/>
        </w:rPr>
        <w:t xml:space="preserve">. gada </w:t>
      </w:r>
      <w:r w:rsidR="00AF4B6F">
        <w:rPr>
          <w:rFonts w:ascii="Times New Roman" w:eastAsia="Times New Roman" w:hAnsi="Times New Roman" w:cs="Times New Roman"/>
          <w:bCs/>
          <w:sz w:val="24"/>
          <w:szCs w:val="24"/>
          <w:lang w:eastAsia="lv-LV"/>
        </w:rPr>
        <w:t>15.</w:t>
      </w:r>
      <w:r w:rsidR="008B25D0">
        <w:rPr>
          <w:rFonts w:ascii="Times New Roman" w:eastAsia="Times New Roman" w:hAnsi="Times New Roman" w:cs="Times New Roman"/>
          <w:bCs/>
          <w:sz w:val="24"/>
          <w:szCs w:val="24"/>
          <w:lang w:eastAsia="lv-LV"/>
        </w:rPr>
        <w:t> </w:t>
      </w:r>
      <w:r w:rsidR="00AF4B6F">
        <w:rPr>
          <w:rFonts w:ascii="Times New Roman" w:eastAsia="Times New Roman" w:hAnsi="Times New Roman" w:cs="Times New Roman"/>
          <w:bCs/>
          <w:sz w:val="24"/>
          <w:szCs w:val="24"/>
          <w:lang w:eastAsia="lv-LV"/>
        </w:rPr>
        <w:t>februārī</w:t>
      </w:r>
      <w:r w:rsidRPr="005C79A5">
        <w:rPr>
          <w:rFonts w:ascii="Times New Roman" w:eastAsia="Times New Roman" w:hAnsi="Times New Roman" w:cs="Times New Roman"/>
          <w:sz w:val="24"/>
          <w:szCs w:val="24"/>
          <w:lang w:eastAsia="lv-LV"/>
        </w:rPr>
        <w:t xml:space="preserve"> </w:t>
      </w:r>
      <w:r w:rsidRPr="005C79A5">
        <w:rPr>
          <w:rFonts w:ascii="Times New Roman" w:eastAsia="Times New Roman" w:hAnsi="Times New Roman" w:cs="Times New Roman"/>
          <w:bCs/>
          <w:sz w:val="24"/>
          <w:szCs w:val="24"/>
          <w:lang w:eastAsia="lv-LV"/>
        </w:rPr>
        <w:t xml:space="preserve">publiskoja noteikumu projektu </w:t>
      </w:r>
      <w:r w:rsidR="00AF4B6F" w:rsidRPr="00AF4B6F">
        <w:rPr>
          <w:rFonts w:ascii="Times New Roman" w:eastAsia="Times New Roman" w:hAnsi="Times New Roman" w:cs="Times New Roman"/>
          <w:bCs/>
          <w:sz w:val="24"/>
          <w:szCs w:val="24"/>
          <w:lang w:eastAsia="lv-LV"/>
        </w:rPr>
        <w:t>''Minimālās prasības ar maksājumu kontu saistīto pakalpojumu cenrādim un pakalpojumu maksas pārskatam''</w:t>
      </w:r>
      <w:r w:rsidRPr="005C79A5">
        <w:rPr>
          <w:rFonts w:ascii="Times New Roman" w:eastAsia="Times New Roman" w:hAnsi="Times New Roman" w:cs="Times New Roman"/>
          <w:bCs/>
          <w:sz w:val="24"/>
          <w:szCs w:val="24"/>
          <w:lang w:eastAsia="lv-LV"/>
        </w:rPr>
        <w:t xml:space="preserve"> (turpmāk – noteikumu projekts) sabiedrības līdzdalībai, proti, komentāru, motivētu priekšlikumu vai iebildumu sniegšanai </w:t>
      </w:r>
      <w:r w:rsidRPr="005C79A5">
        <w:rPr>
          <w:rFonts w:ascii="Times New Roman" w:eastAsia="Times New Roman" w:hAnsi="Times New Roman" w:cs="Times New Roman"/>
          <w:sz w:val="24"/>
          <w:szCs w:val="24"/>
          <w:lang w:eastAsia="lv-LV"/>
        </w:rPr>
        <w:t xml:space="preserve">līdz 2024. gada </w:t>
      </w:r>
      <w:r w:rsidR="00AF4B6F">
        <w:rPr>
          <w:rFonts w:ascii="Times New Roman" w:eastAsia="Times New Roman" w:hAnsi="Times New Roman" w:cs="Times New Roman"/>
          <w:sz w:val="24"/>
          <w:szCs w:val="24"/>
          <w:lang w:eastAsia="lv-LV"/>
        </w:rPr>
        <w:t>28.</w:t>
      </w:r>
      <w:r w:rsidR="008B25D0">
        <w:rPr>
          <w:rFonts w:ascii="Times New Roman" w:eastAsia="Times New Roman" w:hAnsi="Times New Roman" w:cs="Times New Roman"/>
          <w:sz w:val="24"/>
          <w:szCs w:val="24"/>
          <w:lang w:eastAsia="lv-LV"/>
        </w:rPr>
        <w:t> </w:t>
      </w:r>
      <w:r w:rsidR="00AF4B6F">
        <w:rPr>
          <w:rFonts w:ascii="Times New Roman" w:eastAsia="Times New Roman" w:hAnsi="Times New Roman" w:cs="Times New Roman"/>
          <w:sz w:val="24"/>
          <w:szCs w:val="24"/>
          <w:lang w:eastAsia="lv-LV"/>
        </w:rPr>
        <w:t>februārim</w:t>
      </w:r>
      <w:r w:rsidRPr="005C79A5">
        <w:rPr>
          <w:rFonts w:ascii="Times New Roman" w:eastAsia="Times New Roman" w:hAnsi="Times New Roman" w:cs="Times New Roman"/>
          <w:sz w:val="24"/>
          <w:szCs w:val="24"/>
          <w:lang w:eastAsia="lv-LV"/>
        </w:rPr>
        <w:t xml:space="preserve">. </w:t>
      </w:r>
      <w:r w:rsidR="00AF4B6F">
        <w:rPr>
          <w:rFonts w:ascii="Times New Roman" w:eastAsia="Times New Roman" w:hAnsi="Times New Roman" w:cs="Times New Roman"/>
          <w:sz w:val="24"/>
          <w:szCs w:val="24"/>
          <w:lang w:eastAsia="lv-LV"/>
        </w:rPr>
        <w:t>Pēc s</w:t>
      </w:r>
      <w:r w:rsidRPr="005C79A5">
        <w:rPr>
          <w:rFonts w:ascii="Times New Roman" w:eastAsia="Times New Roman" w:hAnsi="Times New Roman" w:cs="Times New Roman"/>
          <w:sz w:val="24"/>
          <w:szCs w:val="24"/>
          <w:lang w:eastAsia="lv-LV"/>
        </w:rPr>
        <w:t xml:space="preserve">abiedrības līdzdalībai noteiktā termiņa </w:t>
      </w:r>
      <w:r w:rsidR="008B25D0">
        <w:rPr>
          <w:rFonts w:ascii="Times New Roman" w:eastAsia="Times New Roman" w:hAnsi="Times New Roman" w:cs="Times New Roman"/>
          <w:sz w:val="24"/>
          <w:szCs w:val="24"/>
          <w:lang w:eastAsia="lv-LV"/>
        </w:rPr>
        <w:t>beigām</w:t>
      </w:r>
      <w:r w:rsidR="00AF4B6F">
        <w:rPr>
          <w:rFonts w:ascii="Times New Roman" w:eastAsia="Times New Roman" w:hAnsi="Times New Roman" w:cs="Times New Roman"/>
          <w:sz w:val="24"/>
          <w:szCs w:val="24"/>
          <w:lang w:eastAsia="lv-LV"/>
        </w:rPr>
        <w:t>, tas ir</w:t>
      </w:r>
      <w:r w:rsidR="008B25D0">
        <w:rPr>
          <w:rFonts w:ascii="Times New Roman" w:eastAsia="Times New Roman" w:hAnsi="Times New Roman" w:cs="Times New Roman"/>
          <w:sz w:val="24"/>
          <w:szCs w:val="24"/>
          <w:lang w:eastAsia="lv-LV"/>
        </w:rPr>
        <w:t>,</w:t>
      </w:r>
      <w:r w:rsidR="00AF4B6F">
        <w:rPr>
          <w:rFonts w:ascii="Times New Roman" w:eastAsia="Times New Roman" w:hAnsi="Times New Roman" w:cs="Times New Roman"/>
          <w:sz w:val="24"/>
          <w:szCs w:val="24"/>
          <w:lang w:eastAsia="lv-LV"/>
        </w:rPr>
        <w:t xml:space="preserve"> </w:t>
      </w:r>
      <w:r w:rsidRPr="005C79A5">
        <w:rPr>
          <w:rFonts w:ascii="Times New Roman" w:eastAsia="Times New Roman" w:hAnsi="Times New Roman" w:cs="Times New Roman"/>
          <w:sz w:val="24"/>
          <w:szCs w:val="24"/>
          <w:lang w:eastAsia="lv-LV"/>
        </w:rPr>
        <w:t xml:space="preserve">2024. gada </w:t>
      </w:r>
      <w:r w:rsidR="00AF4B6F">
        <w:rPr>
          <w:rFonts w:ascii="Times New Roman" w:eastAsia="Times New Roman" w:hAnsi="Times New Roman" w:cs="Times New Roman"/>
          <w:sz w:val="24"/>
          <w:szCs w:val="24"/>
          <w:lang w:eastAsia="lv-LV"/>
        </w:rPr>
        <w:t>29.</w:t>
      </w:r>
      <w:r w:rsidR="008B25D0">
        <w:rPr>
          <w:rFonts w:ascii="Times New Roman" w:eastAsia="Times New Roman" w:hAnsi="Times New Roman" w:cs="Times New Roman"/>
          <w:sz w:val="24"/>
          <w:szCs w:val="24"/>
          <w:lang w:eastAsia="lv-LV"/>
        </w:rPr>
        <w:t> </w:t>
      </w:r>
      <w:r w:rsidR="00AF4B6F">
        <w:rPr>
          <w:rFonts w:ascii="Times New Roman" w:eastAsia="Times New Roman" w:hAnsi="Times New Roman" w:cs="Times New Roman"/>
          <w:sz w:val="24"/>
          <w:szCs w:val="24"/>
          <w:lang w:eastAsia="lv-LV"/>
        </w:rPr>
        <w:t>februārī</w:t>
      </w:r>
      <w:r w:rsidRPr="005C79A5">
        <w:rPr>
          <w:rFonts w:ascii="Times New Roman" w:eastAsia="Times New Roman" w:hAnsi="Times New Roman" w:cs="Times New Roman"/>
          <w:sz w:val="24"/>
          <w:szCs w:val="24"/>
          <w:lang w:eastAsia="lv-LV"/>
        </w:rPr>
        <w:t xml:space="preserve">, komentārus iesniedza </w:t>
      </w:r>
      <w:r w:rsidR="008B25D0">
        <w:rPr>
          <w:rFonts w:ascii="Times New Roman" w:eastAsia="Times New Roman" w:hAnsi="Times New Roman" w:cs="Times New Roman"/>
          <w:sz w:val="24"/>
          <w:szCs w:val="24"/>
          <w:lang w:eastAsia="lv-LV"/>
        </w:rPr>
        <w:t xml:space="preserve">akciju sabiedrība </w:t>
      </w:r>
      <w:r w:rsidR="00AF4B6F">
        <w:rPr>
          <w:rFonts w:ascii="Times New Roman" w:eastAsia="Times New Roman" w:hAnsi="Times New Roman" w:cs="Times New Roman"/>
          <w:sz w:val="24"/>
          <w:szCs w:val="24"/>
          <w:lang w:eastAsia="lv-LV"/>
        </w:rPr>
        <w:t xml:space="preserve">''Rietumu </w:t>
      </w:r>
      <w:r w:rsidR="008B25D0">
        <w:rPr>
          <w:rFonts w:ascii="Times New Roman" w:eastAsia="Times New Roman" w:hAnsi="Times New Roman" w:cs="Times New Roman"/>
          <w:sz w:val="24"/>
          <w:szCs w:val="24"/>
          <w:lang w:eastAsia="lv-LV"/>
        </w:rPr>
        <w:t>B</w:t>
      </w:r>
      <w:r w:rsidR="00AF4B6F">
        <w:rPr>
          <w:rFonts w:ascii="Times New Roman" w:eastAsia="Times New Roman" w:hAnsi="Times New Roman" w:cs="Times New Roman"/>
          <w:sz w:val="24"/>
          <w:szCs w:val="24"/>
          <w:lang w:eastAsia="lv-LV"/>
        </w:rPr>
        <w:t>anka''</w:t>
      </w:r>
      <w:r w:rsidRPr="005C79A5">
        <w:rPr>
          <w:rFonts w:ascii="Times New Roman" w:eastAsia="Times New Roman" w:hAnsi="Times New Roman" w:cs="Times New Roman"/>
          <w:sz w:val="24"/>
          <w:szCs w:val="24"/>
          <w:lang w:eastAsia="lv-LV"/>
        </w:rPr>
        <w:t xml:space="preserve">. Latvijas Banka ir iepazinusies ar </w:t>
      </w:r>
      <w:r w:rsidR="008B25D0">
        <w:rPr>
          <w:rFonts w:ascii="Times New Roman" w:eastAsia="Times New Roman" w:hAnsi="Times New Roman" w:cs="Times New Roman"/>
          <w:sz w:val="24"/>
          <w:szCs w:val="24"/>
          <w:lang w:eastAsia="lv-LV"/>
        </w:rPr>
        <w:t xml:space="preserve">akciju sabiedrības </w:t>
      </w:r>
      <w:r w:rsidR="00AF4B6F">
        <w:rPr>
          <w:rFonts w:ascii="Times New Roman" w:eastAsia="Times New Roman" w:hAnsi="Times New Roman" w:cs="Times New Roman"/>
          <w:sz w:val="24"/>
          <w:szCs w:val="24"/>
          <w:lang w:eastAsia="lv-LV"/>
        </w:rPr>
        <w:t xml:space="preserve">''Rietumu </w:t>
      </w:r>
      <w:r w:rsidR="008B25D0">
        <w:rPr>
          <w:rFonts w:ascii="Times New Roman" w:eastAsia="Times New Roman" w:hAnsi="Times New Roman" w:cs="Times New Roman"/>
          <w:sz w:val="24"/>
          <w:szCs w:val="24"/>
          <w:lang w:eastAsia="lv-LV"/>
        </w:rPr>
        <w:t>B</w:t>
      </w:r>
      <w:r w:rsidR="00AF4B6F">
        <w:rPr>
          <w:rFonts w:ascii="Times New Roman" w:eastAsia="Times New Roman" w:hAnsi="Times New Roman" w:cs="Times New Roman"/>
          <w:sz w:val="24"/>
          <w:szCs w:val="24"/>
          <w:lang w:eastAsia="lv-LV"/>
        </w:rPr>
        <w:t>anka''</w:t>
      </w:r>
      <w:r w:rsidRPr="005C79A5">
        <w:rPr>
          <w:rFonts w:ascii="Times New Roman" w:eastAsia="Times New Roman" w:hAnsi="Times New Roman" w:cs="Times New Roman"/>
          <w:sz w:val="24"/>
          <w:szCs w:val="24"/>
          <w:lang w:eastAsia="lv-LV"/>
        </w:rPr>
        <w:t xml:space="preserve"> komentāriem un sniedz savu viedokli.</w:t>
      </w:r>
    </w:p>
    <w:p w14:paraId="76BEE1DA" w14:textId="77777777" w:rsidR="00580BC4" w:rsidRPr="005C79A5" w:rsidRDefault="00580BC4" w:rsidP="00580BC4">
      <w:pPr>
        <w:spacing w:before="240" w:after="0" w:line="240" w:lineRule="auto"/>
        <w:jc w:val="both"/>
        <w:outlineLvl w:val="0"/>
        <w:rPr>
          <w:rFonts w:ascii="Times New Roman" w:eastAsia="Times New Roman" w:hAnsi="Times New Roman" w:cs="Times New Roman"/>
          <w:bCs/>
          <w:sz w:val="24"/>
          <w:szCs w:val="24"/>
          <w:lang w:eastAsia="lv-LV"/>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77"/>
        <w:gridCol w:w="4694"/>
        <w:gridCol w:w="4662"/>
      </w:tblGrid>
      <w:tr w:rsidR="00580BC4" w:rsidRPr="005C79A5" w14:paraId="488467D1" w14:textId="77777777" w:rsidTr="008E5CB5">
        <w:tc>
          <w:tcPr>
            <w:tcW w:w="0" w:type="auto"/>
            <w:tcBorders>
              <w:top w:val="single" w:sz="4" w:space="0" w:color="auto"/>
              <w:left w:val="single" w:sz="4" w:space="0" w:color="auto"/>
              <w:bottom w:val="single" w:sz="4" w:space="0" w:color="auto"/>
              <w:right w:val="single" w:sz="4" w:space="0" w:color="auto"/>
            </w:tcBorders>
          </w:tcPr>
          <w:p w14:paraId="13EB4C74" w14:textId="77777777" w:rsidR="00580BC4" w:rsidRPr="00AF4B6F" w:rsidRDefault="00580BC4" w:rsidP="008E5CB5">
            <w:pPr>
              <w:spacing w:after="0" w:line="240" w:lineRule="auto"/>
              <w:jc w:val="center"/>
              <w:rPr>
                <w:rFonts w:ascii="Times New Roman" w:hAnsi="Times New Roman" w:cs="Times New Roman"/>
                <w:sz w:val="24"/>
                <w:szCs w:val="24"/>
              </w:rPr>
            </w:pPr>
            <w:r w:rsidRPr="00AF4B6F">
              <w:rPr>
                <w:rFonts w:ascii="Times New Roman" w:hAnsi="Times New Roman" w:cs="Times New Roman"/>
                <w:sz w:val="24"/>
                <w:szCs w:val="24"/>
              </w:rPr>
              <w:t>Nr.</w:t>
            </w:r>
            <w:r w:rsidRPr="00AF4B6F">
              <w:rPr>
                <w:rFonts w:ascii="Times New Roman" w:hAnsi="Times New Roman" w:cs="Times New Roman"/>
                <w:sz w:val="24"/>
                <w:szCs w:val="24"/>
              </w:rPr>
              <w:br/>
              <w:t>p. k.</w:t>
            </w:r>
          </w:p>
        </w:tc>
        <w:tc>
          <w:tcPr>
            <w:tcW w:w="4577" w:type="dxa"/>
            <w:tcBorders>
              <w:top w:val="single" w:sz="4" w:space="0" w:color="auto"/>
              <w:left w:val="single" w:sz="4" w:space="0" w:color="auto"/>
              <w:bottom w:val="single" w:sz="4" w:space="0" w:color="auto"/>
              <w:right w:val="single" w:sz="4" w:space="0" w:color="auto"/>
            </w:tcBorders>
            <w:shd w:val="clear" w:color="auto" w:fill="auto"/>
            <w:hideMark/>
          </w:tcPr>
          <w:p w14:paraId="44E0B31D" w14:textId="77777777" w:rsidR="00580BC4" w:rsidRPr="00AF4B6F" w:rsidRDefault="00580BC4" w:rsidP="008E5CB5">
            <w:pPr>
              <w:spacing w:after="0" w:line="240" w:lineRule="auto"/>
              <w:jc w:val="center"/>
              <w:rPr>
                <w:rFonts w:ascii="Times New Roman" w:hAnsi="Times New Roman" w:cs="Times New Roman"/>
                <w:sz w:val="24"/>
                <w:szCs w:val="24"/>
              </w:rPr>
            </w:pPr>
            <w:r w:rsidRPr="00AF4B6F">
              <w:rPr>
                <w:rFonts w:ascii="Times New Roman" w:hAnsi="Times New Roman" w:cs="Times New Roman"/>
                <w:sz w:val="24"/>
                <w:szCs w:val="24"/>
              </w:rPr>
              <w:t>Sabiedrības līdzdalībai nodotā projekta redakcija (konkrēta punkta redakcija)</w:t>
            </w:r>
          </w:p>
        </w:tc>
        <w:tc>
          <w:tcPr>
            <w:tcW w:w="4694" w:type="dxa"/>
            <w:tcBorders>
              <w:top w:val="single" w:sz="4" w:space="0" w:color="auto"/>
              <w:left w:val="single" w:sz="4" w:space="0" w:color="auto"/>
              <w:bottom w:val="single" w:sz="4" w:space="0" w:color="auto"/>
              <w:right w:val="single" w:sz="4" w:space="0" w:color="auto"/>
            </w:tcBorders>
            <w:shd w:val="clear" w:color="auto" w:fill="auto"/>
            <w:hideMark/>
          </w:tcPr>
          <w:p w14:paraId="7B44497B" w14:textId="77777777" w:rsidR="00580BC4" w:rsidRPr="005C79A5" w:rsidRDefault="00580BC4" w:rsidP="008E5CB5">
            <w:pPr>
              <w:spacing w:after="0" w:line="240" w:lineRule="auto"/>
              <w:jc w:val="center"/>
              <w:rPr>
                <w:rFonts w:ascii="Times New Roman" w:hAnsi="Times New Roman" w:cs="Times New Roman"/>
                <w:b/>
                <w:sz w:val="24"/>
                <w:szCs w:val="24"/>
              </w:rPr>
            </w:pPr>
            <w:r w:rsidRPr="005C79A5">
              <w:rPr>
                <w:rFonts w:ascii="Times New Roman" w:hAnsi="Times New Roman" w:cs="Times New Roman"/>
                <w:b/>
                <w:sz w:val="24"/>
                <w:szCs w:val="24"/>
              </w:rPr>
              <w:t>Izteiktais iebildums (priekšlikums)</w:t>
            </w:r>
            <w:r w:rsidRPr="005C79A5">
              <w:rPr>
                <w:rFonts w:ascii="Times New Roman" w:hAnsi="Times New Roman" w:cs="Times New Roman"/>
                <w:b/>
                <w:iCs/>
                <w:sz w:val="24"/>
                <w:szCs w:val="24"/>
              </w:rPr>
              <w:t xml:space="preserve"> par projekta konkrēto punktu, norādot sabiedrības pārstāvi</w:t>
            </w:r>
          </w:p>
        </w:tc>
        <w:tc>
          <w:tcPr>
            <w:tcW w:w="4662" w:type="dxa"/>
            <w:tcBorders>
              <w:top w:val="single" w:sz="4" w:space="0" w:color="auto"/>
              <w:left w:val="single" w:sz="4" w:space="0" w:color="auto"/>
              <w:bottom w:val="single" w:sz="4" w:space="0" w:color="auto"/>
              <w:right w:val="single" w:sz="4" w:space="0" w:color="auto"/>
            </w:tcBorders>
            <w:shd w:val="clear" w:color="auto" w:fill="auto"/>
            <w:hideMark/>
          </w:tcPr>
          <w:p w14:paraId="05C3EDBF" w14:textId="77777777" w:rsidR="00580BC4" w:rsidRPr="005C79A5" w:rsidRDefault="00580BC4" w:rsidP="008E5CB5">
            <w:pPr>
              <w:spacing w:after="0" w:line="240" w:lineRule="auto"/>
              <w:jc w:val="center"/>
              <w:rPr>
                <w:rFonts w:ascii="Times New Roman" w:hAnsi="Times New Roman" w:cs="Times New Roman"/>
                <w:b/>
                <w:sz w:val="24"/>
                <w:szCs w:val="24"/>
              </w:rPr>
            </w:pPr>
            <w:r w:rsidRPr="005C79A5">
              <w:rPr>
                <w:rFonts w:ascii="Times New Roman" w:hAnsi="Times New Roman" w:cs="Times New Roman"/>
                <w:b/>
                <w:iCs/>
                <w:sz w:val="24"/>
                <w:szCs w:val="24"/>
              </w:rPr>
              <w:t xml:space="preserve">Latvijas Bankas </w:t>
            </w:r>
            <w:r w:rsidRPr="005C79A5">
              <w:rPr>
                <w:rFonts w:ascii="Times New Roman" w:hAnsi="Times New Roman" w:cs="Times New Roman"/>
                <w:b/>
                <w:sz w:val="24"/>
                <w:szCs w:val="24"/>
              </w:rPr>
              <w:t xml:space="preserve">viedoklis par izteikto iebildumu (priekšlikumu) un </w:t>
            </w:r>
            <w:r w:rsidRPr="005C79A5">
              <w:rPr>
                <w:rFonts w:ascii="Times New Roman" w:hAnsi="Times New Roman" w:cs="Times New Roman"/>
                <w:b/>
                <w:iCs/>
                <w:sz w:val="24"/>
                <w:szCs w:val="24"/>
              </w:rPr>
              <w:t>norāde, vai tas ņemts vērā</w:t>
            </w:r>
          </w:p>
        </w:tc>
      </w:tr>
      <w:tr w:rsidR="00580BC4" w:rsidRPr="005C79A5" w14:paraId="1E186086" w14:textId="77777777" w:rsidTr="008E5CB5">
        <w:tc>
          <w:tcPr>
            <w:tcW w:w="0" w:type="auto"/>
            <w:tcBorders>
              <w:top w:val="single" w:sz="4" w:space="0" w:color="auto"/>
              <w:left w:val="single" w:sz="4" w:space="0" w:color="auto"/>
              <w:bottom w:val="single" w:sz="4" w:space="0" w:color="auto"/>
              <w:right w:val="single" w:sz="4" w:space="0" w:color="auto"/>
            </w:tcBorders>
          </w:tcPr>
          <w:p w14:paraId="1A8F95F1" w14:textId="77777777" w:rsidR="00580BC4" w:rsidRPr="005C79A5" w:rsidRDefault="00580BC4" w:rsidP="008E5CB5">
            <w:pPr>
              <w:spacing w:after="0" w:line="240" w:lineRule="auto"/>
              <w:rPr>
                <w:rFonts w:ascii="Times New Roman" w:hAnsi="Times New Roman" w:cs="Times New Roman"/>
                <w:sz w:val="24"/>
                <w:szCs w:val="24"/>
              </w:rPr>
            </w:pPr>
            <w:r w:rsidRPr="005C79A5">
              <w:rPr>
                <w:rFonts w:ascii="Times New Roman" w:hAnsi="Times New Roman" w:cs="Times New Roman"/>
                <w:sz w:val="24"/>
                <w:szCs w:val="24"/>
              </w:rPr>
              <w:t>1.</w:t>
            </w:r>
          </w:p>
        </w:tc>
        <w:tc>
          <w:tcPr>
            <w:tcW w:w="4577" w:type="dxa"/>
            <w:tcBorders>
              <w:top w:val="single" w:sz="4" w:space="0" w:color="auto"/>
              <w:left w:val="single" w:sz="4" w:space="0" w:color="auto"/>
              <w:bottom w:val="single" w:sz="4" w:space="0" w:color="auto"/>
              <w:right w:val="single" w:sz="4" w:space="0" w:color="auto"/>
            </w:tcBorders>
          </w:tcPr>
          <w:p w14:paraId="501F4487" w14:textId="011F2677" w:rsidR="00580BC4" w:rsidRDefault="00AF4B6F" w:rsidP="00C43B63">
            <w:pPr>
              <w:tabs>
                <w:tab w:val="left" w:pos="292"/>
              </w:tabs>
              <w:spacing w:after="0" w:line="240" w:lineRule="auto"/>
              <w:jc w:val="both"/>
              <w:rPr>
                <w:rFonts w:ascii="Times New Roman" w:hAnsi="Times New Roman" w:cs="Times New Roman"/>
                <w:sz w:val="24"/>
                <w:szCs w:val="24"/>
              </w:rPr>
            </w:pPr>
            <w:r w:rsidRPr="00AF4B6F">
              <w:rPr>
                <w:rFonts w:ascii="Times New Roman" w:hAnsi="Times New Roman" w:cs="Times New Roman"/>
                <w:sz w:val="24"/>
                <w:szCs w:val="24"/>
              </w:rPr>
              <w:t>6.</w:t>
            </w:r>
            <w:r w:rsidRPr="00AF4B6F">
              <w:rPr>
                <w:rFonts w:ascii="Times New Roman" w:hAnsi="Times New Roman" w:cs="Times New Roman"/>
                <w:sz w:val="24"/>
                <w:szCs w:val="24"/>
              </w:rPr>
              <w:tab/>
              <w:t>Pakalpojumu cenrāža (tarifu informācijas dokumenta) formu un saturu nosaka Komisijas 2017.</w:t>
            </w:r>
            <w:r w:rsidR="008B25D0">
              <w:rPr>
                <w:rFonts w:ascii="Times New Roman" w:hAnsi="Times New Roman" w:cs="Times New Roman"/>
                <w:sz w:val="24"/>
                <w:szCs w:val="24"/>
              </w:rPr>
              <w:t> </w:t>
            </w:r>
            <w:r w:rsidRPr="00AF4B6F">
              <w:rPr>
                <w:rFonts w:ascii="Times New Roman" w:hAnsi="Times New Roman" w:cs="Times New Roman"/>
                <w:sz w:val="24"/>
                <w:szCs w:val="24"/>
              </w:rPr>
              <w:t>gada 28.</w:t>
            </w:r>
            <w:r w:rsidR="008B25D0">
              <w:rPr>
                <w:rFonts w:ascii="Times New Roman" w:hAnsi="Times New Roman" w:cs="Times New Roman"/>
                <w:sz w:val="24"/>
                <w:szCs w:val="24"/>
              </w:rPr>
              <w:t> </w:t>
            </w:r>
            <w:r w:rsidRPr="00AF4B6F">
              <w:rPr>
                <w:rFonts w:ascii="Times New Roman" w:hAnsi="Times New Roman" w:cs="Times New Roman"/>
                <w:sz w:val="24"/>
                <w:szCs w:val="24"/>
              </w:rPr>
              <w:t>septembra īstenošanas regula (ES)</w:t>
            </w:r>
            <w:r w:rsidR="008B25D0">
              <w:rPr>
                <w:rFonts w:ascii="Times New Roman" w:hAnsi="Times New Roman" w:cs="Times New Roman"/>
                <w:sz w:val="24"/>
                <w:szCs w:val="24"/>
              </w:rPr>
              <w:t> </w:t>
            </w:r>
            <w:r w:rsidRPr="00AF4B6F">
              <w:rPr>
                <w:rFonts w:ascii="Times New Roman" w:hAnsi="Times New Roman" w:cs="Times New Roman"/>
                <w:sz w:val="24"/>
                <w:szCs w:val="24"/>
              </w:rPr>
              <w:t>2018/34, ar ko nosaka īstenošanas tehniskos standartus attiecībā uz tarifu informācijas dokumenta standarta noformējumu un tā vienoto simbolu saskaņā ar Eiropas Parlamenta un Padomes direktīvu</w:t>
            </w:r>
            <w:r w:rsidR="008B25D0">
              <w:rPr>
                <w:rFonts w:ascii="Times New Roman" w:hAnsi="Times New Roman" w:cs="Times New Roman"/>
                <w:sz w:val="24"/>
                <w:szCs w:val="24"/>
              </w:rPr>
              <w:t> </w:t>
            </w:r>
            <w:r w:rsidRPr="00AF4B6F">
              <w:rPr>
                <w:rFonts w:ascii="Times New Roman" w:hAnsi="Times New Roman" w:cs="Times New Roman"/>
                <w:sz w:val="24"/>
                <w:szCs w:val="24"/>
              </w:rPr>
              <w:t>2014/92/ES.</w:t>
            </w:r>
          </w:p>
          <w:p w14:paraId="1B63BB53" w14:textId="77777777" w:rsidR="00AF4B6F" w:rsidRDefault="00AF4B6F" w:rsidP="00C43B63">
            <w:pPr>
              <w:tabs>
                <w:tab w:val="left" w:pos="292"/>
              </w:tabs>
              <w:spacing w:after="0" w:line="240" w:lineRule="auto"/>
              <w:jc w:val="both"/>
              <w:rPr>
                <w:rFonts w:ascii="Times New Roman" w:hAnsi="Times New Roman" w:cs="Times New Roman"/>
                <w:sz w:val="24"/>
                <w:szCs w:val="24"/>
              </w:rPr>
            </w:pPr>
          </w:p>
          <w:p w14:paraId="5808DB32" w14:textId="234C730C" w:rsidR="00AF4B6F" w:rsidRPr="005C79A5" w:rsidRDefault="00AF4B6F" w:rsidP="00C43B63">
            <w:pPr>
              <w:tabs>
                <w:tab w:val="left" w:pos="292"/>
              </w:tabs>
              <w:spacing w:after="0" w:line="240" w:lineRule="auto"/>
              <w:jc w:val="both"/>
              <w:rPr>
                <w:rFonts w:ascii="Times New Roman" w:hAnsi="Times New Roman" w:cs="Times New Roman"/>
                <w:sz w:val="24"/>
                <w:szCs w:val="24"/>
              </w:rPr>
            </w:pPr>
            <w:r w:rsidRPr="00AF4B6F">
              <w:rPr>
                <w:rFonts w:ascii="Times New Roman" w:hAnsi="Times New Roman" w:cs="Times New Roman"/>
                <w:sz w:val="24"/>
                <w:szCs w:val="24"/>
              </w:rPr>
              <w:t>8.</w:t>
            </w:r>
            <w:r w:rsidRPr="00AF4B6F">
              <w:rPr>
                <w:rFonts w:ascii="Times New Roman" w:hAnsi="Times New Roman" w:cs="Times New Roman"/>
                <w:sz w:val="24"/>
                <w:szCs w:val="24"/>
              </w:rPr>
              <w:tab/>
              <w:t>Maksājumu pakalpojumu sniedzējs visaptverošo izmaksu rādītāju, kurā apkopotas maksājumu konta kopējās gada izmaksas, norāda atsevišķā tabulā pakalpojumu cenrāža (tarifu informācijas dokumenta) beigās.</w:t>
            </w:r>
          </w:p>
        </w:tc>
        <w:tc>
          <w:tcPr>
            <w:tcW w:w="4694" w:type="dxa"/>
            <w:tcBorders>
              <w:top w:val="single" w:sz="4" w:space="0" w:color="auto"/>
              <w:left w:val="single" w:sz="4" w:space="0" w:color="auto"/>
              <w:bottom w:val="single" w:sz="4" w:space="0" w:color="auto"/>
              <w:right w:val="single" w:sz="4" w:space="0" w:color="auto"/>
            </w:tcBorders>
          </w:tcPr>
          <w:p w14:paraId="648DBC1D" w14:textId="77777777" w:rsidR="00D24614" w:rsidRPr="00D24614" w:rsidRDefault="00D24614" w:rsidP="00D24614">
            <w:pPr>
              <w:spacing w:after="0" w:line="240" w:lineRule="auto"/>
              <w:jc w:val="both"/>
              <w:rPr>
                <w:rFonts w:ascii="Times New Roman" w:hAnsi="Times New Roman" w:cs="Times New Roman"/>
                <w:sz w:val="24"/>
                <w:szCs w:val="24"/>
              </w:rPr>
            </w:pPr>
            <w:r w:rsidRPr="00D24614">
              <w:rPr>
                <w:rFonts w:ascii="Times New Roman" w:hAnsi="Times New Roman" w:cs="Times New Roman"/>
                <w:sz w:val="24"/>
                <w:szCs w:val="24"/>
              </w:rPr>
              <w:t>Noteikumu projekta 6. punktā ir noteikts, ka Pakalpojumu cenrāža (tarifu informācijas dokumenta) formu un saturu nosaka Komisijas 2017. gada 28. septembra īstenošanas regula (ES) 2018/34, ar ko nosaka īstenošanas tehniskos standartus attiecībā uz tarifu informācijas dokumenta standarta noformējumu un tā vienoto simbolu saskaņā ar Eiropas Parlamenta un Padomes direktīvu 2014/92/ES. Savukārt, noteikumu projekta 8. punktā ir noteikts, ka Maksājumu pakalpojumu sniedzējs visaptverošo izmaksu rādītāju, kurā apkopotas maksājumu konta kopējās gada izmaksas, norāda atsevišķā tabulā pakalpojumu cenrāža (tarifu informācijas dokumenta) beigās.</w:t>
            </w:r>
          </w:p>
          <w:p w14:paraId="2C76850B" w14:textId="77777777" w:rsidR="00D24614" w:rsidRPr="00D24614" w:rsidRDefault="00D24614" w:rsidP="00D24614">
            <w:pPr>
              <w:spacing w:after="0" w:line="240" w:lineRule="auto"/>
              <w:jc w:val="both"/>
              <w:rPr>
                <w:rFonts w:ascii="Times New Roman" w:hAnsi="Times New Roman" w:cs="Times New Roman"/>
                <w:sz w:val="24"/>
                <w:szCs w:val="24"/>
              </w:rPr>
            </w:pPr>
          </w:p>
          <w:p w14:paraId="0EB98927" w14:textId="59DACF09" w:rsidR="00580BC4" w:rsidRPr="005C79A5" w:rsidRDefault="00D24614" w:rsidP="00D24614">
            <w:pPr>
              <w:spacing w:after="0" w:line="240" w:lineRule="auto"/>
              <w:jc w:val="both"/>
              <w:rPr>
                <w:rFonts w:ascii="Times New Roman" w:hAnsi="Times New Roman" w:cs="Times New Roman"/>
                <w:sz w:val="24"/>
                <w:szCs w:val="24"/>
              </w:rPr>
            </w:pPr>
            <w:r w:rsidRPr="00D24614">
              <w:rPr>
                <w:rFonts w:ascii="Times New Roman" w:hAnsi="Times New Roman" w:cs="Times New Roman"/>
                <w:sz w:val="24"/>
                <w:szCs w:val="24"/>
              </w:rPr>
              <w:t>Ņemot vērā, ka Komisijas 2017. gada 28. septembra īstenošanas regula (ES) 2018/34 neietver informāciju par visaptverošā izmaksu rādītāja aprēķina kārtību, Bankas priekšlikums ir papildināt noteikumu projektu, nosakot visaptveroša izmaksu rādītāja, kurā apkopotas iespējamās maksājumu konta kopējās gada izmaksas, aprēķina kārtību un kritērijus.</w:t>
            </w:r>
          </w:p>
        </w:tc>
        <w:tc>
          <w:tcPr>
            <w:tcW w:w="4662" w:type="dxa"/>
            <w:tcBorders>
              <w:top w:val="single" w:sz="4" w:space="0" w:color="auto"/>
              <w:left w:val="single" w:sz="4" w:space="0" w:color="auto"/>
              <w:bottom w:val="single" w:sz="4" w:space="0" w:color="auto"/>
              <w:right w:val="single" w:sz="4" w:space="0" w:color="auto"/>
            </w:tcBorders>
          </w:tcPr>
          <w:p w14:paraId="7ECF5A28" w14:textId="63A4D229" w:rsidR="00580BC4" w:rsidRPr="005C79A5" w:rsidRDefault="00D24614" w:rsidP="008E5CB5">
            <w:pPr>
              <w:spacing w:after="0" w:line="240" w:lineRule="auto"/>
              <w:jc w:val="both"/>
              <w:rPr>
                <w:rFonts w:ascii="Times New Roman" w:eastAsia="Arial Unicode MS" w:hAnsi="Times New Roman"/>
                <w:b/>
                <w:sz w:val="24"/>
                <w:szCs w:val="24"/>
              </w:rPr>
            </w:pPr>
            <w:r>
              <w:rPr>
                <w:rFonts w:ascii="Times New Roman" w:eastAsia="Arial Unicode MS" w:hAnsi="Times New Roman"/>
                <w:b/>
                <w:sz w:val="24"/>
                <w:szCs w:val="24"/>
              </w:rPr>
              <w:t>Netiek ņ</w:t>
            </w:r>
            <w:r w:rsidR="00580BC4" w:rsidRPr="005C79A5">
              <w:rPr>
                <w:rFonts w:ascii="Times New Roman" w:eastAsia="Arial Unicode MS" w:hAnsi="Times New Roman"/>
                <w:b/>
                <w:sz w:val="24"/>
                <w:szCs w:val="24"/>
              </w:rPr>
              <w:t xml:space="preserve">emts vērā. </w:t>
            </w:r>
          </w:p>
          <w:p w14:paraId="73C2AB30" w14:textId="01BE2D7C" w:rsidR="00580BC4" w:rsidRDefault="00D24614" w:rsidP="008E5CB5">
            <w:pPr>
              <w:spacing w:before="240" w:after="0" w:line="240" w:lineRule="auto"/>
              <w:jc w:val="both"/>
              <w:outlineLvl w:val="0"/>
              <w:rPr>
                <w:rFonts w:ascii="Times New Roman" w:eastAsia="Arial Unicode MS" w:hAnsi="Times New Roman" w:cs="Times New Roman"/>
                <w:bCs/>
                <w:sz w:val="24"/>
                <w:szCs w:val="24"/>
                <w:lang w:eastAsia="lv-LV"/>
              </w:rPr>
            </w:pPr>
            <w:r>
              <w:rPr>
                <w:rFonts w:ascii="Times New Roman" w:eastAsia="Arial Unicode MS" w:hAnsi="Times New Roman" w:cs="Times New Roman"/>
                <w:bCs/>
                <w:sz w:val="24"/>
                <w:szCs w:val="24"/>
                <w:lang w:eastAsia="lv-LV"/>
              </w:rPr>
              <w:t>Skaidrojums.</w:t>
            </w:r>
          </w:p>
          <w:p w14:paraId="0E2E379E" w14:textId="6038F006" w:rsidR="00D24614" w:rsidRPr="005C79A5" w:rsidRDefault="00E16D88" w:rsidP="005B1D15">
            <w:pPr>
              <w:spacing w:before="240" w:after="0" w:line="240" w:lineRule="auto"/>
              <w:jc w:val="both"/>
              <w:outlineLvl w:val="0"/>
              <w:rPr>
                <w:rFonts w:ascii="Times New Roman" w:eastAsia="Arial Unicode MS" w:hAnsi="Times New Roman" w:cs="Times New Roman"/>
                <w:bCs/>
                <w:sz w:val="24"/>
                <w:szCs w:val="24"/>
                <w:lang w:eastAsia="lv-LV"/>
              </w:rPr>
            </w:pPr>
            <w:r w:rsidRPr="00E16D88">
              <w:rPr>
                <w:rFonts w:ascii="Times New Roman" w:eastAsia="Arial Unicode MS" w:hAnsi="Times New Roman" w:cs="Times New Roman"/>
                <w:bCs/>
                <w:sz w:val="24"/>
                <w:szCs w:val="24"/>
                <w:lang w:eastAsia="lv-LV"/>
              </w:rPr>
              <w:t>Maksājumu pakalpojumu sniedzējiem pakalpojumu cenrādī ir jānorāda visaptverošais izmaksu rādītājs, kurā apkopotas maksājumu konta kopējās gada izmaksas</w:t>
            </w:r>
            <w:r>
              <w:rPr>
                <w:rFonts w:ascii="Times New Roman" w:eastAsia="Arial Unicode MS" w:hAnsi="Times New Roman" w:cs="Times New Roman"/>
                <w:bCs/>
                <w:sz w:val="24"/>
                <w:szCs w:val="24"/>
                <w:lang w:eastAsia="lv-LV"/>
              </w:rPr>
              <w:t xml:space="preserve">, </w:t>
            </w:r>
            <w:r w:rsidR="00D82A05">
              <w:rPr>
                <w:rFonts w:ascii="Times New Roman" w:eastAsia="Arial Unicode MS" w:hAnsi="Times New Roman" w:cs="Times New Roman"/>
                <w:bCs/>
                <w:sz w:val="24"/>
                <w:szCs w:val="24"/>
                <w:lang w:eastAsia="lv-LV"/>
              </w:rPr>
              <w:t xml:space="preserve">tā, lai </w:t>
            </w:r>
            <w:r w:rsidRPr="00E16D88">
              <w:rPr>
                <w:rFonts w:ascii="Times New Roman" w:eastAsia="Arial Unicode MS" w:hAnsi="Times New Roman" w:cs="Times New Roman"/>
                <w:bCs/>
                <w:sz w:val="24"/>
                <w:szCs w:val="24"/>
                <w:lang w:eastAsia="lv-LV"/>
              </w:rPr>
              <w:t xml:space="preserve">patērētājs pirms līguma slēgšanas var salīdzināt maksājumu kontu piedāvājumus, </w:t>
            </w:r>
            <w:r w:rsidR="005B1D15" w:rsidRPr="00035C9E">
              <w:rPr>
                <w:rFonts w:ascii="Times New Roman" w:eastAsia="Arial Unicode MS" w:hAnsi="Times New Roman" w:cs="Times New Roman"/>
                <w:bCs/>
                <w:sz w:val="24"/>
                <w:szCs w:val="24"/>
                <w:lang w:eastAsia="lv-LV"/>
              </w:rPr>
              <w:t>tādējādi veicinot ar maksājumu</w:t>
            </w:r>
            <w:r w:rsidR="005B1D15" w:rsidRPr="00E16D88">
              <w:rPr>
                <w:rFonts w:ascii="Times New Roman" w:eastAsia="Arial Unicode MS" w:hAnsi="Times New Roman" w:cs="Times New Roman"/>
                <w:bCs/>
                <w:sz w:val="24"/>
                <w:szCs w:val="24"/>
                <w:lang w:eastAsia="lv-LV"/>
              </w:rPr>
              <w:t xml:space="preserve"> kontu saistītu pakalpojumu tarifu salīdzināmību un pārredzamību</w:t>
            </w:r>
            <w:r w:rsidR="0095342B">
              <w:rPr>
                <w:rFonts w:ascii="Times New Roman" w:eastAsia="Arial Unicode MS" w:hAnsi="Times New Roman" w:cs="Times New Roman"/>
                <w:bCs/>
                <w:sz w:val="24"/>
                <w:szCs w:val="24"/>
                <w:lang w:eastAsia="lv-LV"/>
              </w:rPr>
              <w:t>,</w:t>
            </w:r>
            <w:r w:rsidR="005B1D15">
              <w:rPr>
                <w:rFonts w:ascii="Times New Roman" w:eastAsia="Arial Unicode MS" w:hAnsi="Times New Roman" w:cs="Times New Roman"/>
                <w:bCs/>
                <w:sz w:val="24"/>
                <w:szCs w:val="24"/>
                <w:lang w:eastAsia="lv-LV"/>
              </w:rPr>
              <w:t xml:space="preserve"> neatkarīgi no tā</w:t>
            </w:r>
            <w:r w:rsidR="008B25D0">
              <w:rPr>
                <w:rFonts w:ascii="Times New Roman" w:eastAsia="Arial Unicode MS" w:hAnsi="Times New Roman" w:cs="Times New Roman"/>
                <w:bCs/>
                <w:sz w:val="24"/>
                <w:szCs w:val="24"/>
                <w:lang w:eastAsia="lv-LV"/>
              </w:rPr>
              <w:t>,</w:t>
            </w:r>
            <w:r w:rsidR="005B1D15">
              <w:rPr>
                <w:rFonts w:ascii="Times New Roman" w:eastAsia="Arial Unicode MS" w:hAnsi="Times New Roman" w:cs="Times New Roman"/>
                <w:bCs/>
                <w:sz w:val="24"/>
                <w:szCs w:val="24"/>
                <w:lang w:eastAsia="lv-LV"/>
              </w:rPr>
              <w:t xml:space="preserve"> vai</w:t>
            </w:r>
            <w:r>
              <w:rPr>
                <w:rFonts w:ascii="Times New Roman" w:eastAsia="Arial Unicode MS" w:hAnsi="Times New Roman" w:cs="Times New Roman"/>
                <w:bCs/>
                <w:sz w:val="24"/>
                <w:szCs w:val="24"/>
                <w:lang w:eastAsia="lv-LV"/>
              </w:rPr>
              <w:t xml:space="preserve"> </w:t>
            </w:r>
            <w:r w:rsidRPr="00E16D88">
              <w:rPr>
                <w:rFonts w:ascii="Times New Roman" w:eastAsia="Arial Unicode MS" w:hAnsi="Times New Roman" w:cs="Times New Roman"/>
                <w:bCs/>
                <w:sz w:val="24"/>
                <w:szCs w:val="24"/>
                <w:lang w:eastAsia="lv-LV"/>
              </w:rPr>
              <w:t>maksājumu konta kopējās iespējamās gada izmaksa</w:t>
            </w:r>
            <w:r w:rsidR="008B25D0">
              <w:rPr>
                <w:rFonts w:ascii="Times New Roman" w:eastAsia="Arial Unicode MS" w:hAnsi="Times New Roman" w:cs="Times New Roman"/>
                <w:bCs/>
                <w:sz w:val="24"/>
                <w:szCs w:val="24"/>
                <w:lang w:eastAsia="lv-LV"/>
              </w:rPr>
              <w:t>s</w:t>
            </w:r>
            <w:r w:rsidR="005B1D15">
              <w:rPr>
                <w:rFonts w:ascii="Times New Roman" w:eastAsia="Arial Unicode MS" w:hAnsi="Times New Roman" w:cs="Times New Roman"/>
                <w:bCs/>
                <w:sz w:val="24"/>
                <w:szCs w:val="24"/>
                <w:lang w:eastAsia="lv-LV"/>
              </w:rPr>
              <w:t xml:space="preserve"> </w:t>
            </w:r>
            <w:r>
              <w:rPr>
                <w:rFonts w:ascii="Times New Roman" w:eastAsia="Arial Unicode MS" w:hAnsi="Times New Roman" w:cs="Times New Roman"/>
                <w:bCs/>
                <w:sz w:val="24"/>
                <w:szCs w:val="24"/>
                <w:lang w:eastAsia="lv-LV"/>
              </w:rPr>
              <w:t xml:space="preserve">sastāv </w:t>
            </w:r>
            <w:r w:rsidRPr="00E16D88">
              <w:rPr>
                <w:rFonts w:ascii="Times New Roman" w:eastAsia="Arial Unicode MS" w:hAnsi="Times New Roman" w:cs="Times New Roman"/>
                <w:bCs/>
                <w:sz w:val="24"/>
                <w:szCs w:val="24"/>
                <w:lang w:eastAsia="lv-LV"/>
              </w:rPr>
              <w:t xml:space="preserve">no nemainīgās daļas, kas nav atkarīga no pakalpojuma izmantošanas biežuma, piemēram, konta uzturēšanas maksas un kartes gada maksas, </w:t>
            </w:r>
            <w:r w:rsidR="00035C9E">
              <w:rPr>
                <w:rFonts w:ascii="Times New Roman" w:eastAsia="Arial Unicode MS" w:hAnsi="Times New Roman" w:cs="Times New Roman"/>
                <w:bCs/>
                <w:sz w:val="24"/>
                <w:szCs w:val="24"/>
                <w:lang w:eastAsia="lv-LV"/>
              </w:rPr>
              <w:t>vai</w:t>
            </w:r>
            <w:r w:rsidR="00035C9E" w:rsidRPr="00E16D88">
              <w:rPr>
                <w:rFonts w:ascii="Times New Roman" w:eastAsia="Arial Unicode MS" w:hAnsi="Times New Roman" w:cs="Times New Roman"/>
                <w:bCs/>
                <w:sz w:val="24"/>
                <w:szCs w:val="24"/>
                <w:lang w:eastAsia="lv-LV"/>
              </w:rPr>
              <w:t xml:space="preserve"> </w:t>
            </w:r>
            <w:r w:rsidRPr="00E16D88">
              <w:rPr>
                <w:rFonts w:ascii="Times New Roman" w:eastAsia="Arial Unicode MS" w:hAnsi="Times New Roman" w:cs="Times New Roman"/>
                <w:bCs/>
                <w:sz w:val="24"/>
                <w:szCs w:val="24"/>
                <w:lang w:eastAsia="lv-LV"/>
              </w:rPr>
              <w:t>mainīgās daļas, kas ir atkarīga no klienta darbībām, piemēram, maksājumu skait</w:t>
            </w:r>
            <w:r w:rsidR="0095342B">
              <w:rPr>
                <w:rFonts w:ascii="Times New Roman" w:eastAsia="Arial Unicode MS" w:hAnsi="Times New Roman" w:cs="Times New Roman"/>
                <w:bCs/>
                <w:sz w:val="24"/>
                <w:szCs w:val="24"/>
                <w:lang w:eastAsia="lv-LV"/>
              </w:rPr>
              <w:t>a</w:t>
            </w:r>
            <w:r w:rsidRPr="00E16D88">
              <w:rPr>
                <w:rFonts w:ascii="Times New Roman" w:eastAsia="Arial Unicode MS" w:hAnsi="Times New Roman" w:cs="Times New Roman"/>
                <w:bCs/>
                <w:sz w:val="24"/>
                <w:szCs w:val="24"/>
                <w:lang w:eastAsia="lv-LV"/>
              </w:rPr>
              <w:t>, skaidras naudas izmaksu biežuma un to veikšanas kanāla</w:t>
            </w:r>
            <w:r w:rsidR="005B1D15">
              <w:rPr>
                <w:rFonts w:ascii="Times New Roman" w:eastAsia="Arial Unicode MS" w:hAnsi="Times New Roman" w:cs="Times New Roman"/>
                <w:bCs/>
                <w:sz w:val="24"/>
                <w:szCs w:val="24"/>
                <w:lang w:eastAsia="lv-LV"/>
              </w:rPr>
              <w:t>.</w:t>
            </w:r>
          </w:p>
        </w:tc>
      </w:tr>
    </w:tbl>
    <w:p w14:paraId="330B4199" w14:textId="77777777" w:rsidR="00357118" w:rsidRDefault="00357118" w:rsidP="00783A42">
      <w:pPr>
        <w:spacing w:after="0" w:line="240" w:lineRule="auto"/>
        <w:rPr>
          <w:rFonts w:ascii="Times New Roman" w:hAnsi="Times New Roman" w:cs="Times New Roman"/>
          <w:sz w:val="24"/>
          <w:szCs w:val="24"/>
        </w:rPr>
      </w:pPr>
    </w:p>
    <w:sectPr w:rsidR="00357118" w:rsidSect="00C23BE8">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139FD" w14:textId="77777777" w:rsidR="00982BAA" w:rsidRDefault="00982BAA" w:rsidP="009B27BE">
      <w:pPr>
        <w:spacing w:after="0" w:line="240" w:lineRule="auto"/>
      </w:pPr>
      <w:r>
        <w:separator/>
      </w:r>
    </w:p>
  </w:endnote>
  <w:endnote w:type="continuationSeparator" w:id="0">
    <w:p w14:paraId="57EFF024" w14:textId="77777777" w:rsidR="00982BAA" w:rsidRDefault="00982BAA"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70261" w14:textId="77777777" w:rsidR="00982BAA" w:rsidRDefault="00982BAA" w:rsidP="009B27BE">
      <w:pPr>
        <w:spacing w:after="0" w:line="240" w:lineRule="auto"/>
      </w:pPr>
      <w:r>
        <w:separator/>
      </w:r>
    </w:p>
  </w:footnote>
  <w:footnote w:type="continuationSeparator" w:id="0">
    <w:p w14:paraId="27BA6772" w14:textId="77777777" w:rsidR="00982BAA" w:rsidRDefault="00982BAA"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6076B"/>
    <w:multiLevelType w:val="hybridMultilevel"/>
    <w:tmpl w:val="F998F286"/>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E40B71"/>
    <w:multiLevelType w:val="multilevel"/>
    <w:tmpl w:val="7E807FA8"/>
    <w:lvl w:ilvl="0">
      <w:start w:val="1"/>
      <w:numFmt w:val="decimal"/>
      <w:suff w:val="space"/>
      <w:lvlText w:val="%1."/>
      <w:lvlJc w:val="left"/>
      <w:pPr>
        <w:ind w:left="2313" w:hanging="360"/>
      </w:pPr>
    </w:lvl>
    <w:lvl w:ilvl="1">
      <w:start w:val="1"/>
      <w:numFmt w:val="decimal"/>
      <w:suff w:val="space"/>
      <w:lvlText w:val="%1.%2."/>
      <w:lvlJc w:val="left"/>
      <w:pPr>
        <w:ind w:left="3513" w:firstLine="0"/>
      </w:pPr>
      <w:rPr>
        <w:rFonts w:hint="default"/>
      </w:rPr>
    </w:lvl>
    <w:lvl w:ilvl="2">
      <w:start w:val="1"/>
      <w:numFmt w:val="decimal"/>
      <w:suff w:val="space"/>
      <w:lvlText w:val="%1.%2.%3."/>
      <w:lvlJc w:val="left"/>
      <w:pPr>
        <w:ind w:left="-32" w:firstLine="0"/>
      </w:pPr>
      <w:rPr>
        <w:rFonts w:hint="default"/>
      </w:rPr>
    </w:lvl>
    <w:lvl w:ilvl="3">
      <w:start w:val="1"/>
      <w:numFmt w:val="decimal"/>
      <w:suff w:val="space"/>
      <w:lvlText w:val="%1.%2.%3.%4."/>
      <w:lvlJc w:val="left"/>
      <w:pPr>
        <w:ind w:left="-32" w:firstLine="0"/>
      </w:pPr>
      <w:rPr>
        <w:rFonts w:hint="default"/>
      </w:rPr>
    </w:lvl>
    <w:lvl w:ilvl="4">
      <w:start w:val="1"/>
      <w:numFmt w:val="decimal"/>
      <w:lvlText w:val="%1.%2.%3.%4.%5."/>
      <w:lvlJc w:val="left"/>
      <w:pPr>
        <w:ind w:left="2200" w:hanging="792"/>
      </w:pPr>
      <w:rPr>
        <w:rFonts w:hint="default"/>
      </w:rPr>
    </w:lvl>
    <w:lvl w:ilvl="5">
      <w:start w:val="1"/>
      <w:numFmt w:val="decimal"/>
      <w:lvlText w:val="%1.%2.%3.%4.%5.%6."/>
      <w:lvlJc w:val="left"/>
      <w:pPr>
        <w:ind w:left="2704" w:hanging="936"/>
      </w:pPr>
      <w:rPr>
        <w:rFonts w:hint="default"/>
      </w:rPr>
    </w:lvl>
    <w:lvl w:ilvl="6">
      <w:start w:val="1"/>
      <w:numFmt w:val="decimal"/>
      <w:lvlText w:val="%1.%2.%3.%4.%5.%6.%7."/>
      <w:lvlJc w:val="left"/>
      <w:pPr>
        <w:ind w:left="3208" w:hanging="1080"/>
      </w:pPr>
      <w:rPr>
        <w:rFonts w:hint="default"/>
      </w:rPr>
    </w:lvl>
    <w:lvl w:ilvl="7">
      <w:start w:val="1"/>
      <w:numFmt w:val="decimal"/>
      <w:lvlText w:val="%1.%2.%3.%4.%5.%6.%7.%8."/>
      <w:lvlJc w:val="left"/>
      <w:pPr>
        <w:ind w:left="3712" w:hanging="1224"/>
      </w:pPr>
      <w:rPr>
        <w:rFonts w:hint="default"/>
      </w:rPr>
    </w:lvl>
    <w:lvl w:ilvl="8">
      <w:start w:val="1"/>
      <w:numFmt w:val="decimal"/>
      <w:lvlText w:val="%1.%2.%3.%4.%5.%6.%7.%8.%9."/>
      <w:lvlJc w:val="left"/>
      <w:pPr>
        <w:ind w:left="4288" w:hanging="1440"/>
      </w:pPr>
      <w:rPr>
        <w:rFonts w:hint="default"/>
      </w:rPr>
    </w:lvl>
  </w:abstractNum>
  <w:abstractNum w:abstractNumId="2"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A5B6C9B"/>
    <w:multiLevelType w:val="hybridMultilevel"/>
    <w:tmpl w:val="5A247852"/>
    <w:lvl w:ilvl="0" w:tplc="E786BFFA">
      <w:start w:val="1"/>
      <w:numFmt w:val="decimal"/>
      <w:lvlText w:val="%1."/>
      <w:lvlJc w:val="left"/>
      <w:pPr>
        <w:ind w:left="720" w:hanging="360"/>
      </w:pPr>
      <w:rPr>
        <w:rFonts w:hint="default"/>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6" w15:restartNumberingAfterBreak="0">
    <w:nsid w:val="43DA382F"/>
    <w:multiLevelType w:val="multilevel"/>
    <w:tmpl w:val="41A606DE"/>
    <w:lvl w:ilvl="0">
      <w:start w:val="29"/>
      <w:numFmt w:val="decimal"/>
      <w:lvlText w:val="%1."/>
      <w:lvlJc w:val="left"/>
      <w:pPr>
        <w:ind w:left="480" w:hanging="480"/>
      </w:pPr>
      <w:rPr>
        <w:rFonts w:hint="default"/>
      </w:rPr>
    </w:lvl>
    <w:lvl w:ilvl="1">
      <w:start w:val="1"/>
      <w:numFmt w:val="decimal"/>
      <w:lvlText w:val="%1.%2."/>
      <w:lvlJc w:val="left"/>
      <w:pPr>
        <w:ind w:left="1156" w:hanging="48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7208" w:hanging="1800"/>
      </w:pPr>
      <w:rPr>
        <w:rFonts w:hint="default"/>
      </w:rPr>
    </w:lvl>
  </w:abstractNum>
  <w:abstractNum w:abstractNumId="7" w15:restartNumberingAfterBreak="0">
    <w:nsid w:val="4C744076"/>
    <w:multiLevelType w:val="hybridMultilevel"/>
    <w:tmpl w:val="A31AA72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DAE38A9"/>
    <w:multiLevelType w:val="hybridMultilevel"/>
    <w:tmpl w:val="B28676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23300E2"/>
    <w:multiLevelType w:val="hybridMultilevel"/>
    <w:tmpl w:val="6B7859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D92486D"/>
    <w:multiLevelType w:val="hybridMultilevel"/>
    <w:tmpl w:val="16E811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F5969B5"/>
    <w:multiLevelType w:val="hybridMultilevel"/>
    <w:tmpl w:val="0B32CEB0"/>
    <w:lvl w:ilvl="0" w:tplc="83B42626">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15"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45E11E4"/>
    <w:multiLevelType w:val="hybridMultilevel"/>
    <w:tmpl w:val="2D70A8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3"/>
  </w:num>
  <w:num w:numId="2" w16cid:durableId="340552041">
    <w:abstractNumId w:val="8"/>
  </w:num>
  <w:num w:numId="3" w16cid:durableId="16414207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14"/>
  </w:num>
  <w:num w:numId="5" w16cid:durableId="547911365">
    <w:abstractNumId w:val="2"/>
  </w:num>
  <w:num w:numId="6" w16cid:durableId="2097939137">
    <w:abstractNumId w:val="8"/>
  </w:num>
  <w:num w:numId="7" w16cid:durableId="894973746">
    <w:abstractNumId w:val="8"/>
  </w:num>
  <w:num w:numId="8" w16cid:durableId="1412266980">
    <w:abstractNumId w:val="8"/>
  </w:num>
  <w:num w:numId="9" w16cid:durableId="619805593">
    <w:abstractNumId w:val="8"/>
  </w:num>
  <w:num w:numId="10" w16cid:durableId="2023699298">
    <w:abstractNumId w:val="5"/>
  </w:num>
  <w:num w:numId="11" w16cid:durableId="1567491629">
    <w:abstractNumId w:val="8"/>
  </w:num>
  <w:num w:numId="12" w16cid:durableId="574124535">
    <w:abstractNumId w:val="8"/>
  </w:num>
  <w:num w:numId="13" w16cid:durableId="2096902704">
    <w:abstractNumId w:val="8"/>
  </w:num>
  <w:num w:numId="14" w16cid:durableId="2066248062">
    <w:abstractNumId w:val="8"/>
  </w:num>
  <w:num w:numId="15" w16cid:durableId="846797863">
    <w:abstractNumId w:val="8"/>
  </w:num>
  <w:num w:numId="16" w16cid:durableId="1602571117">
    <w:abstractNumId w:val="8"/>
  </w:num>
  <w:num w:numId="17" w16cid:durableId="191579667">
    <w:abstractNumId w:val="8"/>
  </w:num>
  <w:num w:numId="18" w16cid:durableId="2102800079">
    <w:abstractNumId w:val="8"/>
  </w:num>
  <w:num w:numId="19" w16cid:durableId="684483201">
    <w:abstractNumId w:val="8"/>
  </w:num>
  <w:num w:numId="20" w16cid:durableId="1276521248">
    <w:abstractNumId w:val="8"/>
  </w:num>
  <w:num w:numId="21" w16cid:durableId="1474105298">
    <w:abstractNumId w:val="8"/>
  </w:num>
  <w:num w:numId="22" w16cid:durableId="351033322">
    <w:abstractNumId w:val="11"/>
  </w:num>
  <w:num w:numId="23" w16cid:durableId="1747679238">
    <w:abstractNumId w:val="15"/>
  </w:num>
  <w:num w:numId="24" w16cid:durableId="2004814341">
    <w:abstractNumId w:val="8"/>
  </w:num>
  <w:num w:numId="25" w16cid:durableId="1687436816">
    <w:abstractNumId w:val="8"/>
  </w:num>
  <w:num w:numId="26" w16cid:durableId="470097439">
    <w:abstractNumId w:val="10"/>
  </w:num>
  <w:num w:numId="27" w16cid:durableId="170146099">
    <w:abstractNumId w:val="1"/>
  </w:num>
  <w:num w:numId="28" w16cid:durableId="1958638948">
    <w:abstractNumId w:val="6"/>
  </w:num>
  <w:num w:numId="29" w16cid:durableId="14876262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77549298">
    <w:abstractNumId w:val="12"/>
  </w:num>
  <w:num w:numId="31" w16cid:durableId="2028678497">
    <w:abstractNumId w:val="16"/>
  </w:num>
  <w:num w:numId="32" w16cid:durableId="1394541880">
    <w:abstractNumId w:val="4"/>
  </w:num>
  <w:num w:numId="33" w16cid:durableId="689987685">
    <w:abstractNumId w:val="7"/>
  </w:num>
  <w:num w:numId="34" w16cid:durableId="1015423430">
    <w:abstractNumId w:val="9"/>
  </w:num>
  <w:num w:numId="35" w16cid:durableId="742726488">
    <w:abstractNumId w:val="13"/>
  </w:num>
  <w:num w:numId="36" w16cid:durableId="1180435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20E0"/>
    <w:rsid w:val="00003CB0"/>
    <w:rsid w:val="00004B4C"/>
    <w:rsid w:val="00007431"/>
    <w:rsid w:val="000155B3"/>
    <w:rsid w:val="00016DEA"/>
    <w:rsid w:val="000203D7"/>
    <w:rsid w:val="000234B0"/>
    <w:rsid w:val="0002466B"/>
    <w:rsid w:val="00025D18"/>
    <w:rsid w:val="000263F5"/>
    <w:rsid w:val="00027CAC"/>
    <w:rsid w:val="00035C9E"/>
    <w:rsid w:val="00041DDA"/>
    <w:rsid w:val="00042B2C"/>
    <w:rsid w:val="000444DE"/>
    <w:rsid w:val="0005256F"/>
    <w:rsid w:val="00054EF8"/>
    <w:rsid w:val="00057AFF"/>
    <w:rsid w:val="00061F14"/>
    <w:rsid w:val="00070FE3"/>
    <w:rsid w:val="000716D9"/>
    <w:rsid w:val="000727B1"/>
    <w:rsid w:val="00074425"/>
    <w:rsid w:val="000771CC"/>
    <w:rsid w:val="000813DA"/>
    <w:rsid w:val="0008510E"/>
    <w:rsid w:val="00085B5D"/>
    <w:rsid w:val="000915E7"/>
    <w:rsid w:val="00091C50"/>
    <w:rsid w:val="00092E2F"/>
    <w:rsid w:val="000946D6"/>
    <w:rsid w:val="00095C8A"/>
    <w:rsid w:val="0009616F"/>
    <w:rsid w:val="00097C29"/>
    <w:rsid w:val="000A2A30"/>
    <w:rsid w:val="000A32AC"/>
    <w:rsid w:val="000A6FB3"/>
    <w:rsid w:val="000A7460"/>
    <w:rsid w:val="000A75B3"/>
    <w:rsid w:val="000B4E0A"/>
    <w:rsid w:val="000B7221"/>
    <w:rsid w:val="000C1E52"/>
    <w:rsid w:val="000C43AB"/>
    <w:rsid w:val="000C5944"/>
    <w:rsid w:val="000C60FF"/>
    <w:rsid w:val="000D1541"/>
    <w:rsid w:val="000D18BD"/>
    <w:rsid w:val="000D1EBD"/>
    <w:rsid w:val="000D601F"/>
    <w:rsid w:val="000E2C35"/>
    <w:rsid w:val="000E502E"/>
    <w:rsid w:val="000E6283"/>
    <w:rsid w:val="000E7E58"/>
    <w:rsid w:val="000F1D72"/>
    <w:rsid w:val="000F20B9"/>
    <w:rsid w:val="00102FD5"/>
    <w:rsid w:val="00103278"/>
    <w:rsid w:val="001067C1"/>
    <w:rsid w:val="0011032F"/>
    <w:rsid w:val="0012135F"/>
    <w:rsid w:val="00122504"/>
    <w:rsid w:val="001228D2"/>
    <w:rsid w:val="00124986"/>
    <w:rsid w:val="00125026"/>
    <w:rsid w:val="00131765"/>
    <w:rsid w:val="00132070"/>
    <w:rsid w:val="00132948"/>
    <w:rsid w:val="00133F6A"/>
    <w:rsid w:val="001366B1"/>
    <w:rsid w:val="00141B3C"/>
    <w:rsid w:val="0014295D"/>
    <w:rsid w:val="00143A48"/>
    <w:rsid w:val="00146585"/>
    <w:rsid w:val="00162248"/>
    <w:rsid w:val="001661ED"/>
    <w:rsid w:val="0016709D"/>
    <w:rsid w:val="001705C8"/>
    <w:rsid w:val="00171A75"/>
    <w:rsid w:val="00180821"/>
    <w:rsid w:val="00191EF1"/>
    <w:rsid w:val="001A1A7C"/>
    <w:rsid w:val="001A44ED"/>
    <w:rsid w:val="001A5171"/>
    <w:rsid w:val="001A5DF1"/>
    <w:rsid w:val="001A7A18"/>
    <w:rsid w:val="001B023D"/>
    <w:rsid w:val="001B0617"/>
    <w:rsid w:val="001B1B3A"/>
    <w:rsid w:val="001B1FC2"/>
    <w:rsid w:val="001C1078"/>
    <w:rsid w:val="001C3D35"/>
    <w:rsid w:val="001C690B"/>
    <w:rsid w:val="001D4D5D"/>
    <w:rsid w:val="001D7793"/>
    <w:rsid w:val="001E3429"/>
    <w:rsid w:val="001E41F2"/>
    <w:rsid w:val="001E5E30"/>
    <w:rsid w:val="001E7C07"/>
    <w:rsid w:val="001F1E1F"/>
    <w:rsid w:val="002003FD"/>
    <w:rsid w:val="00204581"/>
    <w:rsid w:val="00205A08"/>
    <w:rsid w:val="00207422"/>
    <w:rsid w:val="002115ED"/>
    <w:rsid w:val="00212325"/>
    <w:rsid w:val="0021281C"/>
    <w:rsid w:val="00213BA2"/>
    <w:rsid w:val="00215FD7"/>
    <w:rsid w:val="002254F6"/>
    <w:rsid w:val="002278DB"/>
    <w:rsid w:val="00242B91"/>
    <w:rsid w:val="002431A0"/>
    <w:rsid w:val="00244175"/>
    <w:rsid w:val="002451FF"/>
    <w:rsid w:val="00253A3D"/>
    <w:rsid w:val="00256FBE"/>
    <w:rsid w:val="00257152"/>
    <w:rsid w:val="00260E61"/>
    <w:rsid w:val="00266849"/>
    <w:rsid w:val="00266F01"/>
    <w:rsid w:val="002676FE"/>
    <w:rsid w:val="0027565E"/>
    <w:rsid w:val="002838A2"/>
    <w:rsid w:val="00284DE5"/>
    <w:rsid w:val="00284FDF"/>
    <w:rsid w:val="00290656"/>
    <w:rsid w:val="002924B7"/>
    <w:rsid w:val="002969AD"/>
    <w:rsid w:val="002A3EAB"/>
    <w:rsid w:val="002B11A6"/>
    <w:rsid w:val="002B14F9"/>
    <w:rsid w:val="002B4180"/>
    <w:rsid w:val="002B6C45"/>
    <w:rsid w:val="002C2EDC"/>
    <w:rsid w:val="002C3179"/>
    <w:rsid w:val="002C576C"/>
    <w:rsid w:val="002D37A4"/>
    <w:rsid w:val="002E2AFA"/>
    <w:rsid w:val="002E638F"/>
    <w:rsid w:val="002E77A9"/>
    <w:rsid w:val="002E7B20"/>
    <w:rsid w:val="002F3D67"/>
    <w:rsid w:val="002F6625"/>
    <w:rsid w:val="003026B3"/>
    <w:rsid w:val="00312E54"/>
    <w:rsid w:val="00314059"/>
    <w:rsid w:val="0032003F"/>
    <w:rsid w:val="00322874"/>
    <w:rsid w:val="00326EA9"/>
    <w:rsid w:val="00334258"/>
    <w:rsid w:val="003344C2"/>
    <w:rsid w:val="00337C41"/>
    <w:rsid w:val="00343FA7"/>
    <w:rsid w:val="00344AF1"/>
    <w:rsid w:val="003470BB"/>
    <w:rsid w:val="00354C71"/>
    <w:rsid w:val="00357118"/>
    <w:rsid w:val="00357AFB"/>
    <w:rsid w:val="00360437"/>
    <w:rsid w:val="00361473"/>
    <w:rsid w:val="00366618"/>
    <w:rsid w:val="00366C74"/>
    <w:rsid w:val="0036748D"/>
    <w:rsid w:val="00371BEA"/>
    <w:rsid w:val="00373C71"/>
    <w:rsid w:val="0037465F"/>
    <w:rsid w:val="003778A3"/>
    <w:rsid w:val="003822E6"/>
    <w:rsid w:val="00386CDB"/>
    <w:rsid w:val="00394DA8"/>
    <w:rsid w:val="00395801"/>
    <w:rsid w:val="003A0FEE"/>
    <w:rsid w:val="003A1C6E"/>
    <w:rsid w:val="003B1A26"/>
    <w:rsid w:val="003B481B"/>
    <w:rsid w:val="003B5143"/>
    <w:rsid w:val="003C1B18"/>
    <w:rsid w:val="003C1F35"/>
    <w:rsid w:val="003C278B"/>
    <w:rsid w:val="003C6E30"/>
    <w:rsid w:val="003D1F15"/>
    <w:rsid w:val="003D274B"/>
    <w:rsid w:val="003D3640"/>
    <w:rsid w:val="003D5869"/>
    <w:rsid w:val="003D7901"/>
    <w:rsid w:val="003E1F41"/>
    <w:rsid w:val="003E32CD"/>
    <w:rsid w:val="003E535C"/>
    <w:rsid w:val="003E62F3"/>
    <w:rsid w:val="003F07A5"/>
    <w:rsid w:val="003F3859"/>
    <w:rsid w:val="003F6EBB"/>
    <w:rsid w:val="0040253F"/>
    <w:rsid w:val="00407DD5"/>
    <w:rsid w:val="00407E18"/>
    <w:rsid w:val="00411AF7"/>
    <w:rsid w:val="004245FD"/>
    <w:rsid w:val="00424EF3"/>
    <w:rsid w:val="0042517C"/>
    <w:rsid w:val="00426AB9"/>
    <w:rsid w:val="004331DA"/>
    <w:rsid w:val="004423FF"/>
    <w:rsid w:val="00443EB6"/>
    <w:rsid w:val="004442A7"/>
    <w:rsid w:val="0045533F"/>
    <w:rsid w:val="004574ED"/>
    <w:rsid w:val="004661C9"/>
    <w:rsid w:val="00472FF5"/>
    <w:rsid w:val="0047764F"/>
    <w:rsid w:val="004813DF"/>
    <w:rsid w:val="004820E8"/>
    <w:rsid w:val="004822E5"/>
    <w:rsid w:val="00484546"/>
    <w:rsid w:val="004864B6"/>
    <w:rsid w:val="00490375"/>
    <w:rsid w:val="0049189C"/>
    <w:rsid w:val="0049248A"/>
    <w:rsid w:val="00492810"/>
    <w:rsid w:val="00493B9B"/>
    <w:rsid w:val="00496C59"/>
    <w:rsid w:val="004A0163"/>
    <w:rsid w:val="004C36FE"/>
    <w:rsid w:val="004C3B7F"/>
    <w:rsid w:val="004C3D67"/>
    <w:rsid w:val="004D00C8"/>
    <w:rsid w:val="004D05D8"/>
    <w:rsid w:val="004D4F7A"/>
    <w:rsid w:val="004D731D"/>
    <w:rsid w:val="004E3F4A"/>
    <w:rsid w:val="004E4CEE"/>
    <w:rsid w:val="004E7B8F"/>
    <w:rsid w:val="004F3A83"/>
    <w:rsid w:val="00515473"/>
    <w:rsid w:val="0051578E"/>
    <w:rsid w:val="00521F90"/>
    <w:rsid w:val="005239D1"/>
    <w:rsid w:val="00530927"/>
    <w:rsid w:val="00531E1A"/>
    <w:rsid w:val="0054050B"/>
    <w:rsid w:val="0054151F"/>
    <w:rsid w:val="00545D6A"/>
    <w:rsid w:val="0055210B"/>
    <w:rsid w:val="00554D5F"/>
    <w:rsid w:val="00556871"/>
    <w:rsid w:val="00563E2C"/>
    <w:rsid w:val="00564F93"/>
    <w:rsid w:val="0056764A"/>
    <w:rsid w:val="00570919"/>
    <w:rsid w:val="0057790E"/>
    <w:rsid w:val="00580BC4"/>
    <w:rsid w:val="00582ADB"/>
    <w:rsid w:val="00582F70"/>
    <w:rsid w:val="005840D5"/>
    <w:rsid w:val="00584131"/>
    <w:rsid w:val="00585844"/>
    <w:rsid w:val="005943DC"/>
    <w:rsid w:val="005977F7"/>
    <w:rsid w:val="005A4367"/>
    <w:rsid w:val="005B1D15"/>
    <w:rsid w:val="005B3E28"/>
    <w:rsid w:val="005B6648"/>
    <w:rsid w:val="005B7DF1"/>
    <w:rsid w:val="005D1B60"/>
    <w:rsid w:val="005D4549"/>
    <w:rsid w:val="005D6BF1"/>
    <w:rsid w:val="005E047F"/>
    <w:rsid w:val="005E0AD5"/>
    <w:rsid w:val="005E368F"/>
    <w:rsid w:val="005E5D9C"/>
    <w:rsid w:val="005F1BB0"/>
    <w:rsid w:val="005F78C9"/>
    <w:rsid w:val="0060016E"/>
    <w:rsid w:val="00601691"/>
    <w:rsid w:val="006115DC"/>
    <w:rsid w:val="0061665D"/>
    <w:rsid w:val="00616BDD"/>
    <w:rsid w:val="00627122"/>
    <w:rsid w:val="0062751E"/>
    <w:rsid w:val="00630855"/>
    <w:rsid w:val="00631E63"/>
    <w:rsid w:val="00632880"/>
    <w:rsid w:val="00632A06"/>
    <w:rsid w:val="00642172"/>
    <w:rsid w:val="006437ED"/>
    <w:rsid w:val="00643813"/>
    <w:rsid w:val="006472F6"/>
    <w:rsid w:val="00660679"/>
    <w:rsid w:val="00663CD1"/>
    <w:rsid w:val="006650A1"/>
    <w:rsid w:val="00674B05"/>
    <w:rsid w:val="006760E3"/>
    <w:rsid w:val="00676CAD"/>
    <w:rsid w:val="00681876"/>
    <w:rsid w:val="00683A81"/>
    <w:rsid w:val="00685BFC"/>
    <w:rsid w:val="00694C2D"/>
    <w:rsid w:val="006A0EF2"/>
    <w:rsid w:val="006A17BC"/>
    <w:rsid w:val="006A27C0"/>
    <w:rsid w:val="006A2B6E"/>
    <w:rsid w:val="006A5228"/>
    <w:rsid w:val="006B3F01"/>
    <w:rsid w:val="006B48CB"/>
    <w:rsid w:val="006C24BD"/>
    <w:rsid w:val="006C26FB"/>
    <w:rsid w:val="006C281E"/>
    <w:rsid w:val="006C46DD"/>
    <w:rsid w:val="006C69BE"/>
    <w:rsid w:val="006C6EF7"/>
    <w:rsid w:val="006C79A9"/>
    <w:rsid w:val="006D3448"/>
    <w:rsid w:val="006D348E"/>
    <w:rsid w:val="006E2CBC"/>
    <w:rsid w:val="006E50B5"/>
    <w:rsid w:val="006F418D"/>
    <w:rsid w:val="00701AFD"/>
    <w:rsid w:val="00701BC6"/>
    <w:rsid w:val="00704F54"/>
    <w:rsid w:val="00706093"/>
    <w:rsid w:val="00711AEA"/>
    <w:rsid w:val="0071260C"/>
    <w:rsid w:val="00716EC8"/>
    <w:rsid w:val="0072092D"/>
    <w:rsid w:val="00721B83"/>
    <w:rsid w:val="00726E1C"/>
    <w:rsid w:val="007301D7"/>
    <w:rsid w:val="007337AB"/>
    <w:rsid w:val="00742454"/>
    <w:rsid w:val="00742F23"/>
    <w:rsid w:val="007430D0"/>
    <w:rsid w:val="0074376A"/>
    <w:rsid w:val="0075605E"/>
    <w:rsid w:val="00756820"/>
    <w:rsid w:val="00762371"/>
    <w:rsid w:val="00767AEC"/>
    <w:rsid w:val="00774A60"/>
    <w:rsid w:val="00782D68"/>
    <w:rsid w:val="007835C9"/>
    <w:rsid w:val="00783A42"/>
    <w:rsid w:val="00790CDB"/>
    <w:rsid w:val="0079381C"/>
    <w:rsid w:val="00794669"/>
    <w:rsid w:val="0079759C"/>
    <w:rsid w:val="007A4C49"/>
    <w:rsid w:val="007A5AF4"/>
    <w:rsid w:val="007B232D"/>
    <w:rsid w:val="007B3350"/>
    <w:rsid w:val="007B3D92"/>
    <w:rsid w:val="007B448F"/>
    <w:rsid w:val="007D1B62"/>
    <w:rsid w:val="007D2C5E"/>
    <w:rsid w:val="007D5307"/>
    <w:rsid w:val="007E313B"/>
    <w:rsid w:val="007E37A8"/>
    <w:rsid w:val="007E4C39"/>
    <w:rsid w:val="007F033F"/>
    <w:rsid w:val="007F047A"/>
    <w:rsid w:val="007F3332"/>
    <w:rsid w:val="007F48B8"/>
    <w:rsid w:val="007F4C88"/>
    <w:rsid w:val="007F77C8"/>
    <w:rsid w:val="007F79B3"/>
    <w:rsid w:val="00800CF2"/>
    <w:rsid w:val="00801DA2"/>
    <w:rsid w:val="0080244A"/>
    <w:rsid w:val="008162BF"/>
    <w:rsid w:val="0082017C"/>
    <w:rsid w:val="00821D5C"/>
    <w:rsid w:val="00822A04"/>
    <w:rsid w:val="008268D7"/>
    <w:rsid w:val="008343BE"/>
    <w:rsid w:val="008373CD"/>
    <w:rsid w:val="00844993"/>
    <w:rsid w:val="008469F1"/>
    <w:rsid w:val="00850BA2"/>
    <w:rsid w:val="00856918"/>
    <w:rsid w:val="00863805"/>
    <w:rsid w:val="00864F1D"/>
    <w:rsid w:val="00867B2F"/>
    <w:rsid w:val="00872FEA"/>
    <w:rsid w:val="00873146"/>
    <w:rsid w:val="00884C64"/>
    <w:rsid w:val="00887C29"/>
    <w:rsid w:val="00890315"/>
    <w:rsid w:val="00892C0E"/>
    <w:rsid w:val="008A123C"/>
    <w:rsid w:val="008A1BE8"/>
    <w:rsid w:val="008A5653"/>
    <w:rsid w:val="008A7128"/>
    <w:rsid w:val="008B03C4"/>
    <w:rsid w:val="008B25D0"/>
    <w:rsid w:val="008B651D"/>
    <w:rsid w:val="008C1421"/>
    <w:rsid w:val="008C611E"/>
    <w:rsid w:val="008C7C24"/>
    <w:rsid w:val="008D0D2F"/>
    <w:rsid w:val="008D12B8"/>
    <w:rsid w:val="008D2CE8"/>
    <w:rsid w:val="008E1679"/>
    <w:rsid w:val="008E19B9"/>
    <w:rsid w:val="008E1BE9"/>
    <w:rsid w:val="008E3FF1"/>
    <w:rsid w:val="008E5507"/>
    <w:rsid w:val="008E5BE8"/>
    <w:rsid w:val="008E703B"/>
    <w:rsid w:val="008F5B32"/>
    <w:rsid w:val="008F6091"/>
    <w:rsid w:val="00911AA5"/>
    <w:rsid w:val="00920831"/>
    <w:rsid w:val="00922E1B"/>
    <w:rsid w:val="00924534"/>
    <w:rsid w:val="00925B4D"/>
    <w:rsid w:val="009261A2"/>
    <w:rsid w:val="00931769"/>
    <w:rsid w:val="009323CE"/>
    <w:rsid w:val="00934A44"/>
    <w:rsid w:val="00935BB5"/>
    <w:rsid w:val="00944E4C"/>
    <w:rsid w:val="00950945"/>
    <w:rsid w:val="0095342B"/>
    <w:rsid w:val="00957304"/>
    <w:rsid w:val="009579B0"/>
    <w:rsid w:val="00960636"/>
    <w:rsid w:val="0096222B"/>
    <w:rsid w:val="009659C6"/>
    <w:rsid w:val="00967E52"/>
    <w:rsid w:val="00971317"/>
    <w:rsid w:val="009740E3"/>
    <w:rsid w:val="009748E1"/>
    <w:rsid w:val="00975294"/>
    <w:rsid w:val="00975D9D"/>
    <w:rsid w:val="0097700D"/>
    <w:rsid w:val="00977CE0"/>
    <w:rsid w:val="009803D3"/>
    <w:rsid w:val="00982BAA"/>
    <w:rsid w:val="00995932"/>
    <w:rsid w:val="009A057F"/>
    <w:rsid w:val="009A2E6E"/>
    <w:rsid w:val="009A72ED"/>
    <w:rsid w:val="009B108C"/>
    <w:rsid w:val="009B27BE"/>
    <w:rsid w:val="009B3DB4"/>
    <w:rsid w:val="009B4D6C"/>
    <w:rsid w:val="009B705C"/>
    <w:rsid w:val="009C17B2"/>
    <w:rsid w:val="009C55BC"/>
    <w:rsid w:val="009D1FE6"/>
    <w:rsid w:val="009D24CE"/>
    <w:rsid w:val="009D3455"/>
    <w:rsid w:val="009D69BC"/>
    <w:rsid w:val="009E1A3B"/>
    <w:rsid w:val="009E5751"/>
    <w:rsid w:val="009E58D3"/>
    <w:rsid w:val="009E7470"/>
    <w:rsid w:val="009F2E42"/>
    <w:rsid w:val="009F2F3C"/>
    <w:rsid w:val="009F3E0C"/>
    <w:rsid w:val="009F48C9"/>
    <w:rsid w:val="009F70FC"/>
    <w:rsid w:val="00A03BA5"/>
    <w:rsid w:val="00A03F74"/>
    <w:rsid w:val="00A0418B"/>
    <w:rsid w:val="00A04FA5"/>
    <w:rsid w:val="00A27009"/>
    <w:rsid w:val="00A27394"/>
    <w:rsid w:val="00A27398"/>
    <w:rsid w:val="00A335E1"/>
    <w:rsid w:val="00A34928"/>
    <w:rsid w:val="00A35569"/>
    <w:rsid w:val="00A3638A"/>
    <w:rsid w:val="00A376F7"/>
    <w:rsid w:val="00A413D4"/>
    <w:rsid w:val="00A41DB7"/>
    <w:rsid w:val="00A42788"/>
    <w:rsid w:val="00A449B6"/>
    <w:rsid w:val="00A4725B"/>
    <w:rsid w:val="00A57BBA"/>
    <w:rsid w:val="00A621D0"/>
    <w:rsid w:val="00A637E1"/>
    <w:rsid w:val="00A63EE7"/>
    <w:rsid w:val="00A70D9D"/>
    <w:rsid w:val="00A72A24"/>
    <w:rsid w:val="00A72F81"/>
    <w:rsid w:val="00A75824"/>
    <w:rsid w:val="00A7669C"/>
    <w:rsid w:val="00A7727A"/>
    <w:rsid w:val="00A81648"/>
    <w:rsid w:val="00A836A0"/>
    <w:rsid w:val="00A83AD1"/>
    <w:rsid w:val="00A85BC6"/>
    <w:rsid w:val="00A9235C"/>
    <w:rsid w:val="00AA220B"/>
    <w:rsid w:val="00AA61BB"/>
    <w:rsid w:val="00AB423A"/>
    <w:rsid w:val="00AB5CF1"/>
    <w:rsid w:val="00AB7F51"/>
    <w:rsid w:val="00AD4D54"/>
    <w:rsid w:val="00AE1B80"/>
    <w:rsid w:val="00AE78DD"/>
    <w:rsid w:val="00AF46F1"/>
    <w:rsid w:val="00AF4AB3"/>
    <w:rsid w:val="00AF4B6F"/>
    <w:rsid w:val="00AF7DBA"/>
    <w:rsid w:val="00B031A3"/>
    <w:rsid w:val="00B06EF1"/>
    <w:rsid w:val="00B06FA5"/>
    <w:rsid w:val="00B07F0C"/>
    <w:rsid w:val="00B11D09"/>
    <w:rsid w:val="00B13BF9"/>
    <w:rsid w:val="00B17FA3"/>
    <w:rsid w:val="00B236D2"/>
    <w:rsid w:val="00B239A5"/>
    <w:rsid w:val="00B24472"/>
    <w:rsid w:val="00B34458"/>
    <w:rsid w:val="00B40642"/>
    <w:rsid w:val="00B4164F"/>
    <w:rsid w:val="00B41939"/>
    <w:rsid w:val="00B449DA"/>
    <w:rsid w:val="00B47848"/>
    <w:rsid w:val="00B47E9E"/>
    <w:rsid w:val="00B51D1E"/>
    <w:rsid w:val="00B62244"/>
    <w:rsid w:val="00B64303"/>
    <w:rsid w:val="00B65921"/>
    <w:rsid w:val="00B82E74"/>
    <w:rsid w:val="00B82EDE"/>
    <w:rsid w:val="00B930D1"/>
    <w:rsid w:val="00B931AA"/>
    <w:rsid w:val="00B94543"/>
    <w:rsid w:val="00B94A3F"/>
    <w:rsid w:val="00B95DAB"/>
    <w:rsid w:val="00BA1AEE"/>
    <w:rsid w:val="00BA3446"/>
    <w:rsid w:val="00BA6A89"/>
    <w:rsid w:val="00BB11EB"/>
    <w:rsid w:val="00BB232B"/>
    <w:rsid w:val="00BB3D16"/>
    <w:rsid w:val="00BB44F5"/>
    <w:rsid w:val="00BB54F7"/>
    <w:rsid w:val="00BB747B"/>
    <w:rsid w:val="00BC43FC"/>
    <w:rsid w:val="00BC4C14"/>
    <w:rsid w:val="00BD0273"/>
    <w:rsid w:val="00BD0E99"/>
    <w:rsid w:val="00BD0FB2"/>
    <w:rsid w:val="00BD2CD6"/>
    <w:rsid w:val="00BD314B"/>
    <w:rsid w:val="00BD5EF1"/>
    <w:rsid w:val="00BE5D18"/>
    <w:rsid w:val="00BE63B7"/>
    <w:rsid w:val="00BF1344"/>
    <w:rsid w:val="00BF1839"/>
    <w:rsid w:val="00BF1E01"/>
    <w:rsid w:val="00BF245F"/>
    <w:rsid w:val="00C02E5E"/>
    <w:rsid w:val="00C07D89"/>
    <w:rsid w:val="00C12C49"/>
    <w:rsid w:val="00C14820"/>
    <w:rsid w:val="00C14A12"/>
    <w:rsid w:val="00C2003F"/>
    <w:rsid w:val="00C23BE8"/>
    <w:rsid w:val="00C31269"/>
    <w:rsid w:val="00C320B7"/>
    <w:rsid w:val="00C358AA"/>
    <w:rsid w:val="00C43333"/>
    <w:rsid w:val="00C43B63"/>
    <w:rsid w:val="00C468C8"/>
    <w:rsid w:val="00C52089"/>
    <w:rsid w:val="00C56387"/>
    <w:rsid w:val="00C66460"/>
    <w:rsid w:val="00C72AE2"/>
    <w:rsid w:val="00C72F36"/>
    <w:rsid w:val="00C74281"/>
    <w:rsid w:val="00C762C2"/>
    <w:rsid w:val="00C77E8C"/>
    <w:rsid w:val="00C827AA"/>
    <w:rsid w:val="00C85C34"/>
    <w:rsid w:val="00C85DDC"/>
    <w:rsid w:val="00C87E33"/>
    <w:rsid w:val="00C9237F"/>
    <w:rsid w:val="00C92CBE"/>
    <w:rsid w:val="00C95952"/>
    <w:rsid w:val="00CA05B8"/>
    <w:rsid w:val="00CA221C"/>
    <w:rsid w:val="00CA28AB"/>
    <w:rsid w:val="00CA71DE"/>
    <w:rsid w:val="00CB2332"/>
    <w:rsid w:val="00CB23A1"/>
    <w:rsid w:val="00CB25F2"/>
    <w:rsid w:val="00CB6CBE"/>
    <w:rsid w:val="00CC1E37"/>
    <w:rsid w:val="00CC4AF5"/>
    <w:rsid w:val="00CD025D"/>
    <w:rsid w:val="00CD1A54"/>
    <w:rsid w:val="00CD5EEE"/>
    <w:rsid w:val="00CD6BC3"/>
    <w:rsid w:val="00CE05F3"/>
    <w:rsid w:val="00CE0A46"/>
    <w:rsid w:val="00CE0DD5"/>
    <w:rsid w:val="00CE3575"/>
    <w:rsid w:val="00CE4E6A"/>
    <w:rsid w:val="00CE50F6"/>
    <w:rsid w:val="00CE58D5"/>
    <w:rsid w:val="00CE71D8"/>
    <w:rsid w:val="00CF1A91"/>
    <w:rsid w:val="00CF1FF7"/>
    <w:rsid w:val="00CF36BA"/>
    <w:rsid w:val="00D00D6E"/>
    <w:rsid w:val="00D11139"/>
    <w:rsid w:val="00D15ACA"/>
    <w:rsid w:val="00D16889"/>
    <w:rsid w:val="00D17D5D"/>
    <w:rsid w:val="00D214EC"/>
    <w:rsid w:val="00D24614"/>
    <w:rsid w:val="00D26EA4"/>
    <w:rsid w:val="00D27A72"/>
    <w:rsid w:val="00D304A4"/>
    <w:rsid w:val="00D350C4"/>
    <w:rsid w:val="00D429AA"/>
    <w:rsid w:val="00D44A41"/>
    <w:rsid w:val="00D508D3"/>
    <w:rsid w:val="00D55296"/>
    <w:rsid w:val="00D56676"/>
    <w:rsid w:val="00D6321D"/>
    <w:rsid w:val="00D63861"/>
    <w:rsid w:val="00D65C4C"/>
    <w:rsid w:val="00D6751F"/>
    <w:rsid w:val="00D70387"/>
    <w:rsid w:val="00D70BE3"/>
    <w:rsid w:val="00D7237D"/>
    <w:rsid w:val="00D759EA"/>
    <w:rsid w:val="00D82A05"/>
    <w:rsid w:val="00D85FA5"/>
    <w:rsid w:val="00D8605C"/>
    <w:rsid w:val="00D8623C"/>
    <w:rsid w:val="00D86A06"/>
    <w:rsid w:val="00D902D5"/>
    <w:rsid w:val="00D947EA"/>
    <w:rsid w:val="00D95D7F"/>
    <w:rsid w:val="00DA3792"/>
    <w:rsid w:val="00DA3E7A"/>
    <w:rsid w:val="00DA3FFB"/>
    <w:rsid w:val="00DA4F60"/>
    <w:rsid w:val="00DB2F6A"/>
    <w:rsid w:val="00DB5FA1"/>
    <w:rsid w:val="00DB6615"/>
    <w:rsid w:val="00DB7197"/>
    <w:rsid w:val="00DB7F7B"/>
    <w:rsid w:val="00DB7F9B"/>
    <w:rsid w:val="00DC417D"/>
    <w:rsid w:val="00DC4F79"/>
    <w:rsid w:val="00DD0664"/>
    <w:rsid w:val="00DD2B58"/>
    <w:rsid w:val="00DE0273"/>
    <w:rsid w:val="00DE1055"/>
    <w:rsid w:val="00DE3790"/>
    <w:rsid w:val="00DE7B54"/>
    <w:rsid w:val="00DF0E6F"/>
    <w:rsid w:val="00DF62B8"/>
    <w:rsid w:val="00DF759D"/>
    <w:rsid w:val="00DF784F"/>
    <w:rsid w:val="00DF7DCF"/>
    <w:rsid w:val="00E04474"/>
    <w:rsid w:val="00E05222"/>
    <w:rsid w:val="00E05B9A"/>
    <w:rsid w:val="00E079C0"/>
    <w:rsid w:val="00E14A0A"/>
    <w:rsid w:val="00E153A6"/>
    <w:rsid w:val="00E16D14"/>
    <w:rsid w:val="00E16D88"/>
    <w:rsid w:val="00E22667"/>
    <w:rsid w:val="00E233AE"/>
    <w:rsid w:val="00E253DA"/>
    <w:rsid w:val="00E3222F"/>
    <w:rsid w:val="00E32A21"/>
    <w:rsid w:val="00E34677"/>
    <w:rsid w:val="00E35CA8"/>
    <w:rsid w:val="00E37D1E"/>
    <w:rsid w:val="00E37EE9"/>
    <w:rsid w:val="00E430C0"/>
    <w:rsid w:val="00E470B2"/>
    <w:rsid w:val="00E5049D"/>
    <w:rsid w:val="00E511E6"/>
    <w:rsid w:val="00E51F71"/>
    <w:rsid w:val="00E53DE9"/>
    <w:rsid w:val="00E553B0"/>
    <w:rsid w:val="00E60064"/>
    <w:rsid w:val="00E630FA"/>
    <w:rsid w:val="00E63174"/>
    <w:rsid w:val="00E63BCA"/>
    <w:rsid w:val="00E64287"/>
    <w:rsid w:val="00E66BE4"/>
    <w:rsid w:val="00E675ED"/>
    <w:rsid w:val="00E877AD"/>
    <w:rsid w:val="00E970F6"/>
    <w:rsid w:val="00EA52D1"/>
    <w:rsid w:val="00EA75E1"/>
    <w:rsid w:val="00EA7848"/>
    <w:rsid w:val="00EA7F4A"/>
    <w:rsid w:val="00EB261C"/>
    <w:rsid w:val="00EB417B"/>
    <w:rsid w:val="00EB5E49"/>
    <w:rsid w:val="00EB7433"/>
    <w:rsid w:val="00EC3923"/>
    <w:rsid w:val="00ED184E"/>
    <w:rsid w:val="00ED6E7A"/>
    <w:rsid w:val="00ED7075"/>
    <w:rsid w:val="00ED73AC"/>
    <w:rsid w:val="00ED75F0"/>
    <w:rsid w:val="00EE18EC"/>
    <w:rsid w:val="00EE5441"/>
    <w:rsid w:val="00EE7558"/>
    <w:rsid w:val="00EF330D"/>
    <w:rsid w:val="00EF46FD"/>
    <w:rsid w:val="00EF62A7"/>
    <w:rsid w:val="00F00B86"/>
    <w:rsid w:val="00F03B3C"/>
    <w:rsid w:val="00F066FD"/>
    <w:rsid w:val="00F108FF"/>
    <w:rsid w:val="00F11CFF"/>
    <w:rsid w:val="00F14016"/>
    <w:rsid w:val="00F21407"/>
    <w:rsid w:val="00F228B9"/>
    <w:rsid w:val="00F361AF"/>
    <w:rsid w:val="00F44E68"/>
    <w:rsid w:val="00F50936"/>
    <w:rsid w:val="00F53F44"/>
    <w:rsid w:val="00F54EF3"/>
    <w:rsid w:val="00F57BC8"/>
    <w:rsid w:val="00F61BC1"/>
    <w:rsid w:val="00F620F4"/>
    <w:rsid w:val="00F626A0"/>
    <w:rsid w:val="00F62DE2"/>
    <w:rsid w:val="00F70A2E"/>
    <w:rsid w:val="00F715E2"/>
    <w:rsid w:val="00F724E3"/>
    <w:rsid w:val="00F74AFD"/>
    <w:rsid w:val="00F765EE"/>
    <w:rsid w:val="00F86B39"/>
    <w:rsid w:val="00F9041E"/>
    <w:rsid w:val="00F91DDE"/>
    <w:rsid w:val="00F91FD7"/>
    <w:rsid w:val="00F92BD2"/>
    <w:rsid w:val="00F94C41"/>
    <w:rsid w:val="00FA155C"/>
    <w:rsid w:val="00FA4B91"/>
    <w:rsid w:val="00FB3B81"/>
    <w:rsid w:val="00FB4F88"/>
    <w:rsid w:val="00FB585A"/>
    <w:rsid w:val="00FC3A16"/>
    <w:rsid w:val="00FD01E9"/>
    <w:rsid w:val="00FD1B49"/>
    <w:rsid w:val="00FD2BC5"/>
    <w:rsid w:val="00FD7A38"/>
    <w:rsid w:val="00FE0A4D"/>
    <w:rsid w:val="00FE3014"/>
    <w:rsid w:val="00FF59AC"/>
    <w:rsid w:val="00FF6584"/>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24472"/>
    <w:pPr>
      <w:keepNext/>
      <w:spacing w:after="0" w:line="240" w:lineRule="auto"/>
      <w:ind w:left="-709"/>
      <w:outlineLvl w:val="0"/>
    </w:pPr>
    <w:rPr>
      <w:rFonts w:ascii="Times New Roman" w:eastAsia="Times New Roman" w:hAnsi="Times New Roman" w:cs="Times New Roman"/>
      <w:b/>
      <w:bCs/>
      <w:sz w:val="2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 w:type="paragraph" w:customStyle="1" w:styleId="NApielikums">
    <w:name w:val="NA pielikums"/>
    <w:basedOn w:val="Normal"/>
    <w:link w:val="NApielikumsCharChar"/>
    <w:rsid w:val="00061F14"/>
    <w:pPr>
      <w:spacing w:after="0" w:line="240" w:lineRule="auto"/>
      <w:jc w:val="right"/>
    </w:pPr>
    <w:rPr>
      <w:rFonts w:ascii="Times New Roman" w:eastAsia="Times New Roman" w:hAnsi="Times New Roman" w:cs="Times New Roman"/>
      <w:sz w:val="24"/>
      <w:szCs w:val="24"/>
      <w:lang w:eastAsia="lv-LV"/>
    </w:rPr>
  </w:style>
  <w:style w:type="character" w:customStyle="1" w:styleId="NApielikumsCharChar">
    <w:name w:val="NA pielikums Char Char"/>
    <w:basedOn w:val="DefaultParagraphFont"/>
    <w:link w:val="NApielikums"/>
    <w:rsid w:val="00061F14"/>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061F14"/>
    <w:rPr>
      <w:color w:val="808080"/>
    </w:rPr>
  </w:style>
  <w:style w:type="paragraph" w:customStyle="1" w:styleId="Default">
    <w:name w:val="Default"/>
    <w:rsid w:val="00061F14"/>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B24472"/>
    <w:rPr>
      <w:rFonts w:ascii="Times New Roman" w:eastAsia="Times New Roman" w:hAnsi="Times New Roman" w:cs="Times New Roman"/>
      <w:b/>
      <w:bCs/>
      <w:sz w:val="28"/>
      <w:szCs w:val="24"/>
      <w:lang w:val="en-GB"/>
    </w:rPr>
  </w:style>
  <w:style w:type="character" w:customStyle="1" w:styleId="cf21">
    <w:name w:val="cf21"/>
    <w:basedOn w:val="DefaultParagraphFont"/>
    <w:rsid w:val="0051578E"/>
    <w:rPr>
      <w:rFonts w:ascii="Segoe UI" w:hAnsi="Segoe UI" w:cs="Segoe UI" w:hint="default"/>
      <w:color w:val="41414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328678448">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LV/TXT/?uri=CELEX%3A32018R003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PlaceholderText"/>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PlaceholderText"/>
              <w:b/>
              <w:szCs w:val="24"/>
            </w:rPr>
            <w:t>[Nosaukums]</w:t>
          </w:r>
        </w:p>
      </w:docPartBody>
    </w:docPart>
    <w:docPart>
      <w:docPartPr>
        <w:name w:val="10133751E11B4FA6A7EB0A4BBDF81AED"/>
        <w:category>
          <w:name w:val="General"/>
          <w:gallery w:val="placeholder"/>
        </w:category>
        <w:types>
          <w:type w:val="bbPlcHdr"/>
        </w:types>
        <w:behaviors>
          <w:behavior w:val="content"/>
        </w:behaviors>
        <w:guid w:val="{BD8EEDDC-CABC-44DE-BBAD-238D83882CA9}"/>
      </w:docPartPr>
      <w:docPartBody>
        <w:p w:rsidR="005B638C" w:rsidRDefault="005B638C" w:rsidP="005B638C">
          <w:pPr>
            <w:pStyle w:val="10133751E11B4FA6A7EB0A4BBDF81AED"/>
          </w:pPr>
          <w:r w:rsidRPr="00F75F63">
            <w:rPr>
              <w:rStyle w:val="PlaceholderText"/>
              <w:b/>
              <w:color w:val="808080" w:themeColor="background1" w:themeShade="80"/>
            </w:rPr>
            <w:t>[Nosaukums]</w:t>
          </w:r>
        </w:p>
      </w:docPartBody>
    </w:docPart>
    <w:docPart>
      <w:docPartPr>
        <w:name w:val="F44696EF12AC42E38E22C63A7275B63D"/>
        <w:category>
          <w:name w:val="General"/>
          <w:gallery w:val="placeholder"/>
        </w:category>
        <w:types>
          <w:type w:val="bbPlcHdr"/>
        </w:types>
        <w:behaviors>
          <w:behavior w:val="content"/>
        </w:behaviors>
        <w:guid w:val="{2A542469-A7F1-400A-B427-1391EE00880D}"/>
      </w:docPartPr>
      <w:docPartBody>
        <w:p w:rsidR="005B638C" w:rsidRDefault="005B638C" w:rsidP="005B638C">
          <w:pPr>
            <w:pStyle w:val="F44696EF12AC42E38E22C63A7275B63D"/>
          </w:pPr>
          <w:r>
            <w:rPr>
              <w:rStyle w:val="PlaceholderText"/>
              <w:b/>
              <w:color w:val="808080" w:themeColor="background1" w:themeShade="80"/>
            </w:rPr>
            <w:t>[Nosaukums]</w:t>
          </w:r>
        </w:p>
      </w:docPartBody>
    </w:docPart>
    <w:docPart>
      <w:docPartPr>
        <w:name w:val="4FA488E03FCF4D0B80C7DEFBD9AB1586"/>
        <w:category>
          <w:name w:val="General"/>
          <w:gallery w:val="placeholder"/>
        </w:category>
        <w:types>
          <w:type w:val="bbPlcHdr"/>
        </w:types>
        <w:behaviors>
          <w:behavior w:val="content"/>
        </w:behaviors>
        <w:guid w:val="{FF194B6C-2326-41D1-AE45-6797D5C9A8AC}"/>
      </w:docPartPr>
      <w:docPartBody>
        <w:p w:rsidR="005B638C" w:rsidRDefault="005B638C" w:rsidP="005B638C">
          <w:pPr>
            <w:pStyle w:val="4FA488E03FCF4D0B80C7DEFBD9AB1586"/>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35089"/>
    <w:rsid w:val="00162737"/>
    <w:rsid w:val="001B5ECD"/>
    <w:rsid w:val="001D3730"/>
    <w:rsid w:val="00227EEE"/>
    <w:rsid w:val="0024471B"/>
    <w:rsid w:val="00253730"/>
    <w:rsid w:val="00291FA8"/>
    <w:rsid w:val="002A132F"/>
    <w:rsid w:val="002A5D67"/>
    <w:rsid w:val="002A6F5D"/>
    <w:rsid w:val="00317E24"/>
    <w:rsid w:val="00341D71"/>
    <w:rsid w:val="003A682F"/>
    <w:rsid w:val="003E108D"/>
    <w:rsid w:val="00431623"/>
    <w:rsid w:val="004B3386"/>
    <w:rsid w:val="004E1C04"/>
    <w:rsid w:val="004F5A24"/>
    <w:rsid w:val="00572F21"/>
    <w:rsid w:val="005977F7"/>
    <w:rsid w:val="005B5A7D"/>
    <w:rsid w:val="005B638C"/>
    <w:rsid w:val="005C2CA0"/>
    <w:rsid w:val="005D75C8"/>
    <w:rsid w:val="00606F09"/>
    <w:rsid w:val="006A61AC"/>
    <w:rsid w:val="007624E4"/>
    <w:rsid w:val="0076578A"/>
    <w:rsid w:val="00776766"/>
    <w:rsid w:val="007E0AAA"/>
    <w:rsid w:val="00814418"/>
    <w:rsid w:val="00834517"/>
    <w:rsid w:val="00837761"/>
    <w:rsid w:val="008B3080"/>
    <w:rsid w:val="00950945"/>
    <w:rsid w:val="00A056E1"/>
    <w:rsid w:val="00A27A4D"/>
    <w:rsid w:val="00B308B3"/>
    <w:rsid w:val="00BA1188"/>
    <w:rsid w:val="00C043CE"/>
    <w:rsid w:val="00C358AA"/>
    <w:rsid w:val="00CF1A91"/>
    <w:rsid w:val="00D35F30"/>
    <w:rsid w:val="00D85A2F"/>
    <w:rsid w:val="00DD35D1"/>
    <w:rsid w:val="00EE6CA1"/>
    <w:rsid w:val="00F01EF8"/>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638C"/>
    <w:rPr>
      <w:color w:val="808080"/>
    </w:rPr>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 w:type="paragraph" w:customStyle="1" w:styleId="10133751E11B4FA6A7EB0A4BBDF81AED">
    <w:name w:val="10133751E11B4FA6A7EB0A4BBDF81AED"/>
    <w:rsid w:val="005B638C"/>
    <w:pPr>
      <w:spacing w:line="278" w:lineRule="auto"/>
    </w:pPr>
    <w:rPr>
      <w:kern w:val="2"/>
      <w:sz w:val="24"/>
      <w:szCs w:val="24"/>
      <w14:ligatures w14:val="standardContextual"/>
    </w:rPr>
  </w:style>
  <w:style w:type="paragraph" w:customStyle="1" w:styleId="F44696EF12AC42E38E22C63A7275B63D">
    <w:name w:val="F44696EF12AC42E38E22C63A7275B63D"/>
    <w:rsid w:val="005B638C"/>
    <w:pPr>
      <w:spacing w:line="278" w:lineRule="auto"/>
    </w:pPr>
    <w:rPr>
      <w:kern w:val="2"/>
      <w:sz w:val="24"/>
      <w:szCs w:val="24"/>
      <w14:ligatures w14:val="standardContextual"/>
    </w:rPr>
  </w:style>
  <w:style w:type="paragraph" w:customStyle="1" w:styleId="4FA488E03FCF4D0B80C7DEFBD9AB1586">
    <w:name w:val="4FA488E03FCF4D0B80C7DEFBD9AB1586"/>
    <w:rsid w:val="005B638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www.w3.org/XML/1998/namespace"/>
    <ds:schemaRef ds:uri="http://purl.org/dc/terms/"/>
    <ds:schemaRef ds:uri="http://purl.org/dc/elements/1.1/"/>
    <ds:schemaRef ds:uri="http://schemas.microsoft.com/office/2006/documentManagement/types"/>
    <ds:schemaRef ds:uri="http://schemas.openxmlformats.org/package/2006/metadata/core-properties"/>
    <ds:schemaRef ds:uri="http://schemas.microsoft.com/sharepoint/v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11802</Words>
  <Characters>6728</Characters>
  <Application>Microsoft Office Word</Application>
  <DocSecurity>0</DocSecurity>
  <Lines>56</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Ilze Grava</cp:lastModifiedBy>
  <cp:revision>3</cp:revision>
  <cp:lastPrinted>2023-07-25T07:30:00Z</cp:lastPrinted>
  <dcterms:created xsi:type="dcterms:W3CDTF">2024-08-16T05:59:00Z</dcterms:created>
  <dcterms:modified xsi:type="dcterms:W3CDTF">2024-08-16T08:12:00Z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