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20D989" w14:textId="0EE99FC8" w:rsidR="0057360C" w:rsidRDefault="0057360C" w:rsidP="0057360C">
      <w:pPr>
        <w:spacing w:after="0" w:line="240" w:lineRule="auto"/>
        <w:jc w:val="center"/>
        <w:rPr>
          <w:rFonts w:ascii="Times New Roman" w:hAnsi="Times New Roman" w:cs="Times New Roman"/>
          <w:b/>
          <w:bCs/>
          <w:sz w:val="24"/>
          <w:szCs w:val="24"/>
        </w:rPr>
      </w:pPr>
      <w:r w:rsidRPr="00CA28AB">
        <w:rPr>
          <w:rFonts w:ascii="Times New Roman" w:hAnsi="Times New Roman" w:cs="Times New Roman"/>
          <w:b/>
          <w:bCs/>
          <w:sz w:val="24"/>
          <w:szCs w:val="24"/>
        </w:rPr>
        <w:t xml:space="preserve">Latvijas Bankas noteikumu projekta </w:t>
      </w:r>
      <w:r>
        <w:rPr>
          <w:rFonts w:ascii="Times New Roman" w:hAnsi="Times New Roman" w:cs="Times New Roman"/>
          <w:b/>
          <w:bCs/>
          <w:sz w:val="24"/>
          <w:szCs w:val="24"/>
        </w:rPr>
        <w:t>"</w:t>
      </w:r>
      <w:r w:rsidR="007D5747">
        <w:rPr>
          <w:rFonts w:ascii="Times New Roman" w:hAnsi="Times New Roman" w:cs="Times New Roman"/>
          <w:b/>
          <w:bCs/>
          <w:sz w:val="24"/>
          <w:szCs w:val="24"/>
        </w:rPr>
        <w:t xml:space="preserve">Valsts </w:t>
      </w:r>
      <w:proofErr w:type="spellStart"/>
      <w:r w:rsidR="007D5747">
        <w:rPr>
          <w:rFonts w:ascii="Times New Roman" w:hAnsi="Times New Roman" w:cs="Times New Roman"/>
          <w:b/>
          <w:bCs/>
          <w:sz w:val="24"/>
          <w:szCs w:val="24"/>
        </w:rPr>
        <w:t>fondēto</w:t>
      </w:r>
      <w:proofErr w:type="spellEnd"/>
      <w:r w:rsidR="007D5747">
        <w:rPr>
          <w:rFonts w:ascii="Times New Roman" w:hAnsi="Times New Roman" w:cs="Times New Roman"/>
          <w:b/>
          <w:bCs/>
          <w:sz w:val="24"/>
          <w:szCs w:val="24"/>
        </w:rPr>
        <w:t xml:space="preserve"> pensiju shēmas ieguldījumu plānu un privāto pensiju fondu pensiju plānu</w:t>
      </w:r>
      <w:r w:rsidR="008305DC">
        <w:rPr>
          <w:rFonts w:ascii="Times New Roman" w:hAnsi="Times New Roman" w:cs="Times New Roman"/>
          <w:b/>
          <w:bCs/>
          <w:sz w:val="24"/>
          <w:szCs w:val="24"/>
        </w:rPr>
        <w:t xml:space="preserve"> gada pārskata noteikumi</w:t>
      </w:r>
      <w:r>
        <w:rPr>
          <w:rFonts w:ascii="Times New Roman" w:hAnsi="Times New Roman" w:cs="Times New Roman"/>
          <w:b/>
          <w:bCs/>
          <w:sz w:val="24"/>
          <w:szCs w:val="24"/>
        </w:rPr>
        <w:t>"</w:t>
      </w:r>
      <w:r w:rsidRPr="00C23668">
        <w:rPr>
          <w:rFonts w:ascii="Times New Roman" w:hAnsi="Times New Roman" w:cs="Times New Roman"/>
          <w:b/>
          <w:bCs/>
          <w:sz w:val="24"/>
          <w:szCs w:val="24"/>
        </w:rPr>
        <w:t xml:space="preserve"> </w:t>
      </w:r>
      <w:r w:rsidRPr="00CA28AB">
        <w:rPr>
          <w:rFonts w:ascii="Times New Roman" w:hAnsi="Times New Roman" w:cs="Times New Roman"/>
          <w:b/>
          <w:bCs/>
          <w:sz w:val="24"/>
          <w:szCs w:val="24"/>
        </w:rPr>
        <w:t>anotācija</w:t>
      </w:r>
    </w:p>
    <w:p w14:paraId="1253CC0B" w14:textId="77777777" w:rsidR="00190DDF" w:rsidRPr="00CA28AB" w:rsidRDefault="00190DDF" w:rsidP="0057360C">
      <w:pPr>
        <w:spacing w:after="0" w:line="240" w:lineRule="auto"/>
        <w:jc w:val="center"/>
        <w:rPr>
          <w:rFonts w:ascii="Times New Roman" w:hAnsi="Times New Roman" w:cs="Times New Roman"/>
          <w:b/>
          <w:bCs/>
          <w:sz w:val="24"/>
          <w:szCs w:val="24"/>
        </w:rPr>
      </w:pPr>
    </w:p>
    <w:tbl>
      <w:tblPr>
        <w:tblStyle w:val="TableGrid"/>
        <w:tblW w:w="8359" w:type="dxa"/>
        <w:tblLook w:val="04A0" w:firstRow="1" w:lastRow="0" w:firstColumn="1" w:lastColumn="0" w:noHBand="0" w:noVBand="1"/>
      </w:tblPr>
      <w:tblGrid>
        <w:gridCol w:w="1980"/>
        <w:gridCol w:w="6379"/>
      </w:tblGrid>
      <w:tr w:rsidR="00E02C21" w:rsidRPr="007B1360" w14:paraId="2AC98F6A" w14:textId="77777777" w:rsidTr="009B620B">
        <w:tc>
          <w:tcPr>
            <w:tcW w:w="1980" w:type="dxa"/>
          </w:tcPr>
          <w:p w14:paraId="68548ECA" w14:textId="5D13C2FE" w:rsidR="004D7D20" w:rsidRPr="007B1360" w:rsidRDefault="004D7D20"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t>Nosaukums</w:t>
            </w:r>
          </w:p>
        </w:tc>
        <w:tc>
          <w:tcPr>
            <w:tcW w:w="6379" w:type="dxa"/>
          </w:tcPr>
          <w:p w14:paraId="0EF6BD51" w14:textId="33A36937" w:rsidR="004D7D20" w:rsidRPr="008305DC" w:rsidRDefault="007D5747" w:rsidP="00C22386">
            <w:pPr>
              <w:spacing w:after="120"/>
              <w:jc w:val="both"/>
              <w:rPr>
                <w:rFonts w:ascii="Times New Roman" w:hAnsi="Times New Roman" w:cs="Times New Roman"/>
                <w:sz w:val="24"/>
                <w:szCs w:val="24"/>
              </w:rPr>
            </w:pPr>
            <w:r>
              <w:rPr>
                <w:rFonts w:ascii="Times New Roman" w:hAnsi="Times New Roman" w:cs="Times New Roman"/>
                <w:sz w:val="24"/>
                <w:szCs w:val="24"/>
              </w:rPr>
              <w:t xml:space="preserve">Valsts </w:t>
            </w:r>
            <w:proofErr w:type="spellStart"/>
            <w:r>
              <w:rPr>
                <w:rFonts w:ascii="Times New Roman" w:hAnsi="Times New Roman" w:cs="Times New Roman"/>
                <w:sz w:val="24"/>
                <w:szCs w:val="24"/>
              </w:rPr>
              <w:t>fondēto</w:t>
            </w:r>
            <w:proofErr w:type="spellEnd"/>
            <w:r>
              <w:rPr>
                <w:rFonts w:ascii="Times New Roman" w:hAnsi="Times New Roman" w:cs="Times New Roman"/>
                <w:sz w:val="24"/>
                <w:szCs w:val="24"/>
              </w:rPr>
              <w:t xml:space="preserve"> pensiju shēmas ieguldījumu plānu un privāto</w:t>
            </w:r>
            <w:r w:rsidR="008305DC" w:rsidRPr="008305DC">
              <w:rPr>
                <w:rFonts w:ascii="Times New Roman" w:hAnsi="Times New Roman" w:cs="Times New Roman"/>
                <w:sz w:val="24"/>
                <w:szCs w:val="24"/>
              </w:rPr>
              <w:t xml:space="preserve"> </w:t>
            </w:r>
            <w:r>
              <w:rPr>
                <w:rFonts w:ascii="Times New Roman" w:hAnsi="Times New Roman" w:cs="Times New Roman"/>
                <w:sz w:val="24"/>
                <w:szCs w:val="24"/>
              </w:rPr>
              <w:t xml:space="preserve">pensiju fondu pensiju plānu </w:t>
            </w:r>
            <w:r w:rsidR="008305DC" w:rsidRPr="008305DC">
              <w:rPr>
                <w:rFonts w:ascii="Times New Roman" w:hAnsi="Times New Roman" w:cs="Times New Roman"/>
                <w:sz w:val="24"/>
                <w:szCs w:val="24"/>
              </w:rPr>
              <w:t>gada pārskata noteikumi</w:t>
            </w:r>
          </w:p>
        </w:tc>
      </w:tr>
      <w:tr w:rsidR="00A61684" w:rsidRPr="007B1360" w14:paraId="02230D17" w14:textId="77777777" w:rsidTr="009B620B">
        <w:tc>
          <w:tcPr>
            <w:tcW w:w="1980" w:type="dxa"/>
          </w:tcPr>
          <w:p w14:paraId="118F97D3" w14:textId="47F841DE" w:rsidR="004D7D20" w:rsidRPr="007B1360" w:rsidRDefault="004D7D20"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t>Dokumenta veids</w:t>
            </w:r>
          </w:p>
        </w:tc>
        <w:tc>
          <w:tcPr>
            <w:tcW w:w="6379" w:type="dxa"/>
          </w:tcPr>
          <w:p w14:paraId="4CC0239D" w14:textId="710EA1F9" w:rsidR="004D7D20" w:rsidRPr="007B1360" w:rsidRDefault="00952874" w:rsidP="00C22386">
            <w:pPr>
              <w:spacing w:after="120"/>
              <w:jc w:val="both"/>
              <w:rPr>
                <w:rFonts w:ascii="Times New Roman" w:hAnsi="Times New Roman" w:cs="Times New Roman"/>
                <w:sz w:val="24"/>
                <w:szCs w:val="24"/>
              </w:rPr>
            </w:pPr>
            <w:r w:rsidRPr="007B1360">
              <w:rPr>
                <w:rFonts w:ascii="Times New Roman" w:hAnsi="Times New Roman" w:cs="Times New Roman"/>
                <w:sz w:val="24"/>
                <w:szCs w:val="24"/>
              </w:rPr>
              <w:t>Latvijas Bankas noteikumi</w:t>
            </w:r>
          </w:p>
        </w:tc>
      </w:tr>
      <w:tr w:rsidR="00A61684" w:rsidRPr="007B1360" w14:paraId="1E36ACC8" w14:textId="77777777" w:rsidTr="009B620B">
        <w:tc>
          <w:tcPr>
            <w:tcW w:w="1980" w:type="dxa"/>
          </w:tcPr>
          <w:p w14:paraId="15B9D0AC" w14:textId="168434E5" w:rsidR="004D7D20" w:rsidRPr="007B1360" w:rsidRDefault="004D7D20"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t>Izdošanas pamatojums</w:t>
            </w:r>
          </w:p>
        </w:tc>
        <w:tc>
          <w:tcPr>
            <w:tcW w:w="6379" w:type="dxa"/>
          </w:tcPr>
          <w:p w14:paraId="14871B80" w14:textId="7D8F76FD" w:rsidR="007E1BB5" w:rsidRPr="007B1360" w:rsidRDefault="007D5747" w:rsidP="00C22386">
            <w:pPr>
              <w:spacing w:after="120"/>
              <w:jc w:val="both"/>
              <w:rPr>
                <w:rFonts w:ascii="Times New Roman" w:hAnsi="Times New Roman" w:cs="Times New Roman"/>
                <w:sz w:val="24"/>
                <w:szCs w:val="24"/>
              </w:rPr>
            </w:pPr>
            <w:r>
              <w:rPr>
                <w:rFonts w:ascii="Times New Roman" w:eastAsia="Times New Roman" w:hAnsi="Times New Roman" w:cs="Times New Roman"/>
                <w:sz w:val="24"/>
                <w:szCs w:val="24"/>
                <w:lang w:eastAsia="lv-LV"/>
              </w:rPr>
              <w:t xml:space="preserve">Valsts </w:t>
            </w:r>
            <w:proofErr w:type="spellStart"/>
            <w:r>
              <w:rPr>
                <w:rFonts w:ascii="Times New Roman" w:eastAsia="Times New Roman" w:hAnsi="Times New Roman" w:cs="Times New Roman"/>
                <w:sz w:val="24"/>
                <w:szCs w:val="24"/>
                <w:lang w:eastAsia="lv-LV"/>
              </w:rPr>
              <w:t>fondēto</w:t>
            </w:r>
            <w:proofErr w:type="spellEnd"/>
            <w:r>
              <w:rPr>
                <w:rFonts w:ascii="Times New Roman" w:eastAsia="Times New Roman" w:hAnsi="Times New Roman" w:cs="Times New Roman"/>
                <w:sz w:val="24"/>
                <w:szCs w:val="24"/>
                <w:lang w:eastAsia="lv-LV"/>
              </w:rPr>
              <w:t xml:space="preserve"> pensiju likuma 14. panta pirmā daļa</w:t>
            </w:r>
            <w:r w:rsidR="008305DC">
              <w:rPr>
                <w:rFonts w:ascii="Times New Roman" w:eastAsia="Times New Roman" w:hAnsi="Times New Roman" w:cs="Times New Roman"/>
                <w:sz w:val="24"/>
                <w:szCs w:val="24"/>
                <w:lang w:eastAsia="lv-LV"/>
              </w:rPr>
              <w:t xml:space="preserve"> un Privāto pensiju fondu likuma 36.</w:t>
            </w:r>
            <w:r w:rsidR="009271B0">
              <w:rPr>
                <w:rFonts w:ascii="Times New Roman" w:eastAsia="Times New Roman" w:hAnsi="Times New Roman" w:cs="Times New Roman"/>
                <w:sz w:val="24"/>
                <w:szCs w:val="24"/>
                <w:lang w:eastAsia="lv-LV"/>
              </w:rPr>
              <w:t> </w:t>
            </w:r>
            <w:r w:rsidR="008305DC">
              <w:rPr>
                <w:rFonts w:ascii="Times New Roman" w:eastAsia="Times New Roman" w:hAnsi="Times New Roman" w:cs="Times New Roman"/>
                <w:sz w:val="24"/>
                <w:szCs w:val="24"/>
                <w:lang w:eastAsia="lv-LV"/>
              </w:rPr>
              <w:t xml:space="preserve">panta </w:t>
            </w:r>
            <w:r w:rsidR="00FB3963">
              <w:rPr>
                <w:rFonts w:ascii="Times New Roman" w:eastAsia="Times New Roman" w:hAnsi="Times New Roman" w:cs="Times New Roman"/>
                <w:sz w:val="24"/>
                <w:szCs w:val="24"/>
                <w:lang w:eastAsia="lv-LV"/>
              </w:rPr>
              <w:t>1</w:t>
            </w:r>
            <w:r w:rsidR="009271B0">
              <w:rPr>
                <w:rFonts w:ascii="Times New Roman" w:eastAsia="Times New Roman" w:hAnsi="Times New Roman" w:cs="Times New Roman"/>
                <w:sz w:val="24"/>
                <w:szCs w:val="24"/>
                <w:lang w:eastAsia="lv-LV"/>
              </w:rPr>
              <w:t>.</w:t>
            </w:r>
            <w:r w:rsidR="00FB3963" w:rsidRPr="00FB3963">
              <w:rPr>
                <w:rFonts w:ascii="Times New Roman" w:eastAsia="Times New Roman" w:hAnsi="Times New Roman" w:cs="Times New Roman"/>
                <w:sz w:val="24"/>
                <w:szCs w:val="24"/>
                <w:vertAlign w:val="superscript"/>
                <w:lang w:eastAsia="lv-LV"/>
              </w:rPr>
              <w:t>1</w:t>
            </w:r>
            <w:r w:rsidR="009271B0">
              <w:rPr>
                <w:rFonts w:ascii="Times New Roman" w:eastAsia="Times New Roman" w:hAnsi="Times New Roman" w:cs="Times New Roman"/>
                <w:sz w:val="24"/>
                <w:szCs w:val="24"/>
                <w:lang w:eastAsia="lv-LV"/>
              </w:rPr>
              <w:t> </w:t>
            </w:r>
            <w:r w:rsidR="008305DC">
              <w:rPr>
                <w:rFonts w:ascii="Times New Roman" w:eastAsia="Times New Roman" w:hAnsi="Times New Roman" w:cs="Times New Roman"/>
                <w:sz w:val="24"/>
                <w:szCs w:val="24"/>
                <w:lang w:eastAsia="lv-LV"/>
              </w:rPr>
              <w:t>daļa</w:t>
            </w:r>
          </w:p>
        </w:tc>
      </w:tr>
      <w:tr w:rsidR="00A61684" w:rsidRPr="007B1360" w14:paraId="46DB522F" w14:textId="77777777" w:rsidTr="009B620B">
        <w:tc>
          <w:tcPr>
            <w:tcW w:w="1980" w:type="dxa"/>
          </w:tcPr>
          <w:p w14:paraId="2B8F0582" w14:textId="51CB8878" w:rsidR="008D0C81" w:rsidRPr="007B1360" w:rsidRDefault="009E6A95" w:rsidP="00ED3376">
            <w:pPr>
              <w:jc w:val="both"/>
              <w:rPr>
                <w:rFonts w:ascii="Times New Roman" w:hAnsi="Times New Roman" w:cs="Times New Roman"/>
                <w:b/>
                <w:bCs/>
                <w:sz w:val="24"/>
                <w:szCs w:val="24"/>
              </w:rPr>
            </w:pPr>
            <w:r w:rsidRPr="007B1360">
              <w:rPr>
                <w:rFonts w:ascii="Times New Roman" w:hAnsi="Times New Roman" w:cs="Times New Roman"/>
                <w:b/>
                <w:bCs/>
                <w:sz w:val="24"/>
                <w:szCs w:val="24"/>
              </w:rPr>
              <w:t>Mērķis un būtība</w:t>
            </w:r>
          </w:p>
        </w:tc>
        <w:tc>
          <w:tcPr>
            <w:tcW w:w="6379" w:type="dxa"/>
          </w:tcPr>
          <w:p w14:paraId="75C0AE81" w14:textId="750F1792" w:rsidR="0057360C" w:rsidRPr="00F00503" w:rsidRDefault="0057360C" w:rsidP="00C22386">
            <w:pPr>
              <w:spacing w:after="120"/>
              <w:jc w:val="both"/>
              <w:rPr>
                <w:rFonts w:ascii="Times New Roman" w:hAnsi="Times New Roman" w:cs="Times New Roman"/>
                <w:sz w:val="24"/>
                <w:szCs w:val="24"/>
              </w:rPr>
            </w:pPr>
            <w:r w:rsidRPr="00F00503">
              <w:rPr>
                <w:rFonts w:ascii="Times New Roman" w:hAnsi="Times New Roman" w:cs="Times New Roman"/>
                <w:sz w:val="24"/>
                <w:szCs w:val="24"/>
              </w:rPr>
              <w:t>Saskaņā ar Latvijas Bankas likuma pārejas noteikumu 3.</w:t>
            </w:r>
            <w:r w:rsidR="005717A7" w:rsidRPr="00F00503">
              <w:rPr>
                <w:rFonts w:ascii="Times New Roman" w:hAnsi="Times New Roman" w:cs="Times New Roman"/>
                <w:sz w:val="24"/>
                <w:szCs w:val="24"/>
              </w:rPr>
              <w:t> </w:t>
            </w:r>
            <w:r w:rsidRPr="00F00503">
              <w:rPr>
                <w:rFonts w:ascii="Times New Roman" w:hAnsi="Times New Roman" w:cs="Times New Roman"/>
                <w:sz w:val="24"/>
                <w:szCs w:val="24"/>
              </w:rPr>
              <w:t>punktu 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w:t>
            </w:r>
            <w:r w:rsidR="005717A7" w:rsidRPr="00F00503">
              <w:rPr>
                <w:rFonts w:ascii="Times New Roman" w:hAnsi="Times New Roman" w:cs="Times New Roman"/>
                <w:sz w:val="24"/>
                <w:szCs w:val="24"/>
              </w:rPr>
              <w:t> </w:t>
            </w:r>
            <w:r w:rsidRPr="00F00503">
              <w:rPr>
                <w:rFonts w:ascii="Times New Roman" w:hAnsi="Times New Roman" w:cs="Times New Roman"/>
                <w:sz w:val="24"/>
                <w:szCs w:val="24"/>
              </w:rPr>
              <w:t>gada 31.</w:t>
            </w:r>
            <w:r w:rsidR="005717A7" w:rsidRPr="00F00503">
              <w:rPr>
                <w:rFonts w:ascii="Times New Roman" w:hAnsi="Times New Roman" w:cs="Times New Roman"/>
                <w:sz w:val="24"/>
                <w:szCs w:val="24"/>
              </w:rPr>
              <w:t> </w:t>
            </w:r>
            <w:r w:rsidRPr="00F00503">
              <w:rPr>
                <w:rFonts w:ascii="Times New Roman" w:hAnsi="Times New Roman" w:cs="Times New Roman"/>
                <w:sz w:val="24"/>
                <w:szCs w:val="24"/>
              </w:rPr>
              <w:t>decembrim.</w:t>
            </w:r>
          </w:p>
          <w:p w14:paraId="7BF3831F" w14:textId="41713B51" w:rsidR="0057360C" w:rsidRDefault="0057360C" w:rsidP="00C22386">
            <w:pPr>
              <w:spacing w:after="120"/>
              <w:jc w:val="both"/>
              <w:rPr>
                <w:rFonts w:ascii="Times New Roman" w:hAnsi="Times New Roman" w:cs="Times New Roman"/>
                <w:sz w:val="24"/>
                <w:szCs w:val="24"/>
              </w:rPr>
            </w:pPr>
            <w:r w:rsidRPr="00F00503">
              <w:rPr>
                <w:rFonts w:ascii="Times New Roman" w:hAnsi="Times New Roman" w:cs="Times New Roman"/>
                <w:sz w:val="24"/>
                <w:szCs w:val="24"/>
              </w:rPr>
              <w:t>Ņemot vērā minēto, Latvijas Banka ir izstrādājusi noteikumu projektu "</w:t>
            </w:r>
            <w:r w:rsidR="007D5747">
              <w:rPr>
                <w:rFonts w:ascii="Times New Roman" w:hAnsi="Times New Roman" w:cs="Times New Roman"/>
                <w:sz w:val="24"/>
                <w:szCs w:val="24"/>
              </w:rPr>
              <w:t xml:space="preserve">Valsts </w:t>
            </w:r>
            <w:proofErr w:type="spellStart"/>
            <w:r w:rsidR="007D5747">
              <w:rPr>
                <w:rFonts w:ascii="Times New Roman" w:hAnsi="Times New Roman" w:cs="Times New Roman"/>
                <w:sz w:val="24"/>
                <w:szCs w:val="24"/>
              </w:rPr>
              <w:t>fondēto</w:t>
            </w:r>
            <w:proofErr w:type="spellEnd"/>
            <w:r w:rsidR="007D5747">
              <w:rPr>
                <w:rFonts w:ascii="Times New Roman" w:hAnsi="Times New Roman" w:cs="Times New Roman"/>
                <w:sz w:val="24"/>
                <w:szCs w:val="24"/>
              </w:rPr>
              <w:t xml:space="preserve"> pensiju shēmas ieguldījumu plānu un privāto pensiju fondu pensiju plānu</w:t>
            </w:r>
            <w:r w:rsidR="008305DC" w:rsidRPr="00F00503">
              <w:rPr>
                <w:rFonts w:ascii="Times New Roman" w:hAnsi="Times New Roman" w:cs="Times New Roman"/>
                <w:sz w:val="24"/>
                <w:szCs w:val="24"/>
              </w:rPr>
              <w:t xml:space="preserve"> gada pārskata noteikumi</w:t>
            </w:r>
            <w:r w:rsidRPr="00F00503">
              <w:rPr>
                <w:rFonts w:ascii="Times New Roman" w:hAnsi="Times New Roman" w:cs="Times New Roman"/>
                <w:sz w:val="24"/>
                <w:szCs w:val="24"/>
              </w:rPr>
              <w:t>" (turpmāk</w:t>
            </w:r>
            <w:r w:rsidR="00E007AB" w:rsidRPr="00F00503">
              <w:rPr>
                <w:rFonts w:ascii="Times New Roman" w:hAnsi="Times New Roman" w:cs="Times New Roman"/>
                <w:sz w:val="24"/>
                <w:szCs w:val="24"/>
              </w:rPr>
              <w:t> </w:t>
            </w:r>
            <w:r w:rsidRPr="00F00503">
              <w:rPr>
                <w:rFonts w:ascii="Times New Roman" w:hAnsi="Times New Roman" w:cs="Times New Roman"/>
                <w:sz w:val="24"/>
                <w:szCs w:val="24"/>
              </w:rPr>
              <w:t xml:space="preserve">– noteikumu projekts), kas aizstās </w:t>
            </w:r>
            <w:r w:rsidR="0099587C" w:rsidRPr="00F00503">
              <w:rPr>
                <w:rFonts w:ascii="Times New Roman" w:hAnsi="Times New Roman" w:cs="Times New Roman"/>
                <w:sz w:val="24"/>
                <w:szCs w:val="24"/>
              </w:rPr>
              <w:t xml:space="preserve">pašlaik spēkā esošos </w:t>
            </w:r>
            <w:r w:rsidRPr="00F00503">
              <w:rPr>
                <w:rFonts w:ascii="Times New Roman" w:hAnsi="Times New Roman" w:cs="Times New Roman"/>
                <w:sz w:val="24"/>
                <w:szCs w:val="24"/>
              </w:rPr>
              <w:t>Finanšu un kapitāla tirgus komisijas 2020.</w:t>
            </w:r>
            <w:r w:rsidR="00866AB0" w:rsidRPr="00F00503">
              <w:rPr>
                <w:rFonts w:ascii="Times New Roman" w:hAnsi="Times New Roman" w:cs="Times New Roman"/>
                <w:sz w:val="24"/>
                <w:szCs w:val="24"/>
              </w:rPr>
              <w:t> </w:t>
            </w:r>
            <w:r w:rsidRPr="00F00503">
              <w:rPr>
                <w:rFonts w:ascii="Times New Roman" w:hAnsi="Times New Roman" w:cs="Times New Roman"/>
                <w:sz w:val="24"/>
                <w:szCs w:val="24"/>
              </w:rPr>
              <w:t xml:space="preserve">gada </w:t>
            </w:r>
            <w:r w:rsidR="007D5747">
              <w:rPr>
                <w:rFonts w:ascii="Times New Roman" w:hAnsi="Times New Roman" w:cs="Times New Roman"/>
                <w:sz w:val="24"/>
                <w:szCs w:val="24"/>
              </w:rPr>
              <w:t>20</w:t>
            </w:r>
            <w:r w:rsidRPr="00F00503">
              <w:rPr>
                <w:rFonts w:ascii="Times New Roman" w:hAnsi="Times New Roman" w:cs="Times New Roman"/>
                <w:sz w:val="24"/>
                <w:szCs w:val="24"/>
              </w:rPr>
              <w:t>.</w:t>
            </w:r>
            <w:r w:rsidR="00866AB0" w:rsidRPr="00F00503">
              <w:rPr>
                <w:rFonts w:ascii="Times New Roman" w:hAnsi="Times New Roman" w:cs="Times New Roman"/>
                <w:sz w:val="24"/>
                <w:szCs w:val="24"/>
              </w:rPr>
              <w:t> </w:t>
            </w:r>
            <w:r w:rsidR="007D5747">
              <w:rPr>
                <w:rFonts w:ascii="Times New Roman" w:hAnsi="Times New Roman" w:cs="Times New Roman"/>
                <w:sz w:val="24"/>
                <w:szCs w:val="24"/>
              </w:rPr>
              <w:t>oktobra</w:t>
            </w:r>
            <w:r w:rsidRPr="00F00503">
              <w:rPr>
                <w:rFonts w:ascii="Times New Roman" w:hAnsi="Times New Roman" w:cs="Times New Roman"/>
                <w:sz w:val="24"/>
                <w:szCs w:val="24"/>
              </w:rPr>
              <w:t xml:space="preserve"> normatīvos noteikumus Nr.</w:t>
            </w:r>
            <w:r w:rsidR="00866AB0" w:rsidRPr="00F00503">
              <w:rPr>
                <w:rFonts w:ascii="Times New Roman" w:hAnsi="Times New Roman" w:cs="Times New Roman"/>
                <w:sz w:val="24"/>
                <w:szCs w:val="24"/>
              </w:rPr>
              <w:t> </w:t>
            </w:r>
            <w:r w:rsidR="00C710EB" w:rsidRPr="00F00503">
              <w:rPr>
                <w:rFonts w:ascii="Times New Roman" w:hAnsi="Times New Roman" w:cs="Times New Roman"/>
                <w:sz w:val="24"/>
                <w:szCs w:val="24"/>
              </w:rPr>
              <w:t>1</w:t>
            </w:r>
            <w:r w:rsidR="007D5747">
              <w:rPr>
                <w:rFonts w:ascii="Times New Roman" w:hAnsi="Times New Roman" w:cs="Times New Roman"/>
                <w:sz w:val="24"/>
                <w:szCs w:val="24"/>
              </w:rPr>
              <w:t>89</w:t>
            </w:r>
            <w:r w:rsidRPr="00F00503">
              <w:rPr>
                <w:rFonts w:ascii="Times New Roman" w:hAnsi="Times New Roman" w:cs="Times New Roman"/>
                <w:sz w:val="24"/>
                <w:szCs w:val="24"/>
              </w:rPr>
              <w:t xml:space="preserve"> </w:t>
            </w:r>
            <w:bookmarkStart w:id="0" w:name="_Hlk155885121"/>
            <w:r w:rsidR="007D5747" w:rsidRPr="007D5747">
              <w:rPr>
                <w:rFonts w:ascii="Times New Roman" w:eastAsia="Times New Roman" w:hAnsi="Times New Roman" w:cs="Times New Roman"/>
                <w:sz w:val="24"/>
                <w:szCs w:val="24"/>
                <w:lang w:eastAsia="lv-LV"/>
              </w:rPr>
              <w:t xml:space="preserve">"Valsts </w:t>
            </w:r>
            <w:proofErr w:type="spellStart"/>
            <w:r w:rsidR="007D5747" w:rsidRPr="007D5747">
              <w:rPr>
                <w:rFonts w:ascii="Times New Roman" w:eastAsia="Times New Roman" w:hAnsi="Times New Roman" w:cs="Times New Roman"/>
                <w:sz w:val="24"/>
                <w:szCs w:val="24"/>
                <w:lang w:eastAsia="lv-LV"/>
              </w:rPr>
              <w:t>fondēto</w:t>
            </w:r>
            <w:proofErr w:type="spellEnd"/>
            <w:r w:rsidR="007D5747" w:rsidRPr="007D5747">
              <w:rPr>
                <w:rFonts w:ascii="Times New Roman" w:eastAsia="Times New Roman" w:hAnsi="Times New Roman" w:cs="Times New Roman"/>
                <w:sz w:val="24"/>
                <w:szCs w:val="24"/>
                <w:lang w:eastAsia="lv-LV"/>
              </w:rPr>
              <w:t xml:space="preserve"> pensiju shēmas ieguldījumu plānu gada pārskata sagatavošanas normatīvie noteikumi"</w:t>
            </w:r>
            <w:bookmarkEnd w:id="0"/>
            <w:r w:rsidR="007D5747" w:rsidRPr="007D5747">
              <w:rPr>
                <w:rFonts w:ascii="Times New Roman" w:eastAsia="Times New Roman" w:hAnsi="Times New Roman" w:cs="Times New Roman"/>
                <w:sz w:val="24"/>
                <w:szCs w:val="24"/>
                <w:lang w:eastAsia="lv-LV"/>
              </w:rPr>
              <w:t xml:space="preserve"> </w:t>
            </w:r>
            <w:r w:rsidRPr="00F00503">
              <w:rPr>
                <w:rFonts w:ascii="Times New Roman" w:hAnsi="Times New Roman" w:cs="Times New Roman"/>
                <w:sz w:val="24"/>
                <w:szCs w:val="24"/>
              </w:rPr>
              <w:t>(turpmāk</w:t>
            </w:r>
            <w:r w:rsidR="00E007AB" w:rsidRPr="00F00503">
              <w:rPr>
                <w:rFonts w:ascii="Times New Roman" w:hAnsi="Times New Roman" w:cs="Times New Roman"/>
                <w:sz w:val="24"/>
                <w:szCs w:val="24"/>
              </w:rPr>
              <w:t> </w:t>
            </w:r>
            <w:r w:rsidRPr="00F00503">
              <w:rPr>
                <w:rFonts w:ascii="Times New Roman" w:hAnsi="Times New Roman" w:cs="Times New Roman"/>
                <w:sz w:val="24"/>
                <w:szCs w:val="24"/>
              </w:rPr>
              <w:t xml:space="preserve">– </w:t>
            </w:r>
            <w:r w:rsidR="005717A7" w:rsidRPr="00F00503">
              <w:rPr>
                <w:rFonts w:ascii="Times New Roman" w:hAnsi="Times New Roman" w:cs="Times New Roman"/>
                <w:sz w:val="24"/>
                <w:szCs w:val="24"/>
              </w:rPr>
              <w:t>N</w:t>
            </w:r>
            <w:r w:rsidRPr="00F00503">
              <w:rPr>
                <w:rFonts w:ascii="Times New Roman" w:hAnsi="Times New Roman" w:cs="Times New Roman"/>
                <w:sz w:val="24"/>
                <w:szCs w:val="24"/>
              </w:rPr>
              <w:t>oteikumi Nr.</w:t>
            </w:r>
            <w:r w:rsidR="007E1BB5" w:rsidRPr="00F00503">
              <w:rPr>
                <w:rFonts w:ascii="Times New Roman" w:hAnsi="Times New Roman" w:cs="Times New Roman"/>
                <w:sz w:val="24"/>
                <w:szCs w:val="24"/>
              </w:rPr>
              <w:t> </w:t>
            </w:r>
            <w:r w:rsidR="00C710EB" w:rsidRPr="00F00503">
              <w:rPr>
                <w:rFonts w:ascii="Times New Roman" w:hAnsi="Times New Roman" w:cs="Times New Roman"/>
                <w:sz w:val="24"/>
                <w:szCs w:val="24"/>
              </w:rPr>
              <w:t>1</w:t>
            </w:r>
            <w:r w:rsidR="007D5747">
              <w:rPr>
                <w:rFonts w:ascii="Times New Roman" w:hAnsi="Times New Roman" w:cs="Times New Roman"/>
                <w:sz w:val="24"/>
                <w:szCs w:val="24"/>
              </w:rPr>
              <w:t>89</w:t>
            </w:r>
            <w:r w:rsidRPr="00F00503">
              <w:rPr>
                <w:rFonts w:ascii="Times New Roman" w:hAnsi="Times New Roman" w:cs="Times New Roman"/>
                <w:sz w:val="24"/>
                <w:szCs w:val="24"/>
              </w:rPr>
              <w:t>)</w:t>
            </w:r>
            <w:r w:rsidR="008305DC" w:rsidRPr="00F00503">
              <w:rPr>
                <w:rFonts w:ascii="Times New Roman" w:hAnsi="Times New Roman" w:cs="Times New Roman"/>
                <w:sz w:val="24"/>
                <w:szCs w:val="24"/>
              </w:rPr>
              <w:t xml:space="preserve"> un attiecībā uz prasīb</w:t>
            </w:r>
            <w:r w:rsidR="00C05D6D">
              <w:rPr>
                <w:rFonts w:ascii="Times New Roman" w:hAnsi="Times New Roman" w:cs="Times New Roman"/>
                <w:sz w:val="24"/>
                <w:szCs w:val="24"/>
              </w:rPr>
              <w:t>u</w:t>
            </w:r>
            <w:r w:rsidR="008305DC" w:rsidRPr="00F00503">
              <w:rPr>
                <w:rFonts w:ascii="Times New Roman" w:hAnsi="Times New Roman" w:cs="Times New Roman"/>
                <w:sz w:val="24"/>
                <w:szCs w:val="24"/>
              </w:rPr>
              <w:t xml:space="preserve"> </w:t>
            </w:r>
            <w:r w:rsidR="007D5747">
              <w:rPr>
                <w:rFonts w:ascii="Times New Roman" w:hAnsi="Times New Roman" w:cs="Times New Roman"/>
                <w:sz w:val="24"/>
                <w:szCs w:val="24"/>
              </w:rPr>
              <w:t>privātajam pensiju</w:t>
            </w:r>
            <w:r w:rsidR="008305DC" w:rsidRPr="00F00503">
              <w:rPr>
                <w:rFonts w:ascii="Times New Roman" w:hAnsi="Times New Roman" w:cs="Times New Roman"/>
                <w:sz w:val="24"/>
                <w:szCs w:val="24"/>
              </w:rPr>
              <w:t xml:space="preserve"> fondam sagatavot </w:t>
            </w:r>
            <w:r w:rsidR="007D5747">
              <w:rPr>
                <w:rFonts w:ascii="Times New Roman" w:hAnsi="Times New Roman" w:cs="Times New Roman"/>
                <w:sz w:val="24"/>
                <w:szCs w:val="24"/>
              </w:rPr>
              <w:t xml:space="preserve">pensiju plāna </w:t>
            </w:r>
            <w:r w:rsidR="008305DC" w:rsidRPr="00F00503">
              <w:rPr>
                <w:rFonts w:ascii="Times New Roman" w:hAnsi="Times New Roman" w:cs="Times New Roman"/>
                <w:sz w:val="24"/>
                <w:szCs w:val="24"/>
              </w:rPr>
              <w:t>gada pārskatu</w:t>
            </w:r>
            <w:r w:rsidR="009271B0">
              <w:rPr>
                <w:rFonts w:ascii="Times New Roman" w:hAnsi="Times New Roman" w:cs="Times New Roman"/>
                <w:sz w:val="24"/>
                <w:szCs w:val="24"/>
              </w:rPr>
              <w:t> </w:t>
            </w:r>
            <w:r w:rsidR="008305DC" w:rsidRPr="00F00503">
              <w:rPr>
                <w:rFonts w:ascii="Times New Roman" w:hAnsi="Times New Roman" w:cs="Times New Roman"/>
                <w:sz w:val="24"/>
                <w:szCs w:val="24"/>
              </w:rPr>
              <w:t>– arī Finanšu un kapitāla tirgus komisijas 2020.</w:t>
            </w:r>
            <w:r w:rsidR="009271B0">
              <w:rPr>
                <w:rFonts w:ascii="Times New Roman" w:hAnsi="Times New Roman" w:cs="Times New Roman"/>
                <w:sz w:val="24"/>
                <w:szCs w:val="24"/>
              </w:rPr>
              <w:t> </w:t>
            </w:r>
            <w:r w:rsidR="008305DC" w:rsidRPr="00F00503">
              <w:rPr>
                <w:rFonts w:ascii="Times New Roman" w:hAnsi="Times New Roman" w:cs="Times New Roman"/>
                <w:sz w:val="24"/>
                <w:szCs w:val="24"/>
              </w:rPr>
              <w:t>gada 31.</w:t>
            </w:r>
            <w:r w:rsidR="009271B0">
              <w:rPr>
                <w:rFonts w:ascii="Times New Roman" w:hAnsi="Times New Roman" w:cs="Times New Roman"/>
                <w:sz w:val="24"/>
                <w:szCs w:val="24"/>
              </w:rPr>
              <w:t> </w:t>
            </w:r>
            <w:r w:rsidR="008305DC" w:rsidRPr="00F00503">
              <w:rPr>
                <w:rFonts w:ascii="Times New Roman" w:hAnsi="Times New Roman" w:cs="Times New Roman"/>
                <w:sz w:val="24"/>
                <w:szCs w:val="24"/>
              </w:rPr>
              <w:t>marta normatīvos noteikumus Nr.</w:t>
            </w:r>
            <w:r w:rsidR="009271B0">
              <w:rPr>
                <w:rFonts w:ascii="Times New Roman" w:hAnsi="Times New Roman" w:cs="Times New Roman"/>
                <w:sz w:val="24"/>
                <w:szCs w:val="24"/>
              </w:rPr>
              <w:t> </w:t>
            </w:r>
            <w:r w:rsidR="008305DC" w:rsidRPr="00F00503">
              <w:rPr>
                <w:rFonts w:ascii="Times New Roman" w:hAnsi="Times New Roman" w:cs="Times New Roman"/>
                <w:sz w:val="24"/>
                <w:szCs w:val="24"/>
              </w:rPr>
              <w:t xml:space="preserve">35 </w:t>
            </w:r>
            <w:r w:rsidR="00F00503" w:rsidRPr="00F00503">
              <w:rPr>
                <w:rFonts w:ascii="Times New Roman" w:hAnsi="Times New Roman" w:cs="Times New Roman"/>
                <w:sz w:val="24"/>
                <w:szCs w:val="24"/>
              </w:rPr>
              <w:t>"Privāto pensiju fondu gada pārskata sagatavošanas normatīvie noteikumi" (turpmāk – Noteikumi Nr. 35)</w:t>
            </w:r>
            <w:r w:rsidRPr="00F00503">
              <w:rPr>
                <w:rFonts w:ascii="Times New Roman" w:hAnsi="Times New Roman" w:cs="Times New Roman"/>
                <w:sz w:val="24"/>
                <w:szCs w:val="24"/>
              </w:rPr>
              <w:t>.</w:t>
            </w:r>
          </w:p>
          <w:p w14:paraId="7DBC2EA3" w14:textId="5E8BFF06" w:rsidR="009D5D38" w:rsidRDefault="00AC6272" w:rsidP="00C22386">
            <w:pPr>
              <w:spacing w:after="120"/>
              <w:jc w:val="both"/>
              <w:rPr>
                <w:rFonts w:ascii="Times New Roman" w:eastAsia="Times New Roman" w:hAnsi="Times New Roman" w:cs="Times New Roman"/>
                <w:sz w:val="24"/>
                <w:lang w:eastAsia="lv-LV"/>
              </w:rPr>
            </w:pPr>
            <w:r w:rsidRPr="00171BCB">
              <w:rPr>
                <w:rFonts w:ascii="Times New Roman" w:hAnsi="Times New Roman" w:cs="Times New Roman"/>
                <w:sz w:val="24"/>
                <w:szCs w:val="24"/>
              </w:rPr>
              <w:t xml:space="preserve">Noteikumu projekts nodrošina vienotu kārtību, kādā attiecīgie tirgus dalībnieki sagatavo </w:t>
            </w:r>
            <w:r w:rsidR="00FB3963">
              <w:rPr>
                <w:rFonts w:ascii="Times New Roman" w:hAnsi="Times New Roman" w:cs="Times New Roman"/>
                <w:sz w:val="24"/>
                <w:szCs w:val="24"/>
              </w:rPr>
              <w:t xml:space="preserve">valsts </w:t>
            </w:r>
            <w:proofErr w:type="spellStart"/>
            <w:r w:rsidR="00FB3963">
              <w:rPr>
                <w:rFonts w:ascii="Times New Roman" w:hAnsi="Times New Roman" w:cs="Times New Roman"/>
                <w:sz w:val="24"/>
                <w:szCs w:val="24"/>
              </w:rPr>
              <w:t>fondēto</w:t>
            </w:r>
            <w:proofErr w:type="spellEnd"/>
            <w:r w:rsidR="00FB3963">
              <w:rPr>
                <w:rFonts w:ascii="Times New Roman" w:hAnsi="Times New Roman" w:cs="Times New Roman"/>
                <w:sz w:val="24"/>
                <w:szCs w:val="24"/>
              </w:rPr>
              <w:t xml:space="preserve"> pensiju shēmas ieguldījumu plāna (turpmāk – ieguldījumu plāns) </w:t>
            </w:r>
            <w:r w:rsidRPr="00171BCB">
              <w:rPr>
                <w:rFonts w:ascii="Times New Roman" w:hAnsi="Times New Roman" w:cs="Times New Roman"/>
                <w:sz w:val="24"/>
                <w:szCs w:val="24"/>
              </w:rPr>
              <w:t>gada pārskatu</w:t>
            </w:r>
            <w:r w:rsidR="00FB3963">
              <w:rPr>
                <w:rFonts w:ascii="Times New Roman" w:hAnsi="Times New Roman" w:cs="Times New Roman"/>
                <w:sz w:val="24"/>
                <w:szCs w:val="24"/>
              </w:rPr>
              <w:t xml:space="preserve"> un pensiju plāna gada pārskatu</w:t>
            </w:r>
            <w:r w:rsidR="00171BCB">
              <w:rPr>
                <w:rFonts w:ascii="Times New Roman" w:hAnsi="Times New Roman" w:cs="Times New Roman"/>
                <w:sz w:val="24"/>
                <w:szCs w:val="24"/>
              </w:rPr>
              <w:t xml:space="preserve"> </w:t>
            </w:r>
            <w:r w:rsidR="00FB3963">
              <w:rPr>
                <w:rFonts w:ascii="Times New Roman" w:hAnsi="Times New Roman" w:cs="Times New Roman"/>
                <w:sz w:val="24"/>
                <w:szCs w:val="24"/>
              </w:rPr>
              <w:t>atbilstoši</w:t>
            </w:r>
            <w:r w:rsidR="009D5D38" w:rsidRPr="009D5D38">
              <w:rPr>
                <w:rFonts w:ascii="Times New Roman" w:eastAsia="Times New Roman" w:hAnsi="Times New Roman" w:cs="Times New Roman"/>
                <w:sz w:val="24"/>
                <w:lang w:eastAsia="lv-LV"/>
              </w:rPr>
              <w:t xml:space="preserve"> </w:t>
            </w:r>
            <w:r w:rsidR="00C05D6D">
              <w:rPr>
                <w:rFonts w:ascii="Times New Roman" w:eastAsia="Times New Roman" w:hAnsi="Times New Roman" w:cs="Times New Roman"/>
                <w:sz w:val="24"/>
                <w:lang w:eastAsia="lv-LV"/>
              </w:rPr>
              <w:t xml:space="preserve">starptautiskajiem </w:t>
            </w:r>
            <w:r w:rsidR="00EE4CD7">
              <w:rPr>
                <w:rFonts w:ascii="Times New Roman" w:eastAsia="Times New Roman" w:hAnsi="Times New Roman" w:cs="Times New Roman"/>
                <w:sz w:val="24"/>
                <w:lang w:eastAsia="lv-LV"/>
              </w:rPr>
              <w:t>grāmatvedības standarti</w:t>
            </w:r>
            <w:r w:rsidR="00171BCB">
              <w:rPr>
                <w:rFonts w:ascii="Times New Roman" w:eastAsia="Times New Roman" w:hAnsi="Times New Roman" w:cs="Times New Roman"/>
                <w:sz w:val="24"/>
                <w:lang w:eastAsia="lv-LV"/>
              </w:rPr>
              <w:t xml:space="preserve">em, kas </w:t>
            </w:r>
            <w:r w:rsidR="00FB3963">
              <w:rPr>
                <w:rFonts w:ascii="Times New Roman" w:eastAsia="Times New Roman" w:hAnsi="Times New Roman" w:cs="Times New Roman"/>
                <w:sz w:val="24"/>
                <w:lang w:eastAsia="lv-LV"/>
              </w:rPr>
              <w:t>pieņemti</w:t>
            </w:r>
            <w:r w:rsidR="00171BCB">
              <w:rPr>
                <w:rFonts w:ascii="Times New Roman" w:eastAsia="Times New Roman" w:hAnsi="Times New Roman" w:cs="Times New Roman"/>
                <w:sz w:val="24"/>
                <w:lang w:eastAsia="lv-LV"/>
              </w:rPr>
              <w:t xml:space="preserve"> </w:t>
            </w:r>
            <w:r w:rsidR="00171BCB" w:rsidRPr="00171BCB">
              <w:rPr>
                <w:rFonts w:ascii="Times New Roman" w:eastAsia="Times New Roman" w:hAnsi="Times New Roman" w:cs="Times New Roman"/>
                <w:sz w:val="24"/>
                <w:lang w:eastAsia="lv-LV"/>
              </w:rPr>
              <w:t>ar Komisijas 2023. gada 13. </w:t>
            </w:r>
            <w:r w:rsidR="00FB3963">
              <w:rPr>
                <w:rFonts w:ascii="Times New Roman" w:eastAsia="Times New Roman" w:hAnsi="Times New Roman" w:cs="Times New Roman"/>
                <w:sz w:val="24"/>
                <w:lang w:eastAsia="lv-LV"/>
              </w:rPr>
              <w:t>septembra</w:t>
            </w:r>
            <w:r w:rsidR="00171BCB" w:rsidRPr="00171BCB">
              <w:rPr>
                <w:rFonts w:ascii="Times New Roman" w:eastAsia="Times New Roman" w:hAnsi="Times New Roman" w:cs="Times New Roman"/>
                <w:sz w:val="24"/>
                <w:lang w:eastAsia="lv-LV"/>
              </w:rPr>
              <w:t xml:space="preserve"> regulu (E</w:t>
            </w:r>
            <w:r w:rsidR="00FB3963">
              <w:rPr>
                <w:rFonts w:ascii="Times New Roman" w:eastAsia="Times New Roman" w:hAnsi="Times New Roman" w:cs="Times New Roman"/>
                <w:sz w:val="24"/>
                <w:lang w:eastAsia="lv-LV"/>
              </w:rPr>
              <w:t>S</w:t>
            </w:r>
            <w:r w:rsidR="00171BCB" w:rsidRPr="00171BCB">
              <w:rPr>
                <w:rFonts w:ascii="Times New Roman" w:eastAsia="Times New Roman" w:hAnsi="Times New Roman" w:cs="Times New Roman"/>
                <w:sz w:val="24"/>
                <w:lang w:eastAsia="lv-LV"/>
              </w:rPr>
              <w:t xml:space="preserve">) Nr. 2023/1803, ar ko pieņem vairākus starptautiskos grāmatvedības standartus saskaņā ar Eiropas </w:t>
            </w:r>
            <w:r w:rsidR="00FB3963">
              <w:rPr>
                <w:rFonts w:ascii="Times New Roman" w:eastAsia="Times New Roman" w:hAnsi="Times New Roman" w:cs="Times New Roman"/>
                <w:sz w:val="24"/>
                <w:lang w:eastAsia="lv-LV"/>
              </w:rPr>
              <w:t>P</w:t>
            </w:r>
            <w:r w:rsidR="00171BCB" w:rsidRPr="00171BCB">
              <w:rPr>
                <w:rFonts w:ascii="Times New Roman" w:eastAsia="Times New Roman" w:hAnsi="Times New Roman" w:cs="Times New Roman"/>
                <w:sz w:val="24"/>
                <w:lang w:eastAsia="lv-LV"/>
              </w:rPr>
              <w:t>arlamenta un Padomes regulu (EK) Nr. 1606/2002 (turpmāk – Starptautiskie grāmatvedības standarti)</w:t>
            </w:r>
            <w:r w:rsidR="009D5D38">
              <w:rPr>
                <w:rFonts w:ascii="Times New Roman" w:eastAsia="Times New Roman" w:hAnsi="Times New Roman" w:cs="Times New Roman"/>
                <w:sz w:val="24"/>
                <w:lang w:eastAsia="lv-LV"/>
              </w:rPr>
              <w:t>.</w:t>
            </w:r>
          </w:p>
          <w:p w14:paraId="2EE877E7" w14:textId="2153165C" w:rsidR="00316588" w:rsidRDefault="00316588" w:rsidP="00AC6272">
            <w:pPr>
              <w:spacing w:after="120"/>
              <w:jc w:val="both"/>
              <w:rPr>
                <w:rFonts w:ascii="Times New Roman" w:eastAsia="Times New Roman" w:hAnsi="Times New Roman" w:cs="Times New Roman"/>
                <w:sz w:val="24"/>
                <w:szCs w:val="24"/>
                <w:highlight w:val="yellow"/>
                <w:lang w:eastAsia="lv-LV"/>
              </w:rPr>
            </w:pPr>
            <w:r>
              <w:rPr>
                <w:rFonts w:ascii="Times New Roman" w:eastAsia="Times New Roman" w:hAnsi="Times New Roman" w:cs="Times New Roman"/>
                <w:sz w:val="24"/>
                <w:szCs w:val="24"/>
                <w:lang w:eastAsia="lv-LV"/>
              </w:rPr>
              <w:t>Likumprojekts "Grozījumi Privāto pensiju fondu likumā" (</w:t>
            </w:r>
            <w:r w:rsidR="00C1689F">
              <w:rPr>
                <w:rFonts w:ascii="Times New Roman" w:eastAsia="Times New Roman" w:hAnsi="Times New Roman" w:cs="Times New Roman"/>
                <w:sz w:val="24"/>
                <w:szCs w:val="24"/>
                <w:lang w:eastAsia="lv-LV"/>
              </w:rPr>
              <w:t>63</w:t>
            </w:r>
            <w:r w:rsidR="00D46953">
              <w:rPr>
                <w:rFonts w:ascii="Times New Roman" w:eastAsia="Times New Roman" w:hAnsi="Times New Roman" w:cs="Times New Roman"/>
                <w:sz w:val="24"/>
                <w:szCs w:val="24"/>
                <w:lang w:eastAsia="lv-LV"/>
              </w:rPr>
              <w:t>4</w:t>
            </w:r>
            <w:r w:rsidR="00C1689F">
              <w:rPr>
                <w:rFonts w:ascii="Times New Roman" w:eastAsia="Times New Roman" w:hAnsi="Times New Roman" w:cs="Times New Roman"/>
                <w:sz w:val="24"/>
                <w:szCs w:val="24"/>
                <w:lang w:eastAsia="lv-LV"/>
              </w:rPr>
              <w:t>/Lp14</w:t>
            </w:r>
            <w:r>
              <w:rPr>
                <w:rFonts w:ascii="Times New Roman" w:eastAsia="Times New Roman" w:hAnsi="Times New Roman" w:cs="Times New Roman"/>
                <w:sz w:val="24"/>
                <w:szCs w:val="24"/>
                <w:lang w:eastAsia="lv-LV"/>
              </w:rPr>
              <w:t xml:space="preserve">) paredz Latvijas Bankai tiesības izdot gada pārskata noteikumus </w:t>
            </w:r>
            <w:r w:rsidR="00C05D6D">
              <w:rPr>
                <w:rFonts w:ascii="Times New Roman" w:eastAsia="Times New Roman" w:hAnsi="Times New Roman" w:cs="Times New Roman"/>
                <w:sz w:val="24"/>
                <w:szCs w:val="24"/>
                <w:lang w:eastAsia="lv-LV"/>
              </w:rPr>
              <w:t xml:space="preserve">atsevišķi </w:t>
            </w:r>
            <w:r>
              <w:rPr>
                <w:rFonts w:ascii="Times New Roman" w:eastAsia="Times New Roman" w:hAnsi="Times New Roman" w:cs="Times New Roman"/>
                <w:sz w:val="24"/>
                <w:szCs w:val="24"/>
                <w:lang w:eastAsia="lv-LV"/>
              </w:rPr>
              <w:t xml:space="preserve">privātajam pensiju fondam un atsevišķi pensiju plānam. Ņemot vērā, ka </w:t>
            </w:r>
            <w:r w:rsidR="00A30F49">
              <w:rPr>
                <w:rFonts w:ascii="Times New Roman" w:eastAsia="Times New Roman" w:hAnsi="Times New Roman" w:cs="Times New Roman"/>
                <w:sz w:val="24"/>
                <w:szCs w:val="24"/>
                <w:lang w:eastAsia="lv-LV"/>
              </w:rPr>
              <w:t xml:space="preserve">prasības </w:t>
            </w:r>
            <w:r>
              <w:rPr>
                <w:rFonts w:ascii="Times New Roman" w:eastAsia="Times New Roman" w:hAnsi="Times New Roman" w:cs="Times New Roman"/>
                <w:sz w:val="24"/>
                <w:szCs w:val="24"/>
                <w:lang w:eastAsia="lv-LV"/>
              </w:rPr>
              <w:t>privāt</w:t>
            </w:r>
            <w:r w:rsidR="00A30F49">
              <w:rPr>
                <w:rFonts w:ascii="Times New Roman" w:eastAsia="Times New Roman" w:hAnsi="Times New Roman" w:cs="Times New Roman"/>
                <w:sz w:val="24"/>
                <w:szCs w:val="24"/>
                <w:lang w:eastAsia="lv-LV"/>
              </w:rPr>
              <w:t>ajam</w:t>
            </w:r>
            <w:r>
              <w:rPr>
                <w:rFonts w:ascii="Times New Roman" w:eastAsia="Times New Roman" w:hAnsi="Times New Roman" w:cs="Times New Roman"/>
                <w:sz w:val="24"/>
                <w:szCs w:val="24"/>
                <w:lang w:eastAsia="lv-LV"/>
              </w:rPr>
              <w:t xml:space="preserve"> pensiju fonda</w:t>
            </w:r>
            <w:r w:rsidR="00A30F49">
              <w:rPr>
                <w:rFonts w:ascii="Times New Roman" w:eastAsia="Times New Roman" w:hAnsi="Times New Roman" w:cs="Times New Roman"/>
                <w:sz w:val="24"/>
                <w:szCs w:val="24"/>
                <w:lang w:eastAsia="lv-LV"/>
              </w:rPr>
              <w:t>m</w:t>
            </w:r>
            <w:r w:rsidR="003C66B5">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sagatavo</w:t>
            </w:r>
            <w:r w:rsidR="00A30F49">
              <w:rPr>
                <w:rFonts w:ascii="Times New Roman" w:eastAsia="Times New Roman" w:hAnsi="Times New Roman" w:cs="Times New Roman"/>
                <w:sz w:val="24"/>
                <w:szCs w:val="24"/>
                <w:lang w:eastAsia="lv-LV"/>
              </w:rPr>
              <w:t>jot</w:t>
            </w:r>
            <w:r>
              <w:rPr>
                <w:rFonts w:ascii="Times New Roman" w:eastAsia="Times New Roman" w:hAnsi="Times New Roman" w:cs="Times New Roman"/>
                <w:sz w:val="24"/>
                <w:szCs w:val="24"/>
                <w:lang w:eastAsia="lv-LV"/>
              </w:rPr>
              <w:t xml:space="preserve"> pensiju plāna gada pārskat</w:t>
            </w:r>
            <w:r w:rsidR="00A30F49">
              <w:rPr>
                <w:rFonts w:ascii="Times New Roman" w:eastAsia="Times New Roman" w:hAnsi="Times New Roman" w:cs="Times New Roman"/>
                <w:sz w:val="24"/>
                <w:szCs w:val="24"/>
                <w:lang w:eastAsia="lv-LV"/>
              </w:rPr>
              <w:t>u</w:t>
            </w:r>
            <w:r w:rsidR="003C66B5">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pēc būtības neatšķiras no </w:t>
            </w:r>
            <w:r w:rsidR="00A30F49">
              <w:rPr>
                <w:rFonts w:ascii="Times New Roman" w:eastAsia="Times New Roman" w:hAnsi="Times New Roman" w:cs="Times New Roman"/>
                <w:sz w:val="24"/>
                <w:szCs w:val="24"/>
                <w:lang w:eastAsia="lv-LV"/>
              </w:rPr>
              <w:t xml:space="preserve">prasībām </w:t>
            </w:r>
            <w:r>
              <w:rPr>
                <w:rFonts w:ascii="Times New Roman" w:eastAsia="Times New Roman" w:hAnsi="Times New Roman" w:cs="Times New Roman"/>
                <w:sz w:val="24"/>
                <w:szCs w:val="24"/>
                <w:lang w:eastAsia="lv-LV"/>
              </w:rPr>
              <w:t xml:space="preserve">valsts </w:t>
            </w:r>
            <w:proofErr w:type="spellStart"/>
            <w:r>
              <w:rPr>
                <w:rFonts w:ascii="Times New Roman" w:eastAsia="Times New Roman" w:hAnsi="Times New Roman" w:cs="Times New Roman"/>
                <w:sz w:val="24"/>
                <w:szCs w:val="24"/>
                <w:lang w:eastAsia="lv-LV"/>
              </w:rPr>
              <w:t>fondēto</w:t>
            </w:r>
            <w:proofErr w:type="spellEnd"/>
            <w:r>
              <w:rPr>
                <w:rFonts w:ascii="Times New Roman" w:eastAsia="Times New Roman" w:hAnsi="Times New Roman" w:cs="Times New Roman"/>
                <w:sz w:val="24"/>
                <w:szCs w:val="24"/>
                <w:lang w:eastAsia="lv-LV"/>
              </w:rPr>
              <w:t xml:space="preserve"> pensiju shēmas līdzekļu pārvaldītāja</w:t>
            </w:r>
            <w:r w:rsidR="00A30F49">
              <w:rPr>
                <w:rFonts w:ascii="Times New Roman" w:eastAsia="Times New Roman" w:hAnsi="Times New Roman" w:cs="Times New Roman"/>
                <w:sz w:val="24"/>
                <w:szCs w:val="24"/>
                <w:lang w:eastAsia="lv-LV"/>
              </w:rPr>
              <w:t>m</w:t>
            </w:r>
            <w:r w:rsidR="003C66B5">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sagatavo</w:t>
            </w:r>
            <w:r w:rsidR="00A30F49">
              <w:rPr>
                <w:rFonts w:ascii="Times New Roman" w:eastAsia="Times New Roman" w:hAnsi="Times New Roman" w:cs="Times New Roman"/>
                <w:sz w:val="24"/>
                <w:szCs w:val="24"/>
                <w:lang w:eastAsia="lv-LV"/>
              </w:rPr>
              <w:t>jot</w:t>
            </w:r>
            <w:r>
              <w:rPr>
                <w:rFonts w:ascii="Times New Roman" w:eastAsia="Times New Roman" w:hAnsi="Times New Roman" w:cs="Times New Roman"/>
                <w:sz w:val="24"/>
                <w:szCs w:val="24"/>
                <w:lang w:eastAsia="lv-LV"/>
              </w:rPr>
              <w:t xml:space="preserve"> ieguldījumu plāna gada pārskat</w:t>
            </w:r>
            <w:r w:rsidR="00A30F49">
              <w:rPr>
                <w:rFonts w:ascii="Times New Roman" w:eastAsia="Times New Roman" w:hAnsi="Times New Roman" w:cs="Times New Roman"/>
                <w:sz w:val="24"/>
                <w:szCs w:val="24"/>
                <w:lang w:eastAsia="lv-LV"/>
              </w:rPr>
              <w:t>u, noteikumu projekts izstrādāts</w:t>
            </w:r>
            <w:r w:rsidR="009668C0">
              <w:rPr>
                <w:rFonts w:ascii="Times New Roman" w:eastAsia="Times New Roman" w:hAnsi="Times New Roman" w:cs="Times New Roman"/>
                <w:sz w:val="24"/>
                <w:szCs w:val="24"/>
                <w:lang w:eastAsia="lv-LV"/>
              </w:rPr>
              <w:t>,</w:t>
            </w:r>
            <w:r w:rsidR="00A30F49">
              <w:rPr>
                <w:rFonts w:ascii="Times New Roman" w:eastAsia="Times New Roman" w:hAnsi="Times New Roman" w:cs="Times New Roman"/>
                <w:sz w:val="24"/>
                <w:szCs w:val="24"/>
                <w:lang w:eastAsia="lv-LV"/>
              </w:rPr>
              <w:t xml:space="preserve"> apvienojot Noteikumu Nr. 189 </w:t>
            </w:r>
            <w:r w:rsidR="00A30F49">
              <w:rPr>
                <w:rFonts w:ascii="Times New Roman" w:eastAsia="Times New Roman" w:hAnsi="Times New Roman" w:cs="Times New Roman"/>
                <w:sz w:val="24"/>
                <w:szCs w:val="24"/>
                <w:lang w:eastAsia="lv-LV"/>
              </w:rPr>
              <w:lastRenderedPageBreak/>
              <w:t xml:space="preserve">prasības un Noteikumu Nr. 35 prasības </w:t>
            </w:r>
            <w:r w:rsidR="00A30F49" w:rsidRPr="00AC6272">
              <w:rPr>
                <w:rFonts w:ascii="Times New Roman" w:eastAsia="Times New Roman" w:hAnsi="Times New Roman" w:cs="Times New Roman"/>
                <w:sz w:val="24"/>
                <w:szCs w:val="24"/>
                <w:lang w:eastAsia="lv-LV"/>
              </w:rPr>
              <w:t xml:space="preserve">attiecībā uz pensiju </w:t>
            </w:r>
            <w:r w:rsidR="00A30F49">
              <w:rPr>
                <w:rFonts w:ascii="Times New Roman" w:eastAsia="Times New Roman" w:hAnsi="Times New Roman" w:cs="Times New Roman"/>
                <w:sz w:val="24"/>
                <w:szCs w:val="24"/>
                <w:lang w:eastAsia="lv-LV"/>
              </w:rPr>
              <w:t>plāna</w:t>
            </w:r>
            <w:r w:rsidR="00A30F49" w:rsidRPr="00AC6272">
              <w:rPr>
                <w:rFonts w:ascii="Times New Roman" w:eastAsia="Times New Roman" w:hAnsi="Times New Roman" w:cs="Times New Roman"/>
                <w:sz w:val="24"/>
                <w:szCs w:val="24"/>
                <w:lang w:eastAsia="lv-LV"/>
              </w:rPr>
              <w:t xml:space="preserve"> gada pārskat</w:t>
            </w:r>
            <w:r w:rsidR="00A30F49">
              <w:rPr>
                <w:rFonts w:ascii="Times New Roman" w:eastAsia="Times New Roman" w:hAnsi="Times New Roman" w:cs="Times New Roman"/>
                <w:sz w:val="24"/>
                <w:szCs w:val="24"/>
                <w:lang w:eastAsia="lv-LV"/>
              </w:rPr>
              <w:t>u.</w:t>
            </w:r>
          </w:p>
          <w:p w14:paraId="387B8EFF" w14:textId="4EA763CE" w:rsidR="00AC6272" w:rsidRDefault="00AC6272" w:rsidP="00AC6272">
            <w:pPr>
              <w:spacing w:after="120"/>
              <w:jc w:val="both"/>
              <w:rPr>
                <w:rFonts w:ascii="Times New Roman" w:eastAsia="Times New Roman" w:hAnsi="Times New Roman" w:cs="Times New Roman"/>
                <w:sz w:val="24"/>
                <w:szCs w:val="24"/>
                <w:lang w:eastAsia="lv-LV"/>
              </w:rPr>
            </w:pPr>
            <w:r w:rsidRPr="00A30F49">
              <w:rPr>
                <w:rFonts w:ascii="Times New Roman" w:eastAsia="Times New Roman" w:hAnsi="Times New Roman" w:cs="Times New Roman"/>
                <w:sz w:val="24"/>
                <w:szCs w:val="24"/>
                <w:lang w:eastAsia="lv-LV"/>
              </w:rPr>
              <w:t>Noteikumu projekts nesatur būtiskas izmaiņas</w:t>
            </w:r>
            <w:r w:rsidRPr="00AC6272">
              <w:rPr>
                <w:rFonts w:ascii="Times New Roman" w:eastAsia="Times New Roman" w:hAnsi="Times New Roman" w:cs="Times New Roman"/>
                <w:sz w:val="24"/>
                <w:szCs w:val="24"/>
                <w:lang w:eastAsia="lv-LV"/>
              </w:rPr>
              <w:t>, salīdzinot ar Noteikumiem Nr. 1</w:t>
            </w:r>
            <w:r w:rsidR="007D5747">
              <w:rPr>
                <w:rFonts w:ascii="Times New Roman" w:eastAsia="Times New Roman" w:hAnsi="Times New Roman" w:cs="Times New Roman"/>
                <w:sz w:val="24"/>
                <w:szCs w:val="24"/>
                <w:lang w:eastAsia="lv-LV"/>
              </w:rPr>
              <w:t>89</w:t>
            </w:r>
            <w:r w:rsidRPr="00AC6272">
              <w:rPr>
                <w:rFonts w:ascii="Times New Roman" w:eastAsia="Times New Roman" w:hAnsi="Times New Roman" w:cs="Times New Roman"/>
                <w:sz w:val="24"/>
                <w:szCs w:val="24"/>
                <w:lang w:eastAsia="lv-LV"/>
              </w:rPr>
              <w:t xml:space="preserve"> </w:t>
            </w:r>
            <w:r w:rsidR="00FF2C31">
              <w:rPr>
                <w:rFonts w:ascii="Times New Roman" w:eastAsia="Times New Roman" w:hAnsi="Times New Roman" w:cs="Times New Roman"/>
                <w:sz w:val="24"/>
                <w:szCs w:val="24"/>
                <w:lang w:eastAsia="lv-LV"/>
              </w:rPr>
              <w:t xml:space="preserve">attiecībā uz </w:t>
            </w:r>
            <w:r w:rsidR="00FF2C31">
              <w:rPr>
                <w:rFonts w:ascii="Times New Roman" w:hAnsi="Times New Roman" w:cs="Times New Roman"/>
                <w:sz w:val="24"/>
                <w:szCs w:val="24"/>
              </w:rPr>
              <w:t xml:space="preserve">ieguldījumu </w:t>
            </w:r>
            <w:r w:rsidR="00316588">
              <w:rPr>
                <w:rFonts w:ascii="Times New Roman" w:hAnsi="Times New Roman" w:cs="Times New Roman"/>
                <w:sz w:val="24"/>
                <w:szCs w:val="24"/>
              </w:rPr>
              <w:t xml:space="preserve">plāna </w:t>
            </w:r>
            <w:r w:rsidR="00FF2C31">
              <w:rPr>
                <w:rFonts w:ascii="Times New Roman" w:hAnsi="Times New Roman" w:cs="Times New Roman"/>
                <w:sz w:val="24"/>
                <w:szCs w:val="24"/>
              </w:rPr>
              <w:t xml:space="preserve">gada pārskata sagatavošanu </w:t>
            </w:r>
            <w:r w:rsidRPr="00AC6272">
              <w:rPr>
                <w:rFonts w:ascii="Times New Roman" w:eastAsia="Times New Roman" w:hAnsi="Times New Roman" w:cs="Times New Roman"/>
                <w:sz w:val="24"/>
                <w:szCs w:val="24"/>
                <w:lang w:eastAsia="lv-LV"/>
              </w:rPr>
              <w:t xml:space="preserve">un Noteikumiem Nr. 35 attiecībā uz pensiju </w:t>
            </w:r>
            <w:r w:rsidR="007D5747">
              <w:rPr>
                <w:rFonts w:ascii="Times New Roman" w:eastAsia="Times New Roman" w:hAnsi="Times New Roman" w:cs="Times New Roman"/>
                <w:sz w:val="24"/>
                <w:szCs w:val="24"/>
                <w:lang w:eastAsia="lv-LV"/>
              </w:rPr>
              <w:t>plāna</w:t>
            </w:r>
            <w:r w:rsidRPr="00AC6272">
              <w:rPr>
                <w:rFonts w:ascii="Times New Roman" w:eastAsia="Times New Roman" w:hAnsi="Times New Roman" w:cs="Times New Roman"/>
                <w:sz w:val="24"/>
                <w:szCs w:val="24"/>
                <w:lang w:eastAsia="lv-LV"/>
              </w:rPr>
              <w:t xml:space="preserve"> gada pārskata sagatavošanu. </w:t>
            </w:r>
            <w:r w:rsidR="009D4CEA">
              <w:rPr>
                <w:rFonts w:ascii="Times New Roman" w:eastAsia="Times New Roman" w:hAnsi="Times New Roman" w:cs="Times New Roman"/>
                <w:sz w:val="24"/>
                <w:szCs w:val="24"/>
                <w:lang w:eastAsia="lv-LV"/>
              </w:rPr>
              <w:t>Tomēr, ņemot vērā, ka gada pārskats jāsagatavo saskaņā ar Starptautiskajiem grāmatvedības standartiem un praksē visi ieguldījumu plāni un pensiju plāni sagatavo arī naudas plūsmas pārskatu, noteikumu projektā finanšu pārskatu uzskaitījums papildināts ar naudas plūsmas pārskatu. Tāpat</w:t>
            </w:r>
            <w:r w:rsidRPr="00AC6272">
              <w:rPr>
                <w:rFonts w:ascii="Times New Roman" w:eastAsia="Times New Roman" w:hAnsi="Times New Roman" w:cs="Times New Roman"/>
                <w:sz w:val="24"/>
                <w:szCs w:val="24"/>
                <w:lang w:eastAsia="lv-LV"/>
              </w:rPr>
              <w:t>, ņemot vērā lietderības apsvērumus</w:t>
            </w:r>
            <w:r w:rsidR="00FB3963">
              <w:rPr>
                <w:rFonts w:ascii="Times New Roman" w:eastAsia="Times New Roman" w:hAnsi="Times New Roman" w:cs="Times New Roman"/>
                <w:sz w:val="24"/>
                <w:szCs w:val="24"/>
                <w:lang w:eastAsia="lv-LV"/>
              </w:rPr>
              <w:t xml:space="preserve"> un to</w:t>
            </w:r>
            <w:r w:rsidRPr="00AC6272">
              <w:rPr>
                <w:rFonts w:ascii="Times New Roman" w:eastAsia="Times New Roman" w:hAnsi="Times New Roman" w:cs="Times New Roman"/>
                <w:sz w:val="24"/>
                <w:szCs w:val="24"/>
                <w:lang w:eastAsia="lv-LV"/>
              </w:rPr>
              <w:t>, ka Starptautiskie grāmatvedības standarti nosaka detalizētas prasības finanšu pārskatu posteņu novērtēšanai, noteikumu projekt</w:t>
            </w:r>
            <w:r w:rsidR="00FB3963">
              <w:rPr>
                <w:rFonts w:ascii="Times New Roman" w:eastAsia="Times New Roman" w:hAnsi="Times New Roman" w:cs="Times New Roman"/>
                <w:sz w:val="24"/>
                <w:szCs w:val="24"/>
                <w:lang w:eastAsia="lv-LV"/>
              </w:rPr>
              <w:t>s</w:t>
            </w:r>
            <w:r w:rsidR="006177DB" w:rsidRPr="00AC6272">
              <w:rPr>
                <w:rFonts w:ascii="Times New Roman" w:eastAsia="Times New Roman" w:hAnsi="Times New Roman" w:cs="Times New Roman"/>
                <w:sz w:val="24"/>
                <w:szCs w:val="24"/>
                <w:lang w:eastAsia="lv-LV"/>
              </w:rPr>
              <w:t>, lai novērstu prasību dublēšanu</w:t>
            </w:r>
            <w:r w:rsidR="006177DB">
              <w:rPr>
                <w:rFonts w:ascii="Times New Roman" w:eastAsia="Times New Roman" w:hAnsi="Times New Roman" w:cs="Times New Roman"/>
                <w:sz w:val="24"/>
                <w:szCs w:val="24"/>
                <w:lang w:eastAsia="lv-LV"/>
              </w:rPr>
              <w:t>,</w:t>
            </w:r>
            <w:r w:rsidRPr="00AC6272">
              <w:rPr>
                <w:rFonts w:ascii="Times New Roman" w:eastAsia="Times New Roman" w:hAnsi="Times New Roman" w:cs="Times New Roman"/>
                <w:sz w:val="24"/>
                <w:szCs w:val="24"/>
                <w:lang w:eastAsia="lv-LV"/>
              </w:rPr>
              <w:t xml:space="preserve"> </w:t>
            </w:r>
            <w:r w:rsidR="00FB3963">
              <w:rPr>
                <w:rFonts w:ascii="Times New Roman" w:eastAsia="Times New Roman" w:hAnsi="Times New Roman" w:cs="Times New Roman"/>
                <w:sz w:val="24"/>
                <w:szCs w:val="24"/>
                <w:lang w:eastAsia="lv-LV"/>
              </w:rPr>
              <w:t>neparedz</w:t>
            </w:r>
            <w:r w:rsidRPr="00AC6272">
              <w:rPr>
                <w:rFonts w:ascii="Times New Roman" w:eastAsia="Times New Roman" w:hAnsi="Times New Roman" w:cs="Times New Roman"/>
                <w:sz w:val="24"/>
                <w:szCs w:val="24"/>
                <w:lang w:eastAsia="lv-LV"/>
              </w:rPr>
              <w:t xml:space="preserve"> tās prasības, kuras daudz detalizētāk ir atrunātas Starptautiskajos grāmatvedības standartos.</w:t>
            </w:r>
            <w:r w:rsidR="00171BCB">
              <w:rPr>
                <w:rFonts w:ascii="Times New Roman" w:eastAsia="Times New Roman" w:hAnsi="Times New Roman" w:cs="Times New Roman"/>
                <w:sz w:val="24"/>
                <w:szCs w:val="24"/>
                <w:lang w:eastAsia="lv-LV"/>
              </w:rPr>
              <w:t xml:space="preserve"> Noteikumu projektā tas attiecas uz aktīvu un saistību pārskata posteņu atzīšanu.</w:t>
            </w:r>
            <w:r w:rsidR="00513099">
              <w:rPr>
                <w:rFonts w:ascii="Times New Roman" w:eastAsia="Times New Roman" w:hAnsi="Times New Roman" w:cs="Times New Roman"/>
                <w:sz w:val="24"/>
                <w:szCs w:val="24"/>
                <w:lang w:eastAsia="lv-LV"/>
              </w:rPr>
              <w:t xml:space="preserve"> </w:t>
            </w:r>
          </w:p>
          <w:p w14:paraId="112B9126" w14:textId="5ED97E4B" w:rsidR="00D36BB8" w:rsidRDefault="00CD41A9" w:rsidP="00AC6272">
            <w:pPr>
              <w:spacing w:after="1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w:t>
            </w:r>
            <w:r w:rsidR="00D36BB8">
              <w:rPr>
                <w:rFonts w:ascii="Times New Roman" w:eastAsia="Times New Roman" w:hAnsi="Times New Roman" w:cs="Times New Roman"/>
                <w:sz w:val="24"/>
                <w:szCs w:val="24"/>
                <w:lang w:eastAsia="lv-LV"/>
              </w:rPr>
              <w:t>askaņā ar Noteikumiem Nr. 189</w:t>
            </w:r>
            <w:r w:rsidR="008A5625">
              <w:rPr>
                <w:rFonts w:ascii="Times New Roman" w:eastAsia="Times New Roman" w:hAnsi="Times New Roman" w:cs="Times New Roman"/>
                <w:sz w:val="24"/>
                <w:szCs w:val="24"/>
                <w:lang w:eastAsia="lv-LV"/>
              </w:rPr>
              <w:t>,</w:t>
            </w:r>
            <w:r w:rsidR="00D36BB8">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aprēķinot finanšu darbības rezultātu</w:t>
            </w:r>
            <w:r w:rsidR="008A5625">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r w:rsidR="00D36BB8">
              <w:rPr>
                <w:rFonts w:ascii="Times New Roman" w:eastAsia="Times New Roman" w:hAnsi="Times New Roman" w:cs="Times New Roman"/>
                <w:sz w:val="24"/>
                <w:szCs w:val="24"/>
                <w:lang w:eastAsia="lv-LV"/>
              </w:rPr>
              <w:t xml:space="preserve">tiek </w:t>
            </w:r>
            <w:r>
              <w:rPr>
                <w:rFonts w:ascii="Times New Roman" w:eastAsia="Times New Roman" w:hAnsi="Times New Roman" w:cs="Times New Roman"/>
                <w:sz w:val="24"/>
                <w:szCs w:val="24"/>
                <w:lang w:eastAsia="lv-LV"/>
              </w:rPr>
              <w:t>s</w:t>
            </w:r>
            <w:r w:rsidR="00D36BB8">
              <w:rPr>
                <w:rFonts w:ascii="Times New Roman" w:eastAsia="Times New Roman" w:hAnsi="Times New Roman" w:cs="Times New Roman"/>
                <w:sz w:val="24"/>
                <w:szCs w:val="24"/>
                <w:lang w:eastAsia="lv-LV"/>
              </w:rPr>
              <w:t>agatavot</w:t>
            </w:r>
            <w:r>
              <w:rPr>
                <w:rFonts w:ascii="Times New Roman" w:eastAsia="Times New Roman" w:hAnsi="Times New Roman" w:cs="Times New Roman"/>
                <w:sz w:val="24"/>
                <w:szCs w:val="24"/>
                <w:lang w:eastAsia="lv-LV"/>
              </w:rPr>
              <w:t>s</w:t>
            </w:r>
            <w:r w:rsidR="00D36BB8">
              <w:rPr>
                <w:rFonts w:ascii="Times New Roman" w:eastAsia="Times New Roman" w:hAnsi="Times New Roman" w:cs="Times New Roman"/>
                <w:sz w:val="24"/>
                <w:szCs w:val="24"/>
                <w:lang w:eastAsia="lv-LV"/>
              </w:rPr>
              <w:t xml:space="preserve"> gan ienākumu un izdevumu pārskat</w:t>
            </w:r>
            <w:r>
              <w:rPr>
                <w:rFonts w:ascii="Times New Roman" w:eastAsia="Times New Roman" w:hAnsi="Times New Roman" w:cs="Times New Roman"/>
                <w:sz w:val="24"/>
                <w:szCs w:val="24"/>
                <w:lang w:eastAsia="lv-LV"/>
              </w:rPr>
              <w:t>s</w:t>
            </w:r>
            <w:r w:rsidR="00D36BB8">
              <w:rPr>
                <w:rFonts w:ascii="Times New Roman" w:eastAsia="Times New Roman" w:hAnsi="Times New Roman" w:cs="Times New Roman"/>
                <w:sz w:val="24"/>
                <w:szCs w:val="24"/>
                <w:lang w:eastAsia="lv-LV"/>
              </w:rPr>
              <w:t>, gan neto aktīvu kustības pārskat</w:t>
            </w:r>
            <w:r>
              <w:rPr>
                <w:rFonts w:ascii="Times New Roman" w:eastAsia="Times New Roman" w:hAnsi="Times New Roman" w:cs="Times New Roman"/>
                <w:sz w:val="24"/>
                <w:szCs w:val="24"/>
                <w:lang w:eastAsia="lv-LV"/>
              </w:rPr>
              <w:t>s</w:t>
            </w:r>
            <w:r w:rsidR="00D36BB8">
              <w:rPr>
                <w:rFonts w:ascii="Times New Roman" w:eastAsia="Times New Roman" w:hAnsi="Times New Roman" w:cs="Times New Roman"/>
                <w:sz w:val="24"/>
                <w:szCs w:val="24"/>
                <w:lang w:eastAsia="lv-LV"/>
              </w:rPr>
              <w:t>, bet saskaņā ar Noteikumiem Nr. 35 tiek sagatavot</w:t>
            </w:r>
            <w:r>
              <w:rPr>
                <w:rFonts w:ascii="Times New Roman" w:eastAsia="Times New Roman" w:hAnsi="Times New Roman" w:cs="Times New Roman"/>
                <w:sz w:val="24"/>
                <w:szCs w:val="24"/>
                <w:lang w:eastAsia="lv-LV"/>
              </w:rPr>
              <w:t>s</w:t>
            </w:r>
            <w:r w:rsidR="00D36BB8">
              <w:rPr>
                <w:rFonts w:ascii="Times New Roman" w:eastAsia="Times New Roman" w:hAnsi="Times New Roman" w:cs="Times New Roman"/>
                <w:sz w:val="24"/>
                <w:szCs w:val="24"/>
                <w:lang w:eastAsia="lv-LV"/>
              </w:rPr>
              <w:t xml:space="preserve"> tikai neto aktīvu kustības pārskat</w:t>
            </w:r>
            <w:r>
              <w:rPr>
                <w:rFonts w:ascii="Times New Roman" w:eastAsia="Times New Roman" w:hAnsi="Times New Roman" w:cs="Times New Roman"/>
                <w:sz w:val="24"/>
                <w:szCs w:val="24"/>
                <w:lang w:eastAsia="lv-LV"/>
              </w:rPr>
              <w:t>s</w:t>
            </w:r>
            <w:r w:rsidR="00D36BB8">
              <w:rPr>
                <w:rFonts w:ascii="Times New Roman" w:eastAsia="Times New Roman" w:hAnsi="Times New Roman" w:cs="Times New Roman"/>
                <w:sz w:val="24"/>
                <w:szCs w:val="24"/>
                <w:lang w:eastAsia="lv-LV"/>
              </w:rPr>
              <w:t>, k</w:t>
            </w:r>
            <w:r>
              <w:rPr>
                <w:rFonts w:ascii="Times New Roman" w:eastAsia="Times New Roman" w:hAnsi="Times New Roman" w:cs="Times New Roman"/>
                <w:sz w:val="24"/>
                <w:szCs w:val="24"/>
                <w:lang w:eastAsia="lv-LV"/>
              </w:rPr>
              <w:t>as</w:t>
            </w:r>
            <w:r w:rsidR="00D36BB8">
              <w:rPr>
                <w:rFonts w:ascii="Times New Roman" w:eastAsia="Times New Roman" w:hAnsi="Times New Roman" w:cs="Times New Roman"/>
                <w:sz w:val="24"/>
                <w:szCs w:val="24"/>
                <w:lang w:eastAsia="lv-LV"/>
              </w:rPr>
              <w:t xml:space="preserve"> ie</w:t>
            </w:r>
            <w:r w:rsidR="00690450">
              <w:rPr>
                <w:rFonts w:ascii="Times New Roman" w:eastAsia="Times New Roman" w:hAnsi="Times New Roman" w:cs="Times New Roman"/>
                <w:sz w:val="24"/>
                <w:szCs w:val="24"/>
                <w:lang w:eastAsia="lv-LV"/>
              </w:rPr>
              <w:t>tver</w:t>
            </w:r>
            <w:r w:rsidR="00D36BB8">
              <w:rPr>
                <w:rFonts w:ascii="Times New Roman" w:eastAsia="Times New Roman" w:hAnsi="Times New Roman" w:cs="Times New Roman"/>
                <w:sz w:val="24"/>
                <w:szCs w:val="24"/>
                <w:lang w:eastAsia="lv-LV"/>
              </w:rPr>
              <w:t xml:space="preserve"> arī ienākumu un izdevumu aprēķin</w:t>
            </w:r>
            <w:r>
              <w:rPr>
                <w:rFonts w:ascii="Times New Roman" w:eastAsia="Times New Roman" w:hAnsi="Times New Roman" w:cs="Times New Roman"/>
                <w:sz w:val="24"/>
                <w:szCs w:val="24"/>
                <w:lang w:eastAsia="lv-LV"/>
              </w:rPr>
              <w:t>u</w:t>
            </w:r>
            <w:r w:rsidR="00D36BB8">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Lai optimizētu finanšu darbības rezultāta aprēķinu, noteikumu projekts nosaka neto aktīvu kustības pārskata sagatavošanu</w:t>
            </w:r>
            <w:r w:rsidR="00690450">
              <w:rPr>
                <w:rFonts w:ascii="Times New Roman" w:eastAsia="Times New Roman" w:hAnsi="Times New Roman" w:cs="Times New Roman"/>
                <w:sz w:val="24"/>
                <w:szCs w:val="24"/>
                <w:lang w:eastAsia="lv-LV"/>
              </w:rPr>
              <w:t>, kur ietverts arī ienākumu un izdevumu aprēķins.</w:t>
            </w:r>
          </w:p>
          <w:p w14:paraId="16B19412" w14:textId="06ACA38A" w:rsidR="00513099" w:rsidRDefault="00513099" w:rsidP="00AC6272">
            <w:pPr>
              <w:spacing w:after="120"/>
              <w:jc w:val="both"/>
              <w:rPr>
                <w:rFonts w:ascii="Times New Roman" w:eastAsia="Times New Roman" w:hAnsi="Times New Roman" w:cs="Times New Roman"/>
                <w:sz w:val="24"/>
                <w:szCs w:val="24"/>
                <w:lang w:eastAsia="lv-LV"/>
              </w:rPr>
            </w:pPr>
            <w:r w:rsidRPr="00513099">
              <w:rPr>
                <w:rFonts w:ascii="Times New Roman" w:eastAsia="Times New Roman" w:hAnsi="Times New Roman" w:cs="Times New Roman"/>
                <w:sz w:val="24"/>
                <w:szCs w:val="24"/>
                <w:lang w:eastAsia="lv-LV"/>
              </w:rPr>
              <w:t>V</w:t>
            </w:r>
            <w:r>
              <w:rPr>
                <w:rFonts w:ascii="Times New Roman" w:eastAsia="Times New Roman" w:hAnsi="Times New Roman" w:cs="Times New Roman"/>
                <w:sz w:val="24"/>
                <w:szCs w:val="24"/>
                <w:lang w:eastAsia="lv-LV"/>
              </w:rPr>
              <w:t xml:space="preserve">alsts </w:t>
            </w:r>
            <w:proofErr w:type="spellStart"/>
            <w:r>
              <w:rPr>
                <w:rFonts w:ascii="Times New Roman" w:eastAsia="Times New Roman" w:hAnsi="Times New Roman" w:cs="Times New Roman"/>
                <w:sz w:val="24"/>
                <w:szCs w:val="24"/>
                <w:lang w:eastAsia="lv-LV"/>
              </w:rPr>
              <w:t>fondēto</w:t>
            </w:r>
            <w:proofErr w:type="spellEnd"/>
            <w:r>
              <w:rPr>
                <w:rFonts w:ascii="Times New Roman" w:eastAsia="Times New Roman" w:hAnsi="Times New Roman" w:cs="Times New Roman"/>
                <w:sz w:val="24"/>
                <w:szCs w:val="24"/>
                <w:lang w:eastAsia="lv-LV"/>
              </w:rPr>
              <w:t xml:space="preserve"> pensiju likuma </w:t>
            </w:r>
            <w:r w:rsidRPr="00513099">
              <w:rPr>
                <w:rFonts w:ascii="Times New Roman" w:eastAsia="Times New Roman" w:hAnsi="Times New Roman" w:cs="Times New Roman"/>
                <w:sz w:val="24"/>
                <w:szCs w:val="24"/>
                <w:lang w:eastAsia="lv-LV"/>
              </w:rPr>
              <w:t>12.</w:t>
            </w:r>
            <w:r w:rsidRPr="00513099">
              <w:rPr>
                <w:rFonts w:ascii="Times New Roman" w:eastAsia="Times New Roman" w:hAnsi="Times New Roman" w:cs="Times New Roman"/>
                <w:sz w:val="24"/>
                <w:szCs w:val="24"/>
                <w:vertAlign w:val="superscript"/>
                <w:lang w:eastAsia="lv-LV"/>
              </w:rPr>
              <w:t>3</w:t>
            </w:r>
            <w:r>
              <w:rPr>
                <w:rFonts w:ascii="Times New Roman" w:eastAsia="Times New Roman" w:hAnsi="Times New Roman" w:cs="Times New Roman"/>
                <w:sz w:val="24"/>
                <w:szCs w:val="24"/>
                <w:vertAlign w:val="superscript"/>
                <w:lang w:eastAsia="lv-LV"/>
              </w:rPr>
              <w:t> </w:t>
            </w:r>
            <w:r w:rsidRPr="00513099">
              <w:rPr>
                <w:rFonts w:ascii="Times New Roman" w:eastAsia="Times New Roman" w:hAnsi="Times New Roman" w:cs="Times New Roman"/>
                <w:sz w:val="24"/>
                <w:szCs w:val="24"/>
                <w:lang w:eastAsia="lv-LV"/>
              </w:rPr>
              <w:t>panta 2.</w:t>
            </w:r>
            <w:r>
              <w:rPr>
                <w:rFonts w:ascii="Times New Roman" w:eastAsia="Times New Roman" w:hAnsi="Times New Roman" w:cs="Times New Roman"/>
                <w:sz w:val="24"/>
                <w:szCs w:val="24"/>
                <w:lang w:eastAsia="lv-LV"/>
              </w:rPr>
              <w:t> </w:t>
            </w:r>
            <w:r w:rsidRPr="00513099">
              <w:rPr>
                <w:rFonts w:ascii="Times New Roman" w:eastAsia="Times New Roman" w:hAnsi="Times New Roman" w:cs="Times New Roman"/>
                <w:sz w:val="24"/>
                <w:szCs w:val="24"/>
                <w:lang w:eastAsia="lv-LV"/>
              </w:rPr>
              <w:t>punkt</w:t>
            </w:r>
            <w:r>
              <w:rPr>
                <w:rFonts w:ascii="Times New Roman" w:eastAsia="Times New Roman" w:hAnsi="Times New Roman" w:cs="Times New Roman"/>
                <w:sz w:val="24"/>
                <w:szCs w:val="24"/>
                <w:lang w:eastAsia="lv-LV"/>
              </w:rPr>
              <w:t xml:space="preserve">s paredz valsts </w:t>
            </w:r>
            <w:proofErr w:type="spellStart"/>
            <w:r w:rsidRPr="00513099">
              <w:rPr>
                <w:rFonts w:ascii="Times New Roman" w:eastAsia="Times New Roman" w:hAnsi="Times New Roman" w:cs="Times New Roman"/>
                <w:sz w:val="24"/>
                <w:szCs w:val="24"/>
                <w:lang w:eastAsia="lv-LV"/>
              </w:rPr>
              <w:t>fondēto</w:t>
            </w:r>
            <w:proofErr w:type="spellEnd"/>
            <w:r w:rsidRPr="00513099">
              <w:rPr>
                <w:rFonts w:ascii="Times New Roman" w:eastAsia="Times New Roman" w:hAnsi="Times New Roman" w:cs="Times New Roman"/>
                <w:sz w:val="24"/>
                <w:szCs w:val="24"/>
                <w:lang w:eastAsia="lv-LV"/>
              </w:rPr>
              <w:t xml:space="preserve"> pensiju shēmas līdzekļu pārvaldītāj</w:t>
            </w:r>
            <w:r>
              <w:rPr>
                <w:rFonts w:ascii="Times New Roman" w:eastAsia="Times New Roman" w:hAnsi="Times New Roman" w:cs="Times New Roman"/>
                <w:sz w:val="24"/>
                <w:szCs w:val="24"/>
                <w:lang w:eastAsia="lv-LV"/>
              </w:rPr>
              <w:t>am pienākumu nodrošināt</w:t>
            </w:r>
            <w:r w:rsidRPr="00513099">
              <w:rPr>
                <w:rFonts w:ascii="Times New Roman" w:eastAsia="Times New Roman" w:hAnsi="Times New Roman" w:cs="Times New Roman"/>
                <w:sz w:val="24"/>
                <w:szCs w:val="24"/>
                <w:lang w:eastAsia="lv-LV"/>
              </w:rPr>
              <w:t xml:space="preserve">, ka attiecībā uz katru ieguldījumu plānu gada pārskatā tiek norādīti plānotie mērķi un sasniegtie rezultāti </w:t>
            </w:r>
            <w:r w:rsidR="006177DB">
              <w:rPr>
                <w:rFonts w:ascii="Times New Roman" w:eastAsia="Times New Roman" w:hAnsi="Times New Roman" w:cs="Times New Roman"/>
                <w:sz w:val="24"/>
                <w:szCs w:val="24"/>
                <w:lang w:eastAsia="lv-LV"/>
              </w:rPr>
              <w:t xml:space="preserve">saistībā </w:t>
            </w:r>
            <w:r w:rsidRPr="00513099">
              <w:rPr>
                <w:rFonts w:ascii="Times New Roman" w:eastAsia="Times New Roman" w:hAnsi="Times New Roman" w:cs="Times New Roman"/>
                <w:sz w:val="24"/>
                <w:szCs w:val="24"/>
                <w:lang w:eastAsia="lv-LV"/>
              </w:rPr>
              <w:t xml:space="preserve">ar </w:t>
            </w:r>
            <w:proofErr w:type="spellStart"/>
            <w:r w:rsidRPr="00513099">
              <w:rPr>
                <w:rFonts w:ascii="Times New Roman" w:eastAsia="Times New Roman" w:hAnsi="Times New Roman" w:cs="Times New Roman"/>
                <w:sz w:val="24"/>
                <w:szCs w:val="24"/>
                <w:lang w:eastAsia="lv-LV"/>
              </w:rPr>
              <w:t>fondēto</w:t>
            </w:r>
            <w:proofErr w:type="spellEnd"/>
            <w:r w:rsidRPr="00513099">
              <w:rPr>
                <w:rFonts w:ascii="Times New Roman" w:eastAsia="Times New Roman" w:hAnsi="Times New Roman" w:cs="Times New Roman"/>
                <w:sz w:val="24"/>
                <w:szCs w:val="24"/>
                <w:lang w:eastAsia="lv-LV"/>
              </w:rPr>
              <w:t xml:space="preserve"> pensiju shēmas līdzekļu ieguldīšanu Latvijā.</w:t>
            </w:r>
            <w:r>
              <w:rPr>
                <w:rFonts w:ascii="Times New Roman" w:eastAsia="Times New Roman" w:hAnsi="Times New Roman" w:cs="Times New Roman"/>
                <w:sz w:val="24"/>
                <w:szCs w:val="24"/>
                <w:lang w:eastAsia="lv-LV"/>
              </w:rPr>
              <w:t xml:space="preserve"> Lai būtu nepārprotami skaidrs, kur gada pārskatā minētā informācija norādāma, noteikumu projekts papildināts ar normu, ka minēto informāciju norāda </w:t>
            </w:r>
            <w:r w:rsidRPr="00513099">
              <w:rPr>
                <w:rFonts w:ascii="Times New Roman" w:eastAsia="Times New Roman" w:hAnsi="Times New Roman" w:cs="Times New Roman"/>
                <w:sz w:val="24"/>
                <w:szCs w:val="24"/>
                <w:lang w:eastAsia="lv-LV"/>
              </w:rPr>
              <w:t>līdzekļu pārvaldītāja ziņojum</w:t>
            </w:r>
            <w:r>
              <w:rPr>
                <w:rFonts w:ascii="Times New Roman" w:eastAsia="Times New Roman" w:hAnsi="Times New Roman" w:cs="Times New Roman"/>
                <w:sz w:val="24"/>
                <w:szCs w:val="24"/>
                <w:lang w:eastAsia="lv-LV"/>
              </w:rPr>
              <w:t>ā</w:t>
            </w:r>
            <w:r w:rsidRPr="00513099">
              <w:rPr>
                <w:rFonts w:ascii="Times New Roman" w:eastAsia="Times New Roman" w:hAnsi="Times New Roman" w:cs="Times New Roman"/>
                <w:sz w:val="24"/>
                <w:szCs w:val="24"/>
                <w:lang w:eastAsia="lv-LV"/>
              </w:rPr>
              <w:t xml:space="preserve"> par plānu</w:t>
            </w:r>
            <w:r>
              <w:rPr>
                <w:rFonts w:ascii="Times New Roman" w:eastAsia="Times New Roman" w:hAnsi="Times New Roman" w:cs="Times New Roman"/>
                <w:sz w:val="24"/>
                <w:szCs w:val="24"/>
                <w:lang w:eastAsia="lv-LV"/>
              </w:rPr>
              <w:t>.</w:t>
            </w:r>
          </w:p>
          <w:p w14:paraId="5C94F667" w14:textId="66BDE6B5" w:rsidR="005E5BF6" w:rsidRPr="00AC6272" w:rsidRDefault="005E5BF6" w:rsidP="00AC6272">
            <w:pPr>
              <w:spacing w:after="120"/>
              <w:jc w:val="both"/>
              <w:rPr>
                <w:rFonts w:ascii="Times New Roman" w:eastAsia="Times New Roman" w:hAnsi="Times New Roman" w:cs="Times New Roman"/>
                <w:sz w:val="24"/>
                <w:szCs w:val="24"/>
                <w:lang w:eastAsia="lv-LV"/>
              </w:rPr>
            </w:pPr>
            <w:r w:rsidRPr="007867B7">
              <w:rPr>
                <w:rFonts w:ascii="Times New Roman" w:eastAsia="Times New Roman" w:hAnsi="Times New Roman" w:cs="Times New Roman"/>
                <w:sz w:val="24"/>
                <w:szCs w:val="24"/>
                <w:lang w:eastAsia="lv-LV"/>
              </w:rPr>
              <w:t xml:space="preserve">Valsts </w:t>
            </w:r>
            <w:proofErr w:type="spellStart"/>
            <w:r w:rsidRPr="007867B7">
              <w:rPr>
                <w:rFonts w:ascii="Times New Roman" w:eastAsia="Times New Roman" w:hAnsi="Times New Roman" w:cs="Times New Roman"/>
                <w:sz w:val="24"/>
                <w:szCs w:val="24"/>
                <w:lang w:eastAsia="lv-LV"/>
              </w:rPr>
              <w:t>fondēto</w:t>
            </w:r>
            <w:proofErr w:type="spellEnd"/>
            <w:r w:rsidRPr="007867B7">
              <w:rPr>
                <w:rFonts w:ascii="Times New Roman" w:eastAsia="Times New Roman" w:hAnsi="Times New Roman" w:cs="Times New Roman"/>
                <w:sz w:val="24"/>
                <w:szCs w:val="24"/>
                <w:lang w:eastAsia="lv-LV"/>
              </w:rPr>
              <w:t xml:space="preserve"> pensiju likuma 11. panta 5.</w:t>
            </w:r>
            <w:r w:rsidRPr="007867B7">
              <w:rPr>
                <w:rFonts w:ascii="Times New Roman" w:eastAsia="Times New Roman" w:hAnsi="Times New Roman" w:cs="Times New Roman"/>
                <w:sz w:val="24"/>
                <w:szCs w:val="24"/>
                <w:vertAlign w:val="superscript"/>
                <w:lang w:eastAsia="lv-LV"/>
              </w:rPr>
              <w:t>3</w:t>
            </w:r>
            <w:r w:rsidR="00474807" w:rsidRPr="007867B7">
              <w:rPr>
                <w:rFonts w:ascii="Times New Roman" w:eastAsia="Times New Roman" w:hAnsi="Times New Roman" w:cs="Times New Roman"/>
                <w:sz w:val="24"/>
                <w:szCs w:val="24"/>
                <w:vertAlign w:val="superscript"/>
                <w:lang w:eastAsia="lv-LV"/>
              </w:rPr>
              <w:t> </w:t>
            </w:r>
            <w:r w:rsidRPr="007867B7">
              <w:rPr>
                <w:rFonts w:ascii="Times New Roman" w:eastAsia="Times New Roman" w:hAnsi="Times New Roman" w:cs="Times New Roman"/>
                <w:sz w:val="24"/>
                <w:szCs w:val="24"/>
                <w:lang w:eastAsia="lv-LV"/>
              </w:rPr>
              <w:t>daļ</w:t>
            </w:r>
            <w:r w:rsidR="00474807" w:rsidRPr="007867B7">
              <w:rPr>
                <w:rFonts w:ascii="Times New Roman" w:eastAsia="Times New Roman" w:hAnsi="Times New Roman" w:cs="Times New Roman"/>
                <w:sz w:val="24"/>
                <w:szCs w:val="24"/>
                <w:lang w:eastAsia="lv-LV"/>
              </w:rPr>
              <w:t>ā</w:t>
            </w:r>
            <w:r w:rsidRPr="007867B7">
              <w:rPr>
                <w:rFonts w:ascii="Times New Roman" w:eastAsia="Times New Roman" w:hAnsi="Times New Roman" w:cs="Times New Roman"/>
                <w:sz w:val="24"/>
                <w:szCs w:val="24"/>
                <w:lang w:eastAsia="lv-LV"/>
              </w:rPr>
              <w:t xml:space="preserve"> no</w:t>
            </w:r>
            <w:r w:rsidR="00474807" w:rsidRPr="007867B7">
              <w:rPr>
                <w:rFonts w:ascii="Times New Roman" w:eastAsia="Times New Roman" w:hAnsi="Times New Roman" w:cs="Times New Roman"/>
                <w:sz w:val="24"/>
                <w:szCs w:val="24"/>
                <w:lang w:eastAsia="lv-LV"/>
              </w:rPr>
              <w:t>teikts</w:t>
            </w:r>
            <w:r w:rsidRPr="007867B7">
              <w:rPr>
                <w:rFonts w:ascii="Times New Roman" w:eastAsia="Times New Roman" w:hAnsi="Times New Roman" w:cs="Times New Roman"/>
                <w:sz w:val="24"/>
                <w:szCs w:val="24"/>
                <w:lang w:eastAsia="lv-LV"/>
              </w:rPr>
              <w:t xml:space="preserve"> </w:t>
            </w:r>
            <w:r w:rsidR="00474807" w:rsidRPr="007867B7">
              <w:rPr>
                <w:rFonts w:ascii="Times New Roman" w:eastAsia="Times New Roman" w:hAnsi="Times New Roman" w:cs="Times New Roman"/>
                <w:sz w:val="24"/>
                <w:szCs w:val="24"/>
                <w:lang w:eastAsia="lv-LV"/>
              </w:rPr>
              <w:t xml:space="preserve">pienākums valsts </w:t>
            </w:r>
            <w:proofErr w:type="spellStart"/>
            <w:r w:rsidR="00474807" w:rsidRPr="007867B7">
              <w:rPr>
                <w:rFonts w:ascii="Times New Roman" w:eastAsia="Times New Roman" w:hAnsi="Times New Roman" w:cs="Times New Roman"/>
                <w:sz w:val="24"/>
                <w:szCs w:val="24"/>
                <w:lang w:eastAsia="lv-LV"/>
              </w:rPr>
              <w:t>fondēto</w:t>
            </w:r>
            <w:proofErr w:type="spellEnd"/>
            <w:r w:rsidR="00474807" w:rsidRPr="007867B7">
              <w:rPr>
                <w:rFonts w:ascii="Times New Roman" w:eastAsia="Times New Roman" w:hAnsi="Times New Roman" w:cs="Times New Roman"/>
                <w:sz w:val="24"/>
                <w:szCs w:val="24"/>
                <w:lang w:eastAsia="lv-LV"/>
              </w:rPr>
              <w:t xml:space="preserve"> pensiju shēmas līdzekļu pārvaldītājam nodrošināt, ka</w:t>
            </w:r>
            <w:r w:rsidRPr="007867B7">
              <w:rPr>
                <w:rFonts w:ascii="Times New Roman" w:eastAsia="Times New Roman" w:hAnsi="Times New Roman" w:cs="Times New Roman"/>
                <w:sz w:val="24"/>
                <w:szCs w:val="24"/>
                <w:lang w:eastAsia="lv-LV"/>
              </w:rPr>
              <w:t xml:space="preserve"> maksimāla</w:t>
            </w:r>
            <w:r w:rsidR="00474807" w:rsidRPr="007867B7">
              <w:rPr>
                <w:rFonts w:ascii="Times New Roman" w:eastAsia="Times New Roman" w:hAnsi="Times New Roman" w:cs="Times New Roman"/>
                <w:sz w:val="24"/>
                <w:szCs w:val="24"/>
                <w:lang w:eastAsia="lv-LV"/>
              </w:rPr>
              <w:t>is</w:t>
            </w:r>
            <w:r w:rsidRPr="007867B7">
              <w:rPr>
                <w:rFonts w:ascii="Times New Roman" w:eastAsia="Times New Roman" w:hAnsi="Times New Roman" w:cs="Times New Roman"/>
                <w:sz w:val="24"/>
                <w:szCs w:val="24"/>
                <w:lang w:eastAsia="lv-LV"/>
              </w:rPr>
              <w:t xml:space="preserve"> maksājum</w:t>
            </w:r>
            <w:r w:rsidR="003C7DF0" w:rsidRPr="007867B7">
              <w:rPr>
                <w:rFonts w:ascii="Times New Roman" w:eastAsia="Times New Roman" w:hAnsi="Times New Roman" w:cs="Times New Roman"/>
                <w:sz w:val="24"/>
                <w:szCs w:val="24"/>
                <w:lang w:eastAsia="lv-LV"/>
              </w:rPr>
              <w:t>u</w:t>
            </w:r>
            <w:r w:rsidRPr="007867B7">
              <w:rPr>
                <w:rFonts w:ascii="Times New Roman" w:eastAsia="Times New Roman" w:hAnsi="Times New Roman" w:cs="Times New Roman"/>
                <w:sz w:val="24"/>
                <w:szCs w:val="24"/>
                <w:lang w:eastAsia="lv-LV"/>
              </w:rPr>
              <w:t xml:space="preserve"> </w:t>
            </w:r>
            <w:r w:rsidR="00D073F4" w:rsidRPr="007867B7">
              <w:rPr>
                <w:rFonts w:ascii="Times New Roman" w:eastAsia="Times New Roman" w:hAnsi="Times New Roman" w:cs="Times New Roman"/>
                <w:sz w:val="24"/>
                <w:szCs w:val="24"/>
                <w:lang w:eastAsia="lv-LV"/>
              </w:rPr>
              <w:t xml:space="preserve">apmērs </w:t>
            </w:r>
            <w:r w:rsidRPr="007867B7">
              <w:rPr>
                <w:rFonts w:ascii="Times New Roman" w:eastAsia="Times New Roman" w:hAnsi="Times New Roman" w:cs="Times New Roman"/>
                <w:sz w:val="24"/>
                <w:szCs w:val="24"/>
                <w:lang w:eastAsia="lv-LV"/>
              </w:rPr>
              <w:t>par ieguldījumu plāna pārvaldi</w:t>
            </w:r>
            <w:r w:rsidR="00474807" w:rsidRPr="007867B7">
              <w:rPr>
                <w:rFonts w:ascii="Times New Roman" w:eastAsia="Times New Roman" w:hAnsi="Times New Roman" w:cs="Times New Roman"/>
                <w:sz w:val="24"/>
                <w:szCs w:val="24"/>
                <w:lang w:eastAsia="lv-LV"/>
              </w:rPr>
              <w:t xml:space="preserve"> nepārsniedz noteiktu </w:t>
            </w:r>
            <w:r w:rsidR="006434F2" w:rsidRPr="007867B7">
              <w:rPr>
                <w:rFonts w:ascii="Times New Roman" w:eastAsia="Times New Roman" w:hAnsi="Times New Roman" w:cs="Times New Roman"/>
                <w:sz w:val="24"/>
                <w:szCs w:val="24"/>
                <w:lang w:eastAsia="lv-LV"/>
              </w:rPr>
              <w:t>lielumu</w:t>
            </w:r>
            <w:r w:rsidRPr="007867B7">
              <w:rPr>
                <w:rFonts w:ascii="Times New Roman" w:eastAsia="Times New Roman" w:hAnsi="Times New Roman" w:cs="Times New Roman"/>
                <w:sz w:val="24"/>
                <w:szCs w:val="24"/>
                <w:lang w:eastAsia="lv-LV"/>
              </w:rPr>
              <w:t>. Lai Latvijas Banka nodrošinātu uzraudzību pār minēt</w:t>
            </w:r>
            <w:r w:rsidR="003C7DF0" w:rsidRPr="007867B7">
              <w:rPr>
                <w:rFonts w:ascii="Times New Roman" w:eastAsia="Times New Roman" w:hAnsi="Times New Roman" w:cs="Times New Roman"/>
                <w:sz w:val="24"/>
                <w:szCs w:val="24"/>
                <w:lang w:eastAsia="lv-LV"/>
              </w:rPr>
              <w:t>ās</w:t>
            </w:r>
            <w:r w:rsidRPr="007867B7">
              <w:rPr>
                <w:rFonts w:ascii="Times New Roman" w:eastAsia="Times New Roman" w:hAnsi="Times New Roman" w:cs="Times New Roman"/>
                <w:sz w:val="24"/>
                <w:szCs w:val="24"/>
                <w:lang w:eastAsia="lv-LV"/>
              </w:rPr>
              <w:t xml:space="preserve"> prasīb</w:t>
            </w:r>
            <w:r w:rsidR="003C7DF0" w:rsidRPr="007867B7">
              <w:rPr>
                <w:rFonts w:ascii="Times New Roman" w:eastAsia="Times New Roman" w:hAnsi="Times New Roman" w:cs="Times New Roman"/>
                <w:sz w:val="24"/>
                <w:szCs w:val="24"/>
                <w:lang w:eastAsia="lv-LV"/>
              </w:rPr>
              <w:t>as</w:t>
            </w:r>
            <w:r w:rsidRPr="007867B7">
              <w:rPr>
                <w:rFonts w:ascii="Times New Roman" w:eastAsia="Times New Roman" w:hAnsi="Times New Roman" w:cs="Times New Roman"/>
                <w:sz w:val="24"/>
                <w:szCs w:val="24"/>
                <w:lang w:eastAsia="lv-LV"/>
              </w:rPr>
              <w:t xml:space="preserve"> ievērošanu, noteikumu projekts papildināts ar normu, kas pieprasa</w:t>
            </w:r>
            <w:r w:rsidR="00474807" w:rsidRPr="007867B7">
              <w:rPr>
                <w:rFonts w:ascii="Times New Roman" w:eastAsia="Times New Roman" w:hAnsi="Times New Roman" w:cs="Times New Roman"/>
                <w:sz w:val="24"/>
                <w:szCs w:val="24"/>
                <w:lang w:eastAsia="lv-LV"/>
              </w:rPr>
              <w:t xml:space="preserve"> līdzekļu pārvaldītājam finanšu pārskatu pielikumā atklāt informāciju par maksājumu apmēru par ieguldījumu plāna pārvaldi (noteikumu projekta 53. punkts).</w:t>
            </w:r>
          </w:p>
          <w:p w14:paraId="3536ABBD" w14:textId="280AA679" w:rsidR="0090644A" w:rsidRPr="00573BDC" w:rsidRDefault="0090644A" w:rsidP="00C22386">
            <w:pPr>
              <w:spacing w:after="120"/>
              <w:jc w:val="both"/>
              <w:rPr>
                <w:rFonts w:ascii="Times New Roman" w:eastAsia="Times New Roman" w:hAnsi="Times New Roman" w:cs="Times New Roman"/>
                <w:sz w:val="24"/>
                <w:szCs w:val="24"/>
              </w:rPr>
            </w:pPr>
            <w:r w:rsidRPr="00573BDC">
              <w:rPr>
                <w:rFonts w:ascii="Times New Roman" w:hAnsi="Times New Roman" w:cs="Times New Roman"/>
                <w:sz w:val="24"/>
                <w:szCs w:val="24"/>
              </w:rPr>
              <w:t xml:space="preserve">Noteikumu projekta mērķis ir </w:t>
            </w:r>
            <w:r w:rsidRPr="00573BDC">
              <w:rPr>
                <w:rFonts w:ascii="Times New Roman" w:eastAsia="Times New Roman" w:hAnsi="Times New Roman" w:cs="Times New Roman"/>
                <w:sz w:val="24"/>
                <w:szCs w:val="24"/>
              </w:rPr>
              <w:t xml:space="preserve">nodrošināt tirgus dalībnieku vienotu pieeju </w:t>
            </w:r>
            <w:r w:rsidR="00FB3963">
              <w:rPr>
                <w:rFonts w:ascii="Times New Roman" w:eastAsia="Times New Roman" w:hAnsi="Times New Roman" w:cs="Times New Roman"/>
                <w:sz w:val="24"/>
                <w:szCs w:val="24"/>
              </w:rPr>
              <w:t xml:space="preserve">ieguldījumu plāna un pensiju plāna </w:t>
            </w:r>
            <w:r w:rsidR="00573BDC" w:rsidRPr="00573BDC">
              <w:rPr>
                <w:rFonts w:ascii="Times New Roman" w:eastAsia="Times New Roman" w:hAnsi="Times New Roman" w:cs="Times New Roman"/>
                <w:sz w:val="24"/>
                <w:szCs w:val="24"/>
              </w:rPr>
              <w:t>gada pārskat</w:t>
            </w:r>
            <w:r w:rsidR="00FB3963">
              <w:rPr>
                <w:rFonts w:ascii="Times New Roman" w:eastAsia="Times New Roman" w:hAnsi="Times New Roman" w:cs="Times New Roman"/>
                <w:sz w:val="24"/>
                <w:szCs w:val="24"/>
              </w:rPr>
              <w:t>a</w:t>
            </w:r>
            <w:r w:rsidR="00573BDC" w:rsidRPr="00573BDC">
              <w:rPr>
                <w:rFonts w:ascii="Times New Roman" w:eastAsia="Times New Roman" w:hAnsi="Times New Roman" w:cs="Times New Roman"/>
                <w:sz w:val="24"/>
                <w:szCs w:val="24"/>
              </w:rPr>
              <w:t xml:space="preserve"> sagatavošanai</w:t>
            </w:r>
            <w:r w:rsidRPr="00573BDC">
              <w:rPr>
                <w:rFonts w:ascii="Times New Roman" w:eastAsia="Times New Roman" w:hAnsi="Times New Roman" w:cs="Times New Roman"/>
                <w:sz w:val="24"/>
                <w:szCs w:val="24"/>
              </w:rPr>
              <w:t xml:space="preserve"> </w:t>
            </w:r>
            <w:r w:rsidR="00573BDC">
              <w:rPr>
                <w:rFonts w:ascii="Times New Roman" w:eastAsia="Times New Roman" w:hAnsi="Times New Roman" w:cs="Times New Roman"/>
                <w:sz w:val="24"/>
                <w:szCs w:val="24"/>
              </w:rPr>
              <w:t xml:space="preserve">un, ņemot vērā, ka </w:t>
            </w:r>
            <w:r w:rsidR="00FB3963">
              <w:rPr>
                <w:rFonts w:ascii="Times New Roman" w:eastAsia="Times New Roman" w:hAnsi="Times New Roman" w:cs="Times New Roman"/>
                <w:sz w:val="24"/>
                <w:szCs w:val="24"/>
              </w:rPr>
              <w:t xml:space="preserve">minētie </w:t>
            </w:r>
            <w:r w:rsidR="003B64AC">
              <w:rPr>
                <w:rFonts w:ascii="Times New Roman" w:eastAsia="Times New Roman" w:hAnsi="Times New Roman" w:cs="Times New Roman"/>
                <w:sz w:val="24"/>
                <w:szCs w:val="24"/>
              </w:rPr>
              <w:t>gada pārskat</w:t>
            </w:r>
            <w:r w:rsidR="00FB3963">
              <w:rPr>
                <w:rFonts w:ascii="Times New Roman" w:eastAsia="Times New Roman" w:hAnsi="Times New Roman" w:cs="Times New Roman"/>
                <w:sz w:val="24"/>
                <w:szCs w:val="24"/>
              </w:rPr>
              <w:t>i</w:t>
            </w:r>
            <w:r w:rsidR="003B64AC">
              <w:rPr>
                <w:rFonts w:ascii="Times New Roman" w:eastAsia="Times New Roman" w:hAnsi="Times New Roman" w:cs="Times New Roman"/>
                <w:sz w:val="24"/>
                <w:szCs w:val="24"/>
              </w:rPr>
              <w:t xml:space="preserve"> ir publiski pieejam</w:t>
            </w:r>
            <w:r w:rsidR="00FB3963">
              <w:rPr>
                <w:rFonts w:ascii="Times New Roman" w:eastAsia="Times New Roman" w:hAnsi="Times New Roman" w:cs="Times New Roman"/>
                <w:sz w:val="24"/>
                <w:szCs w:val="24"/>
              </w:rPr>
              <w:t>i</w:t>
            </w:r>
            <w:r w:rsidR="003B64AC">
              <w:rPr>
                <w:rFonts w:ascii="Times New Roman" w:eastAsia="Times New Roman" w:hAnsi="Times New Roman" w:cs="Times New Roman"/>
                <w:sz w:val="24"/>
                <w:szCs w:val="24"/>
              </w:rPr>
              <w:t xml:space="preserve">, </w:t>
            </w:r>
            <w:r w:rsidRPr="00573BDC">
              <w:rPr>
                <w:rFonts w:ascii="Times New Roman" w:eastAsia="Times New Roman" w:hAnsi="Times New Roman" w:cs="Times New Roman"/>
                <w:sz w:val="24"/>
                <w:szCs w:val="24"/>
              </w:rPr>
              <w:t xml:space="preserve">nodrošināt sabiedrības informētību par </w:t>
            </w:r>
            <w:r w:rsidR="00FB3963">
              <w:rPr>
                <w:rFonts w:ascii="Times New Roman" w:eastAsia="Times New Roman" w:hAnsi="Times New Roman" w:cs="Times New Roman"/>
                <w:sz w:val="24"/>
                <w:szCs w:val="24"/>
              </w:rPr>
              <w:t>ieguldījumu plāna un pensiju plāna</w:t>
            </w:r>
            <w:r w:rsidRPr="00573BDC">
              <w:rPr>
                <w:rFonts w:ascii="Times New Roman" w:eastAsia="Times New Roman" w:hAnsi="Times New Roman" w:cs="Times New Roman"/>
                <w:sz w:val="24"/>
                <w:szCs w:val="24"/>
              </w:rPr>
              <w:t xml:space="preserve"> finansiālo stāvokli un </w:t>
            </w:r>
            <w:r w:rsidRPr="00573BDC">
              <w:rPr>
                <w:rFonts w:ascii="Times New Roman" w:eastAsia="Times New Roman" w:hAnsi="Times New Roman" w:cs="Times New Roman"/>
                <w:sz w:val="24"/>
                <w:szCs w:val="24"/>
              </w:rPr>
              <w:lastRenderedPageBreak/>
              <w:t>darbības rādītājiem un ļaut ieinteresētajām personām pieņemt individuālus lēmumus, saņemot finanšu pakalpojumus.</w:t>
            </w:r>
          </w:p>
          <w:p w14:paraId="28D32265" w14:textId="32181122" w:rsidR="00BB1B0C" w:rsidRPr="00F00503" w:rsidRDefault="0057360C" w:rsidP="00C22386">
            <w:pPr>
              <w:spacing w:after="120"/>
              <w:jc w:val="both"/>
              <w:rPr>
                <w:rFonts w:ascii="Times New Roman" w:hAnsi="Times New Roman" w:cs="Times New Roman"/>
                <w:sz w:val="24"/>
                <w:szCs w:val="24"/>
                <w:highlight w:val="yellow"/>
              </w:rPr>
            </w:pPr>
            <w:r w:rsidRPr="00C63B1D">
              <w:rPr>
                <w:rFonts w:ascii="Times New Roman" w:hAnsi="Times New Roman" w:cs="Times New Roman"/>
                <w:sz w:val="24"/>
                <w:szCs w:val="24"/>
              </w:rPr>
              <w:t xml:space="preserve">Noteikumu projekts pēc apstiprināšanas </w:t>
            </w:r>
            <w:r w:rsidR="00C63B1D" w:rsidRPr="004E57D1">
              <w:rPr>
                <w:rFonts w:ascii="Times New Roman" w:hAnsi="Times New Roman" w:cs="Times New Roman"/>
                <w:sz w:val="24"/>
                <w:szCs w:val="24"/>
              </w:rPr>
              <w:t xml:space="preserve">būs saistošs </w:t>
            </w:r>
            <w:r w:rsidR="00171BCB">
              <w:rPr>
                <w:rFonts w:ascii="Times New Roman" w:hAnsi="Times New Roman" w:cs="Times New Roman"/>
                <w:sz w:val="24"/>
                <w:szCs w:val="24"/>
              </w:rPr>
              <w:t xml:space="preserve">valsts </w:t>
            </w:r>
            <w:proofErr w:type="spellStart"/>
            <w:r w:rsidR="00171BCB">
              <w:rPr>
                <w:rFonts w:ascii="Times New Roman" w:hAnsi="Times New Roman" w:cs="Times New Roman"/>
                <w:sz w:val="24"/>
                <w:szCs w:val="24"/>
              </w:rPr>
              <w:t>fondēto</w:t>
            </w:r>
            <w:proofErr w:type="spellEnd"/>
            <w:r w:rsidR="00171BCB">
              <w:rPr>
                <w:rFonts w:ascii="Times New Roman" w:hAnsi="Times New Roman" w:cs="Times New Roman"/>
                <w:sz w:val="24"/>
                <w:szCs w:val="24"/>
              </w:rPr>
              <w:t xml:space="preserve"> pensiju shēmas līdzekļu pārvaldītājiem</w:t>
            </w:r>
            <w:r w:rsidR="00C63B1D" w:rsidRPr="00C63B1D">
              <w:rPr>
                <w:rFonts w:ascii="Times New Roman" w:hAnsi="Times New Roman" w:cs="Times New Roman"/>
                <w:sz w:val="24"/>
                <w:szCs w:val="24"/>
              </w:rPr>
              <w:t xml:space="preserve"> </w:t>
            </w:r>
            <w:r w:rsidR="00171BCB">
              <w:rPr>
                <w:rFonts w:ascii="Times New Roman" w:hAnsi="Times New Roman" w:cs="Times New Roman"/>
                <w:sz w:val="24"/>
                <w:szCs w:val="24"/>
              </w:rPr>
              <w:t>un privātajiem pensiju fondiem</w:t>
            </w:r>
            <w:r w:rsidR="00187BC0">
              <w:rPr>
                <w:rFonts w:ascii="Times New Roman" w:hAnsi="Times New Roman" w:cs="Times New Roman"/>
                <w:sz w:val="24"/>
                <w:szCs w:val="24"/>
              </w:rPr>
              <w:t>,</w:t>
            </w:r>
            <w:r w:rsidR="00171BCB">
              <w:rPr>
                <w:rFonts w:ascii="Times New Roman" w:hAnsi="Times New Roman" w:cs="Times New Roman"/>
                <w:sz w:val="24"/>
                <w:szCs w:val="24"/>
              </w:rPr>
              <w:t xml:space="preserve"> </w:t>
            </w:r>
            <w:r w:rsidR="00C63B1D" w:rsidRPr="00C63B1D">
              <w:rPr>
                <w:rFonts w:ascii="Times New Roman" w:hAnsi="Times New Roman" w:cs="Times New Roman"/>
                <w:sz w:val="24"/>
                <w:szCs w:val="24"/>
              </w:rPr>
              <w:t xml:space="preserve">sagatavojot </w:t>
            </w:r>
            <w:r w:rsidR="00171BCB">
              <w:rPr>
                <w:rFonts w:ascii="Times New Roman" w:hAnsi="Times New Roman" w:cs="Times New Roman"/>
                <w:sz w:val="24"/>
                <w:szCs w:val="24"/>
              </w:rPr>
              <w:t xml:space="preserve">attiecīgi </w:t>
            </w:r>
            <w:r w:rsidR="004E57D1">
              <w:rPr>
                <w:rFonts w:ascii="Times New Roman" w:hAnsi="Times New Roman" w:cs="Times New Roman"/>
                <w:sz w:val="24"/>
                <w:szCs w:val="24"/>
              </w:rPr>
              <w:t>ieguldījumu plān</w:t>
            </w:r>
            <w:r w:rsidR="00C05D6D">
              <w:rPr>
                <w:rFonts w:ascii="Times New Roman" w:hAnsi="Times New Roman" w:cs="Times New Roman"/>
                <w:sz w:val="24"/>
                <w:szCs w:val="24"/>
              </w:rPr>
              <w:t>a</w:t>
            </w:r>
            <w:r w:rsidR="004E57D1">
              <w:rPr>
                <w:rFonts w:ascii="Times New Roman" w:hAnsi="Times New Roman" w:cs="Times New Roman"/>
                <w:sz w:val="24"/>
                <w:szCs w:val="24"/>
              </w:rPr>
              <w:t xml:space="preserve"> </w:t>
            </w:r>
            <w:r w:rsidR="00171BCB">
              <w:rPr>
                <w:rFonts w:ascii="Times New Roman" w:hAnsi="Times New Roman" w:cs="Times New Roman"/>
                <w:sz w:val="24"/>
                <w:szCs w:val="24"/>
              </w:rPr>
              <w:t xml:space="preserve">un </w:t>
            </w:r>
            <w:r w:rsidR="004E57D1">
              <w:rPr>
                <w:rFonts w:ascii="Times New Roman" w:hAnsi="Times New Roman" w:cs="Times New Roman"/>
                <w:sz w:val="24"/>
                <w:szCs w:val="24"/>
              </w:rPr>
              <w:t>pensiju plān</w:t>
            </w:r>
            <w:r w:rsidR="00C05D6D">
              <w:rPr>
                <w:rFonts w:ascii="Times New Roman" w:hAnsi="Times New Roman" w:cs="Times New Roman"/>
                <w:sz w:val="24"/>
                <w:szCs w:val="24"/>
              </w:rPr>
              <w:t>a</w:t>
            </w:r>
            <w:r w:rsidR="004E57D1">
              <w:rPr>
                <w:rFonts w:ascii="Times New Roman" w:hAnsi="Times New Roman" w:cs="Times New Roman"/>
                <w:sz w:val="24"/>
                <w:szCs w:val="24"/>
              </w:rPr>
              <w:t xml:space="preserve"> </w:t>
            </w:r>
            <w:r w:rsidR="00C63B1D" w:rsidRPr="00C63B1D">
              <w:rPr>
                <w:rFonts w:ascii="Times New Roman" w:hAnsi="Times New Roman" w:cs="Times New Roman"/>
                <w:sz w:val="24"/>
                <w:szCs w:val="24"/>
              </w:rPr>
              <w:t>gada pārskatu</w:t>
            </w:r>
            <w:r w:rsidRPr="00C63B1D">
              <w:rPr>
                <w:rFonts w:ascii="Times New Roman" w:hAnsi="Times New Roman" w:cs="Times New Roman"/>
                <w:sz w:val="24"/>
                <w:szCs w:val="24"/>
              </w:rPr>
              <w:t>.</w:t>
            </w:r>
          </w:p>
        </w:tc>
      </w:tr>
      <w:tr w:rsidR="00A61684" w:rsidRPr="007B1360" w14:paraId="7FF36E12" w14:textId="77777777" w:rsidTr="009B620B">
        <w:tc>
          <w:tcPr>
            <w:tcW w:w="1980" w:type="dxa"/>
          </w:tcPr>
          <w:p w14:paraId="1EC190F5" w14:textId="77777777" w:rsidR="001A2F7D" w:rsidRPr="007B1360" w:rsidRDefault="009E6A95" w:rsidP="00ED3376">
            <w:pPr>
              <w:jc w:val="both"/>
              <w:rPr>
                <w:rFonts w:ascii="Times New Roman" w:hAnsi="Times New Roman" w:cs="Times New Roman"/>
                <w:b/>
                <w:bCs/>
                <w:sz w:val="24"/>
                <w:szCs w:val="24"/>
              </w:rPr>
            </w:pPr>
            <w:r w:rsidRPr="007B1360">
              <w:rPr>
                <w:rFonts w:ascii="Times New Roman" w:hAnsi="Times New Roman" w:cs="Times New Roman"/>
                <w:b/>
                <w:bCs/>
                <w:sz w:val="24"/>
                <w:szCs w:val="24"/>
              </w:rPr>
              <w:lastRenderedPageBreak/>
              <w:t>Leģitīmais mērķis</w:t>
            </w:r>
          </w:p>
          <w:p w14:paraId="486EBB70" w14:textId="319C36F1" w:rsidR="00851C5D" w:rsidRPr="007B1360" w:rsidRDefault="00851C5D" w:rsidP="00494F09">
            <w:pPr>
              <w:jc w:val="both"/>
              <w:rPr>
                <w:rFonts w:ascii="Times New Roman" w:hAnsi="Times New Roman" w:cs="Times New Roman"/>
                <w:sz w:val="24"/>
                <w:szCs w:val="24"/>
              </w:rPr>
            </w:pPr>
          </w:p>
        </w:tc>
        <w:tc>
          <w:tcPr>
            <w:tcW w:w="6379" w:type="dxa"/>
          </w:tcPr>
          <w:p w14:paraId="0E620B5F" w14:textId="77777777" w:rsidR="0057360C" w:rsidRPr="00C710EB" w:rsidRDefault="0057360C" w:rsidP="00C22386">
            <w:pPr>
              <w:spacing w:after="120"/>
              <w:jc w:val="both"/>
              <w:rPr>
                <w:rFonts w:ascii="Times New Roman" w:eastAsia="Times New Roman" w:hAnsi="Times New Roman" w:cs="Times New Roman"/>
                <w:sz w:val="24"/>
                <w:szCs w:val="24"/>
                <w:lang w:eastAsia="lv-LV"/>
              </w:rPr>
            </w:pPr>
            <w:r w:rsidRPr="00C710EB">
              <w:rPr>
                <w:rFonts w:ascii="Times New Roman" w:eastAsia="Times New Roman" w:hAnsi="Times New Roman" w:cs="Times New Roman"/>
                <w:sz w:val="24"/>
                <w:szCs w:val="24"/>
                <w:lang w:eastAsia="lv-LV"/>
              </w:rPr>
              <w:t xml:space="preserve">Noteikumu projekta leģitīmais mērķis ir citu personu tiesību aizsardzība un sabiedrības labklājības nodrošināšana. </w:t>
            </w:r>
          </w:p>
          <w:p w14:paraId="625AF534" w14:textId="1B7C9ABD" w:rsidR="0057360C" w:rsidRPr="00C710EB" w:rsidRDefault="0057360C" w:rsidP="00C22386">
            <w:pPr>
              <w:spacing w:after="120"/>
              <w:jc w:val="both"/>
              <w:rPr>
                <w:rFonts w:ascii="Times New Roman" w:eastAsia="Times New Roman" w:hAnsi="Times New Roman" w:cs="Times New Roman"/>
                <w:sz w:val="24"/>
                <w:szCs w:val="24"/>
                <w:lang w:eastAsia="lv-LV"/>
              </w:rPr>
            </w:pPr>
            <w:r w:rsidRPr="00C710EB">
              <w:rPr>
                <w:rFonts w:ascii="Times New Roman" w:eastAsia="Times New Roman" w:hAnsi="Times New Roman" w:cs="Times New Roman"/>
                <w:sz w:val="24"/>
                <w:szCs w:val="24"/>
                <w:lang w:eastAsia="lv-LV"/>
              </w:rPr>
              <w:t xml:space="preserve">Šo </w:t>
            </w:r>
            <w:proofErr w:type="spellStart"/>
            <w:r w:rsidRPr="00C710EB">
              <w:rPr>
                <w:rFonts w:ascii="Times New Roman" w:eastAsia="Times New Roman" w:hAnsi="Times New Roman" w:cs="Times New Roman"/>
                <w:sz w:val="24"/>
                <w:szCs w:val="24"/>
                <w:lang w:eastAsia="lv-LV"/>
              </w:rPr>
              <w:t>pamattiesību</w:t>
            </w:r>
            <w:proofErr w:type="spellEnd"/>
            <w:r w:rsidRPr="00C710EB">
              <w:rPr>
                <w:rFonts w:ascii="Times New Roman" w:eastAsia="Times New Roman" w:hAnsi="Times New Roman" w:cs="Times New Roman"/>
                <w:sz w:val="24"/>
                <w:szCs w:val="24"/>
                <w:lang w:eastAsia="lv-LV"/>
              </w:rPr>
              <w:t xml:space="preserve"> aizsardzību Latvijas Banka īsteno, nodrošinot finanšu tirgus uzraudzību, kurai ir vitāla nozīme finanšu sistēmas un ekonomiskajā attīstībā, iespējami pilnīgākajā veidā, lai veicinātu sabiedrības uzticēšanos finanšu tirgum un Latvijas Bankai kā konkrēto finanšu tirgus dalībnieku uzraugam, kas nodrošina konkrēt</w:t>
            </w:r>
            <w:r w:rsidR="00E56492" w:rsidRPr="00C710EB">
              <w:rPr>
                <w:rFonts w:ascii="Times New Roman" w:eastAsia="Times New Roman" w:hAnsi="Times New Roman" w:cs="Times New Roman"/>
                <w:sz w:val="24"/>
                <w:szCs w:val="24"/>
                <w:lang w:eastAsia="lv-LV"/>
              </w:rPr>
              <w:t>o</w:t>
            </w:r>
            <w:r w:rsidRPr="00C710EB">
              <w:rPr>
                <w:rFonts w:ascii="Times New Roman" w:eastAsia="Times New Roman" w:hAnsi="Times New Roman" w:cs="Times New Roman"/>
                <w:sz w:val="24"/>
                <w:szCs w:val="24"/>
                <w:lang w:eastAsia="lv-LV"/>
              </w:rPr>
              <w:t xml:space="preserve"> finanšu tirgus dalībnieku tiesisku un sabiedrības interesēm atbilstošu darbību.</w:t>
            </w:r>
          </w:p>
          <w:p w14:paraId="567DC6D9" w14:textId="51F67203" w:rsidR="0057360C" w:rsidRPr="0018544C" w:rsidRDefault="0057360C" w:rsidP="00C22386">
            <w:pPr>
              <w:spacing w:after="120"/>
              <w:jc w:val="both"/>
              <w:rPr>
                <w:rFonts w:ascii="Times New Roman" w:eastAsia="Times New Roman" w:hAnsi="Times New Roman" w:cs="Times New Roman"/>
                <w:sz w:val="24"/>
                <w:szCs w:val="24"/>
                <w:lang w:eastAsia="lv-LV"/>
              </w:rPr>
            </w:pPr>
            <w:r w:rsidRPr="0018544C">
              <w:rPr>
                <w:rFonts w:ascii="Times New Roman" w:eastAsia="Times New Roman" w:hAnsi="Times New Roman" w:cs="Times New Roman"/>
                <w:sz w:val="24"/>
                <w:szCs w:val="24"/>
                <w:lang w:eastAsia="lv-LV"/>
              </w:rPr>
              <w:t xml:space="preserve">Indivīdam kā finanšu tirgus sistēmas </w:t>
            </w:r>
            <w:r w:rsidR="00743F02" w:rsidRPr="0018544C">
              <w:rPr>
                <w:rFonts w:ascii="Times New Roman" w:eastAsia="Times New Roman" w:hAnsi="Times New Roman" w:cs="Times New Roman"/>
                <w:sz w:val="24"/>
                <w:szCs w:val="24"/>
                <w:lang w:eastAsia="lv-LV"/>
              </w:rPr>
              <w:t xml:space="preserve">daļai </w:t>
            </w:r>
            <w:r w:rsidRPr="0018544C">
              <w:rPr>
                <w:rFonts w:ascii="Times New Roman" w:eastAsia="Times New Roman" w:hAnsi="Times New Roman" w:cs="Times New Roman"/>
                <w:sz w:val="24"/>
                <w:szCs w:val="24"/>
                <w:lang w:eastAsia="lv-LV"/>
              </w:rPr>
              <w:t xml:space="preserve">ir būtiski apzināties un saņemt to aizsardzības līmeni, kuru tam nodrošina finanšu tirgus uzraugs jeb Latvijas Banka, un attiecīgi Latvijas Banka finanšu tirgus uzrauga lomā ir atbildīga par tādu pasākumu veikšanu, kas aizsargā indivīda </w:t>
            </w:r>
            <w:proofErr w:type="spellStart"/>
            <w:r w:rsidRPr="0018544C">
              <w:rPr>
                <w:rFonts w:ascii="Times New Roman" w:eastAsia="Times New Roman" w:hAnsi="Times New Roman" w:cs="Times New Roman"/>
                <w:sz w:val="24"/>
                <w:szCs w:val="24"/>
                <w:lang w:eastAsia="lv-LV"/>
              </w:rPr>
              <w:t>pamattiesības</w:t>
            </w:r>
            <w:proofErr w:type="spellEnd"/>
            <w:r w:rsidRPr="0018544C">
              <w:rPr>
                <w:rFonts w:ascii="Times New Roman" w:eastAsia="Times New Roman" w:hAnsi="Times New Roman" w:cs="Times New Roman"/>
                <w:sz w:val="24"/>
                <w:szCs w:val="24"/>
                <w:lang w:eastAsia="lv-LV"/>
              </w:rPr>
              <w:t xml:space="preserve">. Respektīvi, indivīds ir tiesīgs paļauties uz finanšu sistēmas taisnīgu uzraudzību, pretējā gadījumā indivīdam zūd uzticība finanšu sistēmai un motivācija būt </w:t>
            </w:r>
            <w:r w:rsidR="006A7880" w:rsidRPr="0018544C">
              <w:rPr>
                <w:rFonts w:ascii="Times New Roman" w:eastAsia="Times New Roman" w:hAnsi="Times New Roman" w:cs="Times New Roman"/>
                <w:sz w:val="24"/>
                <w:szCs w:val="24"/>
                <w:lang w:eastAsia="lv-LV"/>
              </w:rPr>
              <w:t xml:space="preserve">par </w:t>
            </w:r>
            <w:r w:rsidRPr="0018544C">
              <w:rPr>
                <w:rFonts w:ascii="Times New Roman" w:eastAsia="Times New Roman" w:hAnsi="Times New Roman" w:cs="Times New Roman"/>
                <w:sz w:val="24"/>
                <w:szCs w:val="24"/>
                <w:lang w:eastAsia="lv-LV"/>
              </w:rPr>
              <w:t>šīs sistēmas dalībnieku.</w:t>
            </w:r>
          </w:p>
          <w:p w14:paraId="32424F72" w14:textId="744E8589" w:rsidR="0057360C" w:rsidRPr="00C95A9B" w:rsidRDefault="0057360C" w:rsidP="00C22386">
            <w:pPr>
              <w:spacing w:after="120"/>
              <w:jc w:val="both"/>
              <w:rPr>
                <w:rFonts w:ascii="Times New Roman" w:eastAsia="Times New Roman" w:hAnsi="Times New Roman" w:cs="Times New Roman"/>
                <w:sz w:val="24"/>
                <w:szCs w:val="24"/>
                <w:lang w:eastAsia="lv-LV"/>
              </w:rPr>
            </w:pPr>
            <w:r w:rsidRPr="00C95A9B">
              <w:rPr>
                <w:rFonts w:ascii="Times New Roman" w:eastAsia="Times New Roman" w:hAnsi="Times New Roman" w:cs="Times New Roman"/>
                <w:sz w:val="24"/>
                <w:szCs w:val="24"/>
                <w:lang w:eastAsia="lv-LV"/>
              </w:rPr>
              <w:t xml:space="preserve">Nosakot tirgus dalībniekiem </w:t>
            </w:r>
            <w:r w:rsidR="00C95A9B" w:rsidRPr="00C95A9B">
              <w:rPr>
                <w:rFonts w:ascii="Times New Roman" w:eastAsia="Times New Roman" w:hAnsi="Times New Roman" w:cs="Times New Roman"/>
                <w:sz w:val="24"/>
                <w:szCs w:val="24"/>
                <w:lang w:eastAsia="lv-LV"/>
              </w:rPr>
              <w:t xml:space="preserve">vienotas </w:t>
            </w:r>
            <w:r w:rsidRPr="00C95A9B">
              <w:rPr>
                <w:rFonts w:ascii="Times New Roman" w:eastAsia="Times New Roman" w:hAnsi="Times New Roman" w:cs="Times New Roman"/>
                <w:sz w:val="24"/>
                <w:szCs w:val="24"/>
                <w:lang w:eastAsia="lv-LV"/>
              </w:rPr>
              <w:t xml:space="preserve">prasības </w:t>
            </w:r>
            <w:r w:rsidR="00FB3963">
              <w:rPr>
                <w:rFonts w:ascii="Times New Roman" w:eastAsia="Times New Roman" w:hAnsi="Times New Roman" w:cs="Times New Roman"/>
                <w:sz w:val="24"/>
                <w:szCs w:val="24"/>
                <w:lang w:eastAsia="lv-LV"/>
              </w:rPr>
              <w:t xml:space="preserve">ieguldījumu plāna un pensiju plāna </w:t>
            </w:r>
            <w:r w:rsidR="00C95A9B" w:rsidRPr="00C95A9B">
              <w:rPr>
                <w:rFonts w:ascii="Times New Roman" w:eastAsia="Times New Roman" w:hAnsi="Times New Roman" w:cs="Times New Roman"/>
                <w:sz w:val="24"/>
                <w:szCs w:val="24"/>
                <w:lang w:eastAsia="lv-LV"/>
              </w:rPr>
              <w:t xml:space="preserve">gada pārskata sagatavošanai </w:t>
            </w:r>
            <w:r w:rsidRPr="00C95A9B">
              <w:rPr>
                <w:rFonts w:ascii="Times New Roman" w:eastAsia="Times New Roman" w:hAnsi="Times New Roman" w:cs="Times New Roman"/>
                <w:sz w:val="24"/>
                <w:szCs w:val="24"/>
                <w:lang w:eastAsia="lv-LV"/>
              </w:rPr>
              <w:t>un veicot prasību ievērošanas pārbaudes, Latvijas Banka nodrošina tai Latvijas Bankas likumā noteikto pienākumu</w:t>
            </w:r>
            <w:r w:rsidR="0039219C" w:rsidRPr="00C95A9B">
              <w:rPr>
                <w:rFonts w:ascii="Times New Roman" w:eastAsia="Times New Roman" w:hAnsi="Times New Roman" w:cs="Times New Roman"/>
                <w:sz w:val="24"/>
                <w:szCs w:val="24"/>
                <w:lang w:eastAsia="lv-LV"/>
              </w:rPr>
              <w:t xml:space="preserve"> – </w:t>
            </w:r>
            <w:r w:rsidRPr="00C95A9B">
              <w:rPr>
                <w:rFonts w:ascii="Times New Roman" w:eastAsia="Times New Roman" w:hAnsi="Times New Roman" w:cs="Times New Roman"/>
                <w:sz w:val="24"/>
                <w:szCs w:val="24"/>
                <w:lang w:eastAsia="lv-LV"/>
              </w:rPr>
              <w:t>veicināt ieguldītāju un noguldītāju interešu aizsardzību un finanšu tirgus ilgtspējīgu attīstību un stabilitāti</w:t>
            </w:r>
            <w:r w:rsidR="0039219C" w:rsidRPr="00C95A9B">
              <w:rPr>
                <w:rFonts w:ascii="Times New Roman" w:eastAsia="Times New Roman" w:hAnsi="Times New Roman" w:cs="Times New Roman"/>
                <w:sz w:val="24"/>
                <w:szCs w:val="24"/>
                <w:lang w:eastAsia="lv-LV"/>
              </w:rPr>
              <w:t> –</w:t>
            </w:r>
            <w:r w:rsidRPr="00C95A9B">
              <w:rPr>
                <w:rFonts w:ascii="Times New Roman" w:eastAsia="Times New Roman" w:hAnsi="Times New Roman" w:cs="Times New Roman"/>
                <w:sz w:val="24"/>
                <w:szCs w:val="24"/>
                <w:lang w:eastAsia="lv-LV"/>
              </w:rPr>
              <w:t xml:space="preserve"> izpildi.</w:t>
            </w:r>
          </w:p>
          <w:p w14:paraId="0D809133" w14:textId="30060004" w:rsidR="00120B7E" w:rsidRPr="00C95A9B" w:rsidRDefault="00D44481" w:rsidP="00C22386">
            <w:pPr>
              <w:spacing w:after="120"/>
              <w:jc w:val="both"/>
              <w:rPr>
                <w:rFonts w:ascii="Times New Roman" w:hAnsi="Times New Roman" w:cs="Times New Roman"/>
                <w:sz w:val="24"/>
                <w:szCs w:val="24"/>
              </w:rPr>
            </w:pPr>
            <w:r w:rsidRPr="00C95A9B">
              <w:rPr>
                <w:rFonts w:ascii="Times New Roman" w:hAnsi="Times New Roman" w:cs="Times New Roman"/>
                <w:sz w:val="24"/>
                <w:szCs w:val="24"/>
              </w:rPr>
              <w:t>Savukārt leģitīmais mērķis – citu personu tiesību aizsardzība</w:t>
            </w:r>
            <w:r w:rsidR="001542D5" w:rsidRPr="00C95A9B">
              <w:rPr>
                <w:rFonts w:ascii="Times New Roman" w:hAnsi="Times New Roman" w:cs="Times New Roman"/>
                <w:sz w:val="24"/>
                <w:szCs w:val="24"/>
              </w:rPr>
              <w:t> </w:t>
            </w:r>
            <w:r w:rsidRPr="00C95A9B">
              <w:rPr>
                <w:rFonts w:ascii="Times New Roman" w:hAnsi="Times New Roman" w:cs="Times New Roman"/>
                <w:sz w:val="24"/>
                <w:szCs w:val="24"/>
              </w:rPr>
              <w:t xml:space="preserve">– tiek sasniegts, </w:t>
            </w:r>
            <w:r w:rsidR="00120B7E" w:rsidRPr="00C95A9B">
              <w:rPr>
                <w:rFonts w:ascii="Times New Roman" w:hAnsi="Times New Roman" w:cs="Times New Roman"/>
                <w:sz w:val="24"/>
                <w:szCs w:val="24"/>
              </w:rPr>
              <w:t xml:space="preserve">nodrošinot sabiedrību ar tai nepieciešamo informāciju, lai tā varētu pieņemt izsvērtus lēmumus, pamatojoties uz pieejamo informāciju. </w:t>
            </w:r>
          </w:p>
          <w:p w14:paraId="5B199845" w14:textId="3CC04EA2" w:rsidR="009E6A95" w:rsidRPr="00C710EB" w:rsidRDefault="0057360C" w:rsidP="00C22386">
            <w:pPr>
              <w:spacing w:after="120"/>
              <w:jc w:val="both"/>
              <w:rPr>
                <w:rFonts w:ascii="Times New Roman" w:hAnsi="Times New Roman" w:cs="Times New Roman"/>
                <w:color w:val="FF0000"/>
                <w:sz w:val="24"/>
                <w:szCs w:val="24"/>
                <w:highlight w:val="yellow"/>
              </w:rPr>
            </w:pPr>
            <w:r w:rsidRPr="00C95A9B">
              <w:rPr>
                <w:rFonts w:ascii="Times New Roman" w:eastAsia="Times New Roman" w:hAnsi="Times New Roman" w:cs="Times New Roman"/>
                <w:sz w:val="24"/>
                <w:szCs w:val="24"/>
                <w:lang w:eastAsia="lv-LV"/>
              </w:rPr>
              <w:t xml:space="preserve">Noteikumu projekts ir nepieciešams, lai veicinātu tirgus dalībnieku vienotu izpratni </w:t>
            </w:r>
            <w:r w:rsidR="00C95A9B" w:rsidRPr="00C95A9B">
              <w:rPr>
                <w:rFonts w:ascii="Times New Roman" w:eastAsia="Times New Roman" w:hAnsi="Times New Roman" w:cs="Times New Roman"/>
                <w:sz w:val="24"/>
                <w:szCs w:val="24"/>
                <w:lang w:eastAsia="lv-LV"/>
              </w:rPr>
              <w:t xml:space="preserve">par </w:t>
            </w:r>
            <w:r w:rsidR="00FB3963">
              <w:rPr>
                <w:rFonts w:ascii="Times New Roman" w:eastAsia="Times New Roman" w:hAnsi="Times New Roman" w:cs="Times New Roman"/>
                <w:sz w:val="24"/>
                <w:szCs w:val="24"/>
                <w:lang w:eastAsia="lv-LV"/>
              </w:rPr>
              <w:t xml:space="preserve">ieguldījumu plāna un pensiju plāna </w:t>
            </w:r>
            <w:r w:rsidR="00C95A9B" w:rsidRPr="00C95A9B">
              <w:rPr>
                <w:rFonts w:ascii="Times New Roman" w:eastAsia="Times New Roman" w:hAnsi="Times New Roman" w:cs="Times New Roman"/>
                <w:sz w:val="24"/>
                <w:szCs w:val="24"/>
                <w:lang w:eastAsia="lv-LV"/>
              </w:rPr>
              <w:t>gada pārskata sagatavošanu</w:t>
            </w:r>
            <w:r w:rsidRPr="00C95A9B">
              <w:rPr>
                <w:rFonts w:ascii="Times New Roman" w:eastAsia="Times New Roman" w:hAnsi="Times New Roman" w:cs="Times New Roman"/>
                <w:sz w:val="24"/>
                <w:szCs w:val="24"/>
                <w:lang w:eastAsia="lv-LV"/>
              </w:rPr>
              <w:t>.</w:t>
            </w:r>
            <w:r w:rsidR="00FB6B83" w:rsidRPr="0018544C">
              <w:rPr>
                <w:rFonts w:ascii="Times New Roman" w:eastAsia="Times New Roman" w:hAnsi="Times New Roman" w:cs="Times New Roman"/>
                <w:sz w:val="24"/>
                <w:szCs w:val="24"/>
                <w:lang w:eastAsia="lv-LV"/>
              </w:rPr>
              <w:t xml:space="preserve"> </w:t>
            </w:r>
          </w:p>
        </w:tc>
      </w:tr>
      <w:tr w:rsidR="00A61684" w:rsidRPr="007B1360" w14:paraId="1F6AF38A" w14:textId="77777777" w:rsidTr="009B620B">
        <w:trPr>
          <w:trHeight w:val="557"/>
        </w:trPr>
        <w:tc>
          <w:tcPr>
            <w:tcW w:w="1980" w:type="dxa"/>
          </w:tcPr>
          <w:p w14:paraId="4BE09150" w14:textId="77777777" w:rsidR="001A2F7D" w:rsidRPr="007B1360" w:rsidRDefault="009E6A95" w:rsidP="001A2F7D">
            <w:pPr>
              <w:jc w:val="both"/>
              <w:rPr>
                <w:rFonts w:ascii="Times New Roman" w:hAnsi="Times New Roman" w:cs="Times New Roman"/>
                <w:sz w:val="24"/>
                <w:szCs w:val="24"/>
              </w:rPr>
            </w:pPr>
            <w:r w:rsidRPr="00163E05">
              <w:rPr>
                <w:rFonts w:ascii="Times New Roman" w:hAnsi="Times New Roman" w:cs="Times New Roman"/>
                <w:b/>
                <w:bCs/>
                <w:sz w:val="24"/>
                <w:szCs w:val="24"/>
              </w:rPr>
              <w:t>Samērīgums</w:t>
            </w:r>
          </w:p>
          <w:p w14:paraId="5B2AC1B8" w14:textId="0CC4E8FB" w:rsidR="009B6162" w:rsidRPr="007B1360" w:rsidRDefault="009B6162" w:rsidP="009B6162">
            <w:pPr>
              <w:jc w:val="both"/>
              <w:rPr>
                <w:rFonts w:ascii="Times New Roman" w:hAnsi="Times New Roman" w:cs="Times New Roman"/>
                <w:color w:val="FF0000"/>
                <w:sz w:val="24"/>
                <w:szCs w:val="24"/>
              </w:rPr>
            </w:pPr>
          </w:p>
        </w:tc>
        <w:tc>
          <w:tcPr>
            <w:tcW w:w="6379" w:type="dxa"/>
          </w:tcPr>
          <w:p w14:paraId="3B3913E2" w14:textId="52A47097" w:rsidR="00631049" w:rsidRDefault="004E57D1" w:rsidP="00C22386">
            <w:pPr>
              <w:spacing w:after="120"/>
              <w:jc w:val="both"/>
              <w:rPr>
                <w:rFonts w:ascii="Times New Roman" w:hAnsi="Times New Roman" w:cs="Times New Roman"/>
                <w:sz w:val="24"/>
                <w:szCs w:val="24"/>
              </w:rPr>
            </w:pPr>
            <w:r w:rsidRPr="004E57D1">
              <w:rPr>
                <w:rFonts w:ascii="Times New Roman" w:hAnsi="Times New Roman" w:cs="Times New Roman"/>
                <w:sz w:val="24"/>
                <w:szCs w:val="24"/>
              </w:rPr>
              <w:t xml:space="preserve">Valsts </w:t>
            </w:r>
            <w:proofErr w:type="spellStart"/>
            <w:r w:rsidRPr="004E57D1">
              <w:rPr>
                <w:rFonts w:ascii="Times New Roman" w:hAnsi="Times New Roman" w:cs="Times New Roman"/>
                <w:sz w:val="24"/>
                <w:szCs w:val="24"/>
              </w:rPr>
              <w:t>fondēto</w:t>
            </w:r>
            <w:proofErr w:type="spellEnd"/>
            <w:r w:rsidRPr="004E57D1">
              <w:rPr>
                <w:rFonts w:ascii="Times New Roman" w:hAnsi="Times New Roman" w:cs="Times New Roman"/>
                <w:sz w:val="24"/>
                <w:szCs w:val="24"/>
              </w:rPr>
              <w:t xml:space="preserve"> pensiju shēmas līdzekļu pārvaldītājam un privātajam pensiju fondam</w:t>
            </w:r>
            <w:r w:rsidR="00AC6272" w:rsidRPr="004E57D1">
              <w:rPr>
                <w:rFonts w:ascii="Times New Roman" w:hAnsi="Times New Roman" w:cs="Times New Roman"/>
                <w:sz w:val="24"/>
                <w:szCs w:val="24"/>
              </w:rPr>
              <w:t xml:space="preserve"> attiecīgajos nozares specifiskajos likumos ir noteikts pienākums sagatavot </w:t>
            </w:r>
            <w:r w:rsidRPr="004E57D1">
              <w:rPr>
                <w:rFonts w:ascii="Times New Roman" w:hAnsi="Times New Roman" w:cs="Times New Roman"/>
                <w:sz w:val="24"/>
                <w:szCs w:val="24"/>
              </w:rPr>
              <w:t xml:space="preserve">ieguldījumu plāna un pensiju plāna </w:t>
            </w:r>
            <w:r w:rsidR="00AC6272" w:rsidRPr="004E57D1">
              <w:rPr>
                <w:rFonts w:ascii="Times New Roman" w:hAnsi="Times New Roman" w:cs="Times New Roman"/>
                <w:sz w:val="24"/>
                <w:szCs w:val="24"/>
              </w:rPr>
              <w:t>gada pārskatu</w:t>
            </w:r>
            <w:r w:rsidR="00631049" w:rsidRPr="004E57D1">
              <w:rPr>
                <w:rFonts w:ascii="Times New Roman" w:hAnsi="Times New Roman" w:cs="Times New Roman"/>
                <w:sz w:val="24"/>
                <w:szCs w:val="24"/>
              </w:rPr>
              <w:t>.</w:t>
            </w:r>
            <w:r w:rsidR="00AC6272" w:rsidRPr="009D5D38">
              <w:rPr>
                <w:rFonts w:ascii="Times New Roman" w:hAnsi="Times New Roman" w:cs="Times New Roman"/>
                <w:sz w:val="24"/>
                <w:szCs w:val="24"/>
              </w:rPr>
              <w:t xml:space="preserve"> </w:t>
            </w:r>
          </w:p>
          <w:p w14:paraId="6251B01C" w14:textId="559B92D4" w:rsidR="0057360C" w:rsidRPr="0057360C" w:rsidRDefault="0057360C" w:rsidP="00C22386">
            <w:pPr>
              <w:spacing w:after="120"/>
              <w:jc w:val="both"/>
              <w:rPr>
                <w:rFonts w:ascii="Times New Roman" w:eastAsia="Times New Roman" w:hAnsi="Times New Roman" w:cs="Times New Roman"/>
                <w:sz w:val="24"/>
                <w:szCs w:val="24"/>
              </w:rPr>
            </w:pPr>
            <w:r w:rsidRPr="0018544C">
              <w:rPr>
                <w:rFonts w:ascii="Times New Roman" w:eastAsia="Times New Roman" w:hAnsi="Times New Roman" w:cs="Times New Roman"/>
                <w:sz w:val="24"/>
                <w:szCs w:val="24"/>
              </w:rPr>
              <w:t xml:space="preserve">Līdz ar to atbilstošākais veids, kā noteikt </w:t>
            </w:r>
            <w:r w:rsidR="0018544C" w:rsidRPr="0018544C">
              <w:rPr>
                <w:rFonts w:ascii="Times New Roman" w:eastAsia="Times New Roman" w:hAnsi="Times New Roman" w:cs="Times New Roman"/>
                <w:sz w:val="24"/>
                <w:szCs w:val="24"/>
              </w:rPr>
              <w:t>tirgus dalībniekiem</w:t>
            </w:r>
            <w:r w:rsidRPr="0018544C">
              <w:rPr>
                <w:rFonts w:ascii="Times New Roman" w:eastAsia="Times New Roman" w:hAnsi="Times New Roman" w:cs="Times New Roman"/>
                <w:sz w:val="24"/>
                <w:szCs w:val="24"/>
              </w:rPr>
              <w:t xml:space="preserve"> vienotas </w:t>
            </w:r>
            <w:r w:rsidRPr="00631049">
              <w:rPr>
                <w:rFonts w:ascii="Times New Roman" w:eastAsia="Times New Roman" w:hAnsi="Times New Roman" w:cs="Times New Roman"/>
                <w:sz w:val="24"/>
                <w:szCs w:val="24"/>
              </w:rPr>
              <w:t>prasības</w:t>
            </w:r>
            <w:r w:rsidR="0039219C" w:rsidRPr="00631049">
              <w:rPr>
                <w:rFonts w:ascii="Times New Roman" w:eastAsia="Times New Roman" w:hAnsi="Times New Roman" w:cs="Times New Roman"/>
                <w:sz w:val="24"/>
                <w:szCs w:val="24"/>
              </w:rPr>
              <w:t xml:space="preserve"> </w:t>
            </w:r>
            <w:r w:rsidR="00FB3963">
              <w:rPr>
                <w:rFonts w:ascii="Times New Roman" w:eastAsia="Times New Roman" w:hAnsi="Times New Roman" w:cs="Times New Roman"/>
                <w:sz w:val="24"/>
                <w:szCs w:val="24"/>
              </w:rPr>
              <w:t xml:space="preserve">ieguldījumu plāna un pensiju plāna </w:t>
            </w:r>
            <w:r w:rsidR="00631049" w:rsidRPr="00631049">
              <w:rPr>
                <w:rFonts w:ascii="Times New Roman" w:eastAsia="Times New Roman" w:hAnsi="Times New Roman" w:cs="Times New Roman"/>
                <w:sz w:val="24"/>
                <w:szCs w:val="24"/>
              </w:rPr>
              <w:t>gada pārskata sagatavošanai</w:t>
            </w:r>
            <w:r w:rsidR="0018544C" w:rsidRPr="00631049">
              <w:rPr>
                <w:rFonts w:ascii="Times New Roman" w:eastAsia="Times New Roman" w:hAnsi="Times New Roman" w:cs="Times New Roman"/>
                <w:sz w:val="24"/>
                <w:szCs w:val="24"/>
              </w:rPr>
              <w:t xml:space="preserve">, </w:t>
            </w:r>
            <w:r w:rsidRPr="00631049">
              <w:rPr>
                <w:rFonts w:ascii="Times New Roman" w:eastAsia="Times New Roman" w:hAnsi="Times New Roman" w:cs="Times New Roman"/>
                <w:sz w:val="24"/>
                <w:szCs w:val="24"/>
              </w:rPr>
              <w:t xml:space="preserve">ir izdot </w:t>
            </w:r>
            <w:r w:rsidR="000424A4" w:rsidRPr="00631049">
              <w:rPr>
                <w:rFonts w:ascii="Times New Roman" w:eastAsia="Times New Roman" w:hAnsi="Times New Roman" w:cs="Times New Roman"/>
                <w:sz w:val="24"/>
                <w:szCs w:val="24"/>
              </w:rPr>
              <w:t>t</w:t>
            </w:r>
            <w:r w:rsidR="0018544C" w:rsidRPr="00631049">
              <w:rPr>
                <w:rFonts w:ascii="Times New Roman" w:eastAsia="Times New Roman" w:hAnsi="Times New Roman" w:cs="Times New Roman"/>
                <w:sz w:val="24"/>
                <w:szCs w:val="24"/>
              </w:rPr>
              <w:t>ie</w:t>
            </w:r>
            <w:r w:rsidR="000424A4" w:rsidRPr="00631049">
              <w:rPr>
                <w:rFonts w:ascii="Times New Roman" w:eastAsia="Times New Roman" w:hAnsi="Times New Roman" w:cs="Times New Roman"/>
                <w:sz w:val="24"/>
                <w:szCs w:val="24"/>
              </w:rPr>
              <w:t>m</w:t>
            </w:r>
            <w:r w:rsidRPr="00631049">
              <w:rPr>
                <w:rFonts w:ascii="Times New Roman" w:eastAsia="Times New Roman" w:hAnsi="Times New Roman" w:cs="Times New Roman"/>
                <w:sz w:val="24"/>
                <w:szCs w:val="24"/>
              </w:rPr>
              <w:t xml:space="preserve"> saistošus noteikumus. Citas alternatīvas jautājuma noregulēšanai un vienotu prasību noteikšanai nebūtu efektīvas un nesasniegtu izvirzīto mērķi, jo nenodrošinātu vienveidīgu regulējuma piemērošanu.</w:t>
            </w:r>
          </w:p>
          <w:p w14:paraId="72DE19C1" w14:textId="034AD1F0" w:rsidR="0057360C" w:rsidRPr="0057360C" w:rsidRDefault="0057360C" w:rsidP="00C22386">
            <w:pPr>
              <w:spacing w:after="120"/>
              <w:jc w:val="both"/>
              <w:rPr>
                <w:rFonts w:ascii="Times New Roman" w:eastAsia="Times New Roman" w:hAnsi="Times New Roman" w:cs="Times New Roman"/>
                <w:sz w:val="24"/>
                <w:szCs w:val="24"/>
              </w:rPr>
            </w:pPr>
            <w:r w:rsidRPr="0057360C">
              <w:rPr>
                <w:rFonts w:ascii="Times New Roman" w:eastAsia="Times New Roman" w:hAnsi="Times New Roman" w:cs="Times New Roman"/>
                <w:sz w:val="24"/>
                <w:szCs w:val="24"/>
              </w:rPr>
              <w:lastRenderedPageBreak/>
              <w:t xml:space="preserve">Izraugoties piemērotāko līdzekli leģitīmā mērķa sasniegšanai, Latvijas Banka izvērtēja, ka nebūtu atbilstoši izdot, piemēram, zemāka ranga normatīvos aktus, kuri nebūtu tirgus dalībniekam juridiski saistoši. Turklāt noteikumu </w:t>
            </w:r>
            <w:r w:rsidR="0039219C">
              <w:rPr>
                <w:rFonts w:ascii="Times New Roman" w:eastAsia="Times New Roman" w:hAnsi="Times New Roman" w:cs="Times New Roman"/>
                <w:sz w:val="24"/>
                <w:szCs w:val="24"/>
              </w:rPr>
              <w:t xml:space="preserve">projekta </w:t>
            </w:r>
            <w:r w:rsidRPr="0057360C">
              <w:rPr>
                <w:rFonts w:ascii="Times New Roman" w:eastAsia="Times New Roman" w:hAnsi="Times New Roman" w:cs="Times New Roman"/>
                <w:sz w:val="24"/>
                <w:szCs w:val="24"/>
              </w:rPr>
              <w:t>izstrādi pilnvarojošās normas skaidri norāda uz noteikumu izstrādi.</w:t>
            </w:r>
          </w:p>
          <w:p w14:paraId="12569A52" w14:textId="770EE1CF" w:rsidR="00851C5D" w:rsidRPr="007B1360" w:rsidRDefault="0057360C" w:rsidP="00C22386">
            <w:pPr>
              <w:spacing w:after="120"/>
              <w:jc w:val="both"/>
              <w:rPr>
                <w:rFonts w:ascii="Times New Roman" w:hAnsi="Times New Roman" w:cs="Times New Roman"/>
                <w:sz w:val="24"/>
                <w:szCs w:val="24"/>
              </w:rPr>
            </w:pPr>
            <w:r w:rsidRPr="0057360C">
              <w:rPr>
                <w:rFonts w:ascii="Times New Roman" w:eastAsia="Times New Roman" w:hAnsi="Times New Roman" w:cs="Times New Roman"/>
                <w:sz w:val="24"/>
                <w:szCs w:val="24"/>
              </w:rPr>
              <w:t>Respektīvi, normatīvais akts kopumā un tajā ietvertās tiesību normas atbilst samērīguma principam, jo, pirmkārt, ar noteikumu projekta ieviešanu tiek sasniegts leģitīmais mērķis (</w:t>
            </w:r>
            <w:r w:rsidR="005E667B" w:rsidRPr="00C710EB">
              <w:rPr>
                <w:rFonts w:ascii="Times New Roman" w:eastAsia="Times New Roman" w:hAnsi="Times New Roman" w:cs="Times New Roman"/>
                <w:sz w:val="24"/>
                <w:szCs w:val="24"/>
                <w:lang w:eastAsia="lv-LV"/>
              </w:rPr>
              <w:t>citu personu tiesību aizsardzība un sabiedrības labklājības nodrošināšana</w:t>
            </w:r>
            <w:r w:rsidRPr="0057360C">
              <w:rPr>
                <w:rFonts w:ascii="Times New Roman" w:eastAsia="Times New Roman" w:hAnsi="Times New Roman" w:cs="Times New Roman"/>
                <w:sz w:val="24"/>
                <w:szCs w:val="24"/>
              </w:rPr>
              <w:t xml:space="preserve">). Otrkārt, </w:t>
            </w:r>
            <w:r w:rsidRPr="00631049">
              <w:rPr>
                <w:rFonts w:ascii="Times New Roman" w:eastAsia="Times New Roman" w:hAnsi="Times New Roman" w:cs="Times New Roman"/>
                <w:sz w:val="24"/>
                <w:szCs w:val="24"/>
              </w:rPr>
              <w:t xml:space="preserve">nav iespējams pēc būtības </w:t>
            </w:r>
            <w:r w:rsidR="004E2C66" w:rsidRPr="00631049">
              <w:rPr>
                <w:rFonts w:ascii="Times New Roman" w:eastAsia="Times New Roman" w:hAnsi="Times New Roman" w:cs="Times New Roman"/>
                <w:sz w:val="24"/>
                <w:szCs w:val="24"/>
              </w:rPr>
              <w:t xml:space="preserve">nodrošināt </w:t>
            </w:r>
            <w:r w:rsidRPr="00631049">
              <w:rPr>
                <w:rFonts w:ascii="Times New Roman" w:eastAsia="Times New Roman" w:hAnsi="Times New Roman" w:cs="Times New Roman"/>
                <w:sz w:val="24"/>
                <w:szCs w:val="24"/>
              </w:rPr>
              <w:t xml:space="preserve">sabiedrības </w:t>
            </w:r>
            <w:r w:rsidR="00EA667A" w:rsidRPr="00631049">
              <w:rPr>
                <w:rFonts w:ascii="Times New Roman" w:eastAsia="Times New Roman" w:hAnsi="Times New Roman" w:cs="Times New Roman"/>
                <w:sz w:val="24"/>
                <w:szCs w:val="24"/>
              </w:rPr>
              <w:t>informētīb</w:t>
            </w:r>
            <w:r w:rsidR="004E2C66" w:rsidRPr="00631049">
              <w:rPr>
                <w:rFonts w:ascii="Times New Roman" w:eastAsia="Times New Roman" w:hAnsi="Times New Roman" w:cs="Times New Roman"/>
                <w:sz w:val="24"/>
                <w:szCs w:val="24"/>
              </w:rPr>
              <w:t>u</w:t>
            </w:r>
            <w:r w:rsidR="00DB0246" w:rsidRPr="00631049">
              <w:rPr>
                <w:rFonts w:ascii="Times New Roman" w:eastAsia="Times New Roman" w:hAnsi="Times New Roman" w:cs="Times New Roman"/>
                <w:sz w:val="24"/>
                <w:szCs w:val="24"/>
              </w:rPr>
              <w:t>, saņemot</w:t>
            </w:r>
            <w:r w:rsidR="00B14785" w:rsidRPr="00631049">
              <w:rPr>
                <w:rFonts w:ascii="Times New Roman" w:eastAsia="Times New Roman" w:hAnsi="Times New Roman" w:cs="Times New Roman"/>
                <w:sz w:val="24"/>
                <w:szCs w:val="24"/>
              </w:rPr>
              <w:t xml:space="preserve"> vienotu informāciju</w:t>
            </w:r>
            <w:r w:rsidR="00DB0246" w:rsidRPr="00631049">
              <w:rPr>
                <w:rFonts w:ascii="Times New Roman" w:eastAsia="Times New Roman" w:hAnsi="Times New Roman" w:cs="Times New Roman"/>
                <w:sz w:val="24"/>
                <w:szCs w:val="24"/>
              </w:rPr>
              <w:t>,</w:t>
            </w:r>
            <w:r w:rsidRPr="00631049">
              <w:rPr>
                <w:rFonts w:ascii="Times New Roman" w:eastAsia="Times New Roman" w:hAnsi="Times New Roman" w:cs="Times New Roman"/>
                <w:sz w:val="24"/>
                <w:szCs w:val="24"/>
              </w:rPr>
              <w:t xml:space="preserve"> ar citiem līdzekļiem, kā arī nepastāv tādi alternatīvi līdzekļi, kas sasniegtu leģitīmo mērķi tādā pašā kvalitātē</w:t>
            </w:r>
            <w:r w:rsidRPr="0057360C">
              <w:rPr>
                <w:rFonts w:ascii="Times New Roman" w:eastAsia="Times New Roman" w:hAnsi="Times New Roman" w:cs="Times New Roman"/>
                <w:sz w:val="24"/>
                <w:szCs w:val="24"/>
              </w:rPr>
              <w:t>. Treškārt, sabiedrības labums no normatīvā akta prasību piemērošanas ir lielāks par nelielu papildu slogu un resursu ieguldījumu, kas konkrētajam tirgus dalībniekam varētu rasties ar uzliktajiem pienākumiem.</w:t>
            </w:r>
          </w:p>
        </w:tc>
      </w:tr>
      <w:tr w:rsidR="00A61684" w:rsidRPr="007B1360" w14:paraId="73006DC9" w14:textId="77777777" w:rsidTr="009B620B">
        <w:tc>
          <w:tcPr>
            <w:tcW w:w="1980" w:type="dxa"/>
          </w:tcPr>
          <w:p w14:paraId="57036A8D" w14:textId="75F5C14E" w:rsidR="00ED3376" w:rsidRPr="007B1360" w:rsidRDefault="009E6A95"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lastRenderedPageBreak/>
              <w:t>Spēkā stāšanās</w:t>
            </w:r>
          </w:p>
        </w:tc>
        <w:tc>
          <w:tcPr>
            <w:tcW w:w="6379" w:type="dxa"/>
          </w:tcPr>
          <w:p w14:paraId="5CDD292A" w14:textId="0B8D86AA" w:rsidR="00FB3963" w:rsidRDefault="00FB3963" w:rsidP="00FB3963">
            <w:pPr>
              <w:spacing w:after="1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projekts virzāms apstiprināšanai Latvijas Bankas padomē pēc likumprojekta "Grozījumi Privāto pensiju fondu likumā" (</w:t>
            </w:r>
            <w:r w:rsidR="00C1689F">
              <w:rPr>
                <w:rFonts w:ascii="Times New Roman" w:eastAsia="Times New Roman" w:hAnsi="Times New Roman" w:cs="Times New Roman"/>
                <w:sz w:val="24"/>
                <w:szCs w:val="24"/>
                <w:lang w:eastAsia="lv-LV"/>
              </w:rPr>
              <w:t>63</w:t>
            </w:r>
            <w:r w:rsidR="005C66D7">
              <w:rPr>
                <w:rFonts w:ascii="Times New Roman" w:eastAsia="Times New Roman" w:hAnsi="Times New Roman" w:cs="Times New Roman"/>
                <w:sz w:val="24"/>
                <w:szCs w:val="24"/>
                <w:lang w:eastAsia="lv-LV"/>
              </w:rPr>
              <w:t>4</w:t>
            </w:r>
            <w:r w:rsidR="00C1689F">
              <w:rPr>
                <w:rFonts w:ascii="Times New Roman" w:eastAsia="Times New Roman" w:hAnsi="Times New Roman" w:cs="Times New Roman"/>
                <w:sz w:val="24"/>
                <w:szCs w:val="24"/>
                <w:lang w:eastAsia="lv-LV"/>
              </w:rPr>
              <w:t>/Lp14</w:t>
            </w:r>
            <w:r>
              <w:rPr>
                <w:rFonts w:ascii="Times New Roman" w:eastAsia="Times New Roman" w:hAnsi="Times New Roman" w:cs="Times New Roman"/>
                <w:sz w:val="24"/>
                <w:szCs w:val="24"/>
                <w:lang w:eastAsia="lv-LV"/>
              </w:rPr>
              <w:t>) pieņemšanas Saeimā galīgajā lasījumā un vienlaikus ar Latvijas Bankas noteikumu projektu "</w:t>
            </w:r>
            <w:r w:rsidRPr="00E85B5C">
              <w:rPr>
                <w:rFonts w:ascii="Times New Roman" w:eastAsia="Times New Roman" w:hAnsi="Times New Roman" w:cs="Times New Roman"/>
                <w:sz w:val="24"/>
                <w:szCs w:val="24"/>
                <w:lang w:eastAsia="lv-LV"/>
              </w:rPr>
              <w:t>Kredītiestāžu, ieguldījumu brokeru sabiedrību, ieguldījumu pārvaldes sabiedrību un privāto pensiju fondu gada pārskatu un konsolidēto gada pārskatu noteikumi</w:t>
            </w:r>
            <w:r>
              <w:rPr>
                <w:rFonts w:ascii="Times New Roman" w:eastAsia="Times New Roman" w:hAnsi="Times New Roman" w:cs="Times New Roman"/>
                <w:sz w:val="24"/>
                <w:szCs w:val="24"/>
                <w:lang w:eastAsia="lv-LV"/>
              </w:rPr>
              <w:t xml:space="preserve">", </w:t>
            </w:r>
            <w:r w:rsidR="009C26BD">
              <w:rPr>
                <w:rFonts w:ascii="Times New Roman" w:eastAsia="Times New Roman" w:hAnsi="Times New Roman" w:cs="Times New Roman"/>
                <w:sz w:val="24"/>
                <w:szCs w:val="24"/>
                <w:lang w:eastAsia="lv-LV"/>
              </w:rPr>
              <w:t xml:space="preserve">ar </w:t>
            </w:r>
            <w:r>
              <w:rPr>
                <w:rFonts w:ascii="Times New Roman" w:eastAsia="Times New Roman" w:hAnsi="Times New Roman" w:cs="Times New Roman"/>
                <w:sz w:val="24"/>
                <w:szCs w:val="24"/>
                <w:lang w:eastAsia="lv-LV"/>
              </w:rPr>
              <w:t>kur</w:t>
            </w:r>
            <w:r w:rsidR="009C26BD">
              <w:rPr>
                <w:rFonts w:ascii="Times New Roman" w:eastAsia="Times New Roman" w:hAnsi="Times New Roman" w:cs="Times New Roman"/>
                <w:sz w:val="24"/>
                <w:szCs w:val="24"/>
                <w:lang w:eastAsia="lv-LV"/>
              </w:rPr>
              <w:t>u</w:t>
            </w:r>
            <w:r>
              <w:rPr>
                <w:rFonts w:ascii="Times New Roman" w:eastAsia="Times New Roman" w:hAnsi="Times New Roman" w:cs="Times New Roman"/>
                <w:sz w:val="24"/>
                <w:szCs w:val="24"/>
                <w:lang w:eastAsia="lv-LV"/>
              </w:rPr>
              <w:t xml:space="preserve"> par spēku zaudējušiem </w:t>
            </w:r>
            <w:r w:rsidR="009C26BD">
              <w:rPr>
                <w:rFonts w:ascii="Times New Roman" w:eastAsia="Times New Roman" w:hAnsi="Times New Roman" w:cs="Times New Roman"/>
                <w:sz w:val="24"/>
                <w:szCs w:val="24"/>
                <w:lang w:eastAsia="lv-LV"/>
              </w:rPr>
              <w:t xml:space="preserve">tiks atzīti </w:t>
            </w:r>
            <w:r>
              <w:rPr>
                <w:rFonts w:ascii="Times New Roman" w:eastAsia="Times New Roman" w:hAnsi="Times New Roman" w:cs="Times New Roman"/>
                <w:sz w:val="24"/>
                <w:szCs w:val="24"/>
                <w:lang w:eastAsia="lv-LV"/>
              </w:rPr>
              <w:t>Noteikum</w:t>
            </w:r>
            <w:r w:rsidR="009C26BD">
              <w:rPr>
                <w:rFonts w:ascii="Times New Roman" w:eastAsia="Times New Roman" w:hAnsi="Times New Roman" w:cs="Times New Roman"/>
                <w:sz w:val="24"/>
                <w:szCs w:val="24"/>
                <w:lang w:eastAsia="lv-LV"/>
              </w:rPr>
              <w:t>i</w:t>
            </w:r>
            <w:r>
              <w:rPr>
                <w:rFonts w:ascii="Times New Roman" w:eastAsia="Times New Roman" w:hAnsi="Times New Roman" w:cs="Times New Roman"/>
                <w:sz w:val="24"/>
                <w:szCs w:val="24"/>
                <w:lang w:eastAsia="lv-LV"/>
              </w:rPr>
              <w:t xml:space="preserve"> Nr. 35.</w:t>
            </w:r>
          </w:p>
          <w:p w14:paraId="391B9A6F" w14:textId="4C5CB60B" w:rsidR="00D34E4F" w:rsidRPr="007B1360" w:rsidRDefault="00AA0C6F" w:rsidP="00C22386">
            <w:pPr>
              <w:spacing w:after="120"/>
              <w:jc w:val="both"/>
              <w:rPr>
                <w:rFonts w:ascii="Times New Roman" w:hAnsi="Times New Roman" w:cs="Times New Roman"/>
                <w:sz w:val="24"/>
                <w:szCs w:val="24"/>
              </w:rPr>
            </w:pPr>
            <w:r w:rsidRPr="00E7052B">
              <w:rPr>
                <w:rFonts w:ascii="Times New Roman" w:eastAsia="Times New Roman" w:hAnsi="Times New Roman" w:cs="Times New Roman"/>
                <w:sz w:val="24"/>
                <w:szCs w:val="24"/>
                <w:lang w:eastAsia="lv-LV"/>
              </w:rPr>
              <w:t xml:space="preserve">Noteikumi stājas spēkā nākamajā dienā pēc to publicēšanas oficiālajā izdevumā "Latvijas </w:t>
            </w:r>
            <w:r>
              <w:rPr>
                <w:rFonts w:ascii="Times New Roman" w:eastAsia="Times New Roman" w:hAnsi="Times New Roman" w:cs="Times New Roman"/>
                <w:sz w:val="24"/>
                <w:szCs w:val="24"/>
                <w:lang w:eastAsia="lv-LV"/>
              </w:rPr>
              <w:t>V</w:t>
            </w:r>
            <w:r w:rsidRPr="00E7052B">
              <w:rPr>
                <w:rFonts w:ascii="Times New Roman" w:eastAsia="Times New Roman" w:hAnsi="Times New Roman" w:cs="Times New Roman"/>
                <w:sz w:val="24"/>
                <w:szCs w:val="24"/>
                <w:lang w:eastAsia="lv-LV"/>
              </w:rPr>
              <w:t>ēstnesis"</w:t>
            </w:r>
            <w:r>
              <w:rPr>
                <w:rFonts w:ascii="Times New Roman" w:eastAsia="Times New Roman" w:hAnsi="Times New Roman" w:cs="Times New Roman"/>
                <w:sz w:val="24"/>
                <w:szCs w:val="24"/>
                <w:lang w:eastAsia="lv-LV"/>
              </w:rPr>
              <w:t xml:space="preserve"> atbilstoši Latvijas Bankas likuma 8. panta otrajai daļai</w:t>
            </w:r>
            <w:r w:rsidRPr="00E7052B">
              <w:rPr>
                <w:rFonts w:ascii="Times New Roman" w:eastAsia="Times New Roman" w:hAnsi="Times New Roman" w:cs="Times New Roman"/>
                <w:sz w:val="24"/>
                <w:szCs w:val="24"/>
                <w:lang w:eastAsia="lv-LV"/>
              </w:rPr>
              <w:t>.</w:t>
            </w:r>
          </w:p>
        </w:tc>
      </w:tr>
      <w:tr w:rsidR="00A61684" w:rsidRPr="007B1360" w14:paraId="3E1DDE9F" w14:textId="77777777" w:rsidTr="009B620B">
        <w:tc>
          <w:tcPr>
            <w:tcW w:w="1980" w:type="dxa"/>
          </w:tcPr>
          <w:p w14:paraId="5FBEDEFD" w14:textId="3E1395CD" w:rsidR="00ED3376" w:rsidRPr="007B1360" w:rsidRDefault="009E6A95" w:rsidP="00855326">
            <w:pPr>
              <w:rPr>
                <w:rFonts w:ascii="Times New Roman" w:hAnsi="Times New Roman" w:cs="Times New Roman"/>
                <w:b/>
                <w:bCs/>
                <w:sz w:val="24"/>
                <w:szCs w:val="24"/>
              </w:rPr>
            </w:pPr>
            <w:r w:rsidRPr="007B1360">
              <w:rPr>
                <w:rFonts w:ascii="Times New Roman" w:hAnsi="Times New Roman" w:cs="Times New Roman"/>
                <w:b/>
                <w:bCs/>
                <w:sz w:val="24"/>
                <w:szCs w:val="24"/>
              </w:rPr>
              <w:t>Ietekme uz Latvijas Bankas budžetu</w:t>
            </w:r>
          </w:p>
        </w:tc>
        <w:tc>
          <w:tcPr>
            <w:tcW w:w="6379" w:type="dxa"/>
            <w:shd w:val="clear" w:color="auto" w:fill="auto"/>
          </w:tcPr>
          <w:p w14:paraId="387D687A" w14:textId="65537675" w:rsidR="009E6A95" w:rsidRPr="007B1360" w:rsidRDefault="00952874" w:rsidP="00C22386">
            <w:pPr>
              <w:spacing w:after="120"/>
              <w:jc w:val="both"/>
              <w:rPr>
                <w:rFonts w:ascii="Times New Roman" w:hAnsi="Times New Roman" w:cs="Times New Roman"/>
                <w:sz w:val="24"/>
                <w:szCs w:val="24"/>
              </w:rPr>
            </w:pPr>
            <w:r w:rsidRPr="007B1360">
              <w:rPr>
                <w:rFonts w:ascii="Times New Roman" w:hAnsi="Times New Roman" w:cs="Times New Roman"/>
                <w:sz w:val="24"/>
                <w:szCs w:val="24"/>
              </w:rPr>
              <w:t>Noteikumu izdošana nerada ietekmi uz Latvijas Bankas budžetu.</w:t>
            </w:r>
          </w:p>
        </w:tc>
      </w:tr>
      <w:tr w:rsidR="00A61684" w:rsidRPr="007B1360" w14:paraId="4266A97A" w14:textId="77777777" w:rsidTr="009B620B">
        <w:tc>
          <w:tcPr>
            <w:tcW w:w="1980" w:type="dxa"/>
          </w:tcPr>
          <w:p w14:paraId="2C58F0AD" w14:textId="7C66ADC8" w:rsidR="001A2F7D" w:rsidRPr="007B1360" w:rsidRDefault="0099611F" w:rsidP="00855326">
            <w:pPr>
              <w:rPr>
                <w:rFonts w:ascii="Times New Roman" w:hAnsi="Times New Roman" w:cs="Times New Roman"/>
                <w:b/>
                <w:bCs/>
                <w:color w:val="FF0000"/>
                <w:sz w:val="24"/>
                <w:szCs w:val="24"/>
              </w:rPr>
            </w:pPr>
            <w:r w:rsidRPr="007B1360">
              <w:rPr>
                <w:rFonts w:ascii="Times New Roman" w:hAnsi="Times New Roman" w:cs="Times New Roman"/>
                <w:b/>
                <w:bCs/>
                <w:sz w:val="24"/>
                <w:szCs w:val="24"/>
              </w:rPr>
              <w:t>Administratīvā sloga un izmaksu novērtējums (tirgus dalībniekiem)</w:t>
            </w:r>
          </w:p>
        </w:tc>
        <w:tc>
          <w:tcPr>
            <w:tcW w:w="6379" w:type="dxa"/>
          </w:tcPr>
          <w:p w14:paraId="6B15E7B3" w14:textId="0937D2CE" w:rsidR="009E6A95" w:rsidRPr="007B1360" w:rsidRDefault="0057360C" w:rsidP="00C22386">
            <w:pPr>
              <w:spacing w:after="120"/>
              <w:jc w:val="both"/>
              <w:rPr>
                <w:rFonts w:ascii="Times New Roman" w:hAnsi="Times New Roman" w:cs="Times New Roman"/>
                <w:color w:val="FF0000"/>
                <w:sz w:val="24"/>
                <w:szCs w:val="24"/>
                <w:lang w:eastAsia="lv-LV"/>
              </w:rPr>
            </w:pPr>
            <w:r w:rsidRPr="00316588">
              <w:rPr>
                <w:rFonts w:ascii="Times New Roman" w:eastAsia="Times New Roman" w:hAnsi="Times New Roman" w:cs="Times New Roman"/>
                <w:sz w:val="24"/>
                <w:szCs w:val="24"/>
                <w:lang w:eastAsia="lv-LV"/>
              </w:rPr>
              <w:t>Noteikumu projektā ietverto prasību izdošana jaunā redakcijā</w:t>
            </w:r>
            <w:r w:rsidR="00911FF5" w:rsidRPr="00316588">
              <w:rPr>
                <w:rFonts w:ascii="Times New Roman" w:eastAsia="Times New Roman" w:hAnsi="Times New Roman" w:cs="Times New Roman"/>
                <w:sz w:val="24"/>
                <w:szCs w:val="24"/>
                <w:lang w:eastAsia="lv-LV"/>
              </w:rPr>
              <w:t>, jo ir mainījies šādu noteikumu izdošanas tiesiskais pamats,</w:t>
            </w:r>
            <w:r w:rsidRPr="00316588">
              <w:rPr>
                <w:rFonts w:ascii="Times New Roman" w:eastAsia="Times New Roman" w:hAnsi="Times New Roman" w:cs="Times New Roman"/>
                <w:sz w:val="24"/>
                <w:szCs w:val="24"/>
                <w:lang w:eastAsia="lv-LV"/>
              </w:rPr>
              <w:t xml:space="preserve"> </w:t>
            </w:r>
            <w:r w:rsidR="00A30F49">
              <w:rPr>
                <w:rFonts w:ascii="Times New Roman" w:eastAsia="Times New Roman" w:hAnsi="Times New Roman" w:cs="Times New Roman"/>
                <w:sz w:val="24"/>
                <w:szCs w:val="24"/>
                <w:lang w:eastAsia="lv-LV"/>
              </w:rPr>
              <w:t xml:space="preserve">kā arī </w:t>
            </w:r>
            <w:r w:rsidR="00316588" w:rsidRPr="00316588">
              <w:rPr>
                <w:rFonts w:ascii="Times New Roman" w:eastAsia="Times New Roman" w:hAnsi="Times New Roman" w:cs="Times New Roman"/>
                <w:sz w:val="24"/>
                <w:szCs w:val="24"/>
                <w:lang w:eastAsia="lv-LV"/>
              </w:rPr>
              <w:t xml:space="preserve">Noteikumu Nr. 189 un Noteikumu Nr. 35 prasību </w:t>
            </w:r>
            <w:r w:rsidR="003D3435">
              <w:rPr>
                <w:rFonts w:ascii="Times New Roman" w:eastAsia="Times New Roman" w:hAnsi="Times New Roman" w:cs="Times New Roman"/>
                <w:sz w:val="24"/>
                <w:szCs w:val="24"/>
                <w:lang w:eastAsia="lv-LV"/>
              </w:rPr>
              <w:t>apvienošana</w:t>
            </w:r>
            <w:r w:rsidR="00316588" w:rsidRPr="00316588">
              <w:rPr>
                <w:rFonts w:ascii="Times New Roman" w:eastAsia="Times New Roman" w:hAnsi="Times New Roman" w:cs="Times New Roman"/>
                <w:sz w:val="24"/>
                <w:szCs w:val="24"/>
                <w:lang w:eastAsia="lv-LV"/>
              </w:rPr>
              <w:t xml:space="preserve"> </w:t>
            </w:r>
            <w:r w:rsidRPr="00316588">
              <w:rPr>
                <w:rFonts w:ascii="Times New Roman" w:eastAsia="Times New Roman" w:hAnsi="Times New Roman" w:cs="Times New Roman"/>
                <w:sz w:val="24"/>
                <w:szCs w:val="24"/>
                <w:lang w:eastAsia="lv-LV"/>
              </w:rPr>
              <w:t>nerada papildu administratīvo slogu tirgus dalībniekiem, uz kuriem ir attiecināmas noteikumu projekta prasības.</w:t>
            </w:r>
          </w:p>
        </w:tc>
      </w:tr>
      <w:tr w:rsidR="00A61684" w:rsidRPr="007B1360" w14:paraId="78453D7D" w14:textId="77777777" w:rsidTr="009B620B">
        <w:tc>
          <w:tcPr>
            <w:tcW w:w="1980" w:type="dxa"/>
          </w:tcPr>
          <w:p w14:paraId="5AF60CCD" w14:textId="23B3F531" w:rsidR="00ED3376" w:rsidRPr="007B1360" w:rsidRDefault="009E6A95" w:rsidP="00855326">
            <w:pPr>
              <w:rPr>
                <w:rFonts w:ascii="Times New Roman" w:hAnsi="Times New Roman" w:cs="Times New Roman"/>
                <w:b/>
                <w:bCs/>
                <w:color w:val="FF0000"/>
                <w:sz w:val="24"/>
                <w:szCs w:val="24"/>
              </w:rPr>
            </w:pPr>
            <w:r w:rsidRPr="007B1360">
              <w:rPr>
                <w:rFonts w:ascii="Times New Roman" w:hAnsi="Times New Roman" w:cs="Times New Roman"/>
                <w:b/>
                <w:bCs/>
                <w:sz w:val="24"/>
                <w:szCs w:val="24"/>
              </w:rPr>
              <w:t>Saistītie dokumenti</w:t>
            </w:r>
          </w:p>
        </w:tc>
        <w:tc>
          <w:tcPr>
            <w:tcW w:w="6379" w:type="dxa"/>
          </w:tcPr>
          <w:p w14:paraId="49C78AD7" w14:textId="466E70F2" w:rsidR="0039219C" w:rsidRPr="004B1DE5" w:rsidRDefault="0039219C" w:rsidP="00C22386">
            <w:pPr>
              <w:spacing w:after="120"/>
              <w:jc w:val="both"/>
              <w:rPr>
                <w:rFonts w:ascii="Times New Roman" w:eastAsia="Times New Roman" w:hAnsi="Times New Roman" w:cs="Times New Roman"/>
                <w:sz w:val="24"/>
                <w:szCs w:val="24"/>
                <w:lang w:eastAsia="lv-LV"/>
              </w:rPr>
            </w:pPr>
            <w:r w:rsidRPr="004B1DE5">
              <w:rPr>
                <w:rFonts w:ascii="Times New Roman" w:eastAsia="Times New Roman" w:hAnsi="Times New Roman" w:cs="Times New Roman"/>
                <w:sz w:val="24"/>
                <w:szCs w:val="24"/>
                <w:lang w:eastAsia="lv-LV"/>
              </w:rPr>
              <w:t>Ar noteikumu projektu saistītie dokumenti:</w:t>
            </w:r>
          </w:p>
          <w:p w14:paraId="407082DB" w14:textId="045AE2DF" w:rsidR="006A7880" w:rsidRDefault="00631049" w:rsidP="00631049">
            <w:pPr>
              <w:spacing w:after="120"/>
              <w:jc w:val="both"/>
              <w:rPr>
                <w:rFonts w:ascii="Times New Roman" w:eastAsia="Times New Roman" w:hAnsi="Times New Roman" w:cs="Times New Roman"/>
                <w:sz w:val="24"/>
                <w:szCs w:val="24"/>
                <w:lang w:eastAsia="lv-LV"/>
              </w:rPr>
            </w:pPr>
            <w:r w:rsidRPr="004B1DE5">
              <w:rPr>
                <w:rFonts w:ascii="Times New Roman" w:eastAsia="Times New Roman" w:hAnsi="Times New Roman" w:cs="Times New Roman"/>
                <w:sz w:val="24"/>
                <w:szCs w:val="24"/>
                <w:lang w:eastAsia="lv-LV"/>
              </w:rPr>
              <w:t>1)</w:t>
            </w:r>
            <w:r w:rsidR="006177DB">
              <w:rPr>
                <w:rFonts w:ascii="Times New Roman" w:eastAsia="Times New Roman" w:hAnsi="Times New Roman" w:cs="Times New Roman"/>
                <w:sz w:val="24"/>
                <w:szCs w:val="24"/>
                <w:lang w:eastAsia="lv-LV"/>
              </w:rPr>
              <w:t xml:space="preserve"> </w:t>
            </w:r>
            <w:r w:rsidR="00B62FBC">
              <w:rPr>
                <w:rFonts w:ascii="Times New Roman" w:eastAsia="Times New Roman" w:hAnsi="Times New Roman" w:cs="Times New Roman"/>
                <w:sz w:val="24"/>
                <w:szCs w:val="24"/>
                <w:lang w:eastAsia="lv-LV"/>
              </w:rPr>
              <w:t xml:space="preserve">Valsts </w:t>
            </w:r>
            <w:proofErr w:type="spellStart"/>
            <w:r w:rsidR="00B62FBC">
              <w:rPr>
                <w:rFonts w:ascii="Times New Roman" w:eastAsia="Times New Roman" w:hAnsi="Times New Roman" w:cs="Times New Roman"/>
                <w:sz w:val="24"/>
                <w:szCs w:val="24"/>
                <w:lang w:eastAsia="lv-LV"/>
              </w:rPr>
              <w:t>fondēto</w:t>
            </w:r>
            <w:proofErr w:type="spellEnd"/>
            <w:r w:rsidR="00B62FBC">
              <w:rPr>
                <w:rFonts w:ascii="Times New Roman" w:eastAsia="Times New Roman" w:hAnsi="Times New Roman" w:cs="Times New Roman"/>
                <w:sz w:val="24"/>
                <w:szCs w:val="24"/>
                <w:lang w:eastAsia="lv-LV"/>
              </w:rPr>
              <w:t xml:space="preserve"> pensiju</w:t>
            </w:r>
            <w:r w:rsidR="006A7880" w:rsidRPr="004B1DE5">
              <w:rPr>
                <w:rFonts w:ascii="Times New Roman" w:eastAsia="Times New Roman" w:hAnsi="Times New Roman" w:cs="Times New Roman"/>
                <w:sz w:val="24"/>
                <w:szCs w:val="24"/>
                <w:lang w:eastAsia="lv-LV"/>
              </w:rPr>
              <w:t xml:space="preserve"> likums;</w:t>
            </w:r>
          </w:p>
          <w:p w14:paraId="7472711A" w14:textId="4F73E6EC" w:rsidR="00FB3963" w:rsidRPr="004B1DE5" w:rsidRDefault="00FB3963" w:rsidP="00631049">
            <w:pPr>
              <w:spacing w:after="1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 likumprojekts "Grozījumi Privāto pensiju fondu likumā" (</w:t>
            </w:r>
            <w:r w:rsidR="00C1689F">
              <w:rPr>
                <w:rFonts w:ascii="Times New Roman" w:eastAsia="Times New Roman" w:hAnsi="Times New Roman" w:cs="Times New Roman"/>
                <w:sz w:val="24"/>
                <w:szCs w:val="24"/>
                <w:lang w:eastAsia="lv-LV"/>
              </w:rPr>
              <w:t>63</w:t>
            </w:r>
            <w:r w:rsidR="00153B44">
              <w:rPr>
                <w:rFonts w:ascii="Times New Roman" w:eastAsia="Times New Roman" w:hAnsi="Times New Roman" w:cs="Times New Roman"/>
                <w:sz w:val="24"/>
                <w:szCs w:val="24"/>
                <w:lang w:eastAsia="lv-LV"/>
              </w:rPr>
              <w:t>4</w:t>
            </w:r>
            <w:r w:rsidR="00C1689F">
              <w:rPr>
                <w:rFonts w:ascii="Times New Roman" w:eastAsia="Times New Roman" w:hAnsi="Times New Roman" w:cs="Times New Roman"/>
                <w:sz w:val="24"/>
                <w:szCs w:val="24"/>
                <w:lang w:eastAsia="lv-LV"/>
              </w:rPr>
              <w:t>/Lp14</w:t>
            </w:r>
            <w:r>
              <w:rPr>
                <w:rFonts w:ascii="Times New Roman" w:eastAsia="Times New Roman" w:hAnsi="Times New Roman" w:cs="Times New Roman"/>
                <w:sz w:val="24"/>
                <w:szCs w:val="24"/>
                <w:lang w:eastAsia="lv-LV"/>
              </w:rPr>
              <w:t>);</w:t>
            </w:r>
          </w:p>
          <w:p w14:paraId="0F960AA1" w14:textId="0E9099AB" w:rsidR="00631049" w:rsidRPr="004B1DE5" w:rsidRDefault="00FB3963" w:rsidP="00631049">
            <w:pPr>
              <w:spacing w:after="1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3</w:t>
            </w:r>
            <w:r w:rsidR="00631049" w:rsidRPr="004B1DE5">
              <w:rPr>
                <w:rFonts w:ascii="Times New Roman" w:eastAsia="Times New Roman" w:hAnsi="Times New Roman" w:cs="Times New Roman"/>
                <w:sz w:val="24"/>
                <w:szCs w:val="24"/>
                <w:lang w:eastAsia="lv-LV"/>
              </w:rPr>
              <w:t>) Privāto pensiju fondu likums</w:t>
            </w:r>
            <w:r w:rsidR="004B1DE5" w:rsidRPr="004B1DE5">
              <w:rPr>
                <w:rFonts w:ascii="Times New Roman" w:eastAsia="Times New Roman" w:hAnsi="Times New Roman" w:cs="Times New Roman"/>
                <w:sz w:val="24"/>
                <w:szCs w:val="24"/>
                <w:lang w:eastAsia="lv-LV"/>
              </w:rPr>
              <w:t>;</w:t>
            </w:r>
          </w:p>
          <w:p w14:paraId="3758E5EC" w14:textId="0251AB11" w:rsidR="006A7880" w:rsidRPr="004B1DE5" w:rsidRDefault="00FB3963" w:rsidP="00C22386">
            <w:pPr>
              <w:spacing w:after="1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4</w:t>
            </w:r>
            <w:r w:rsidR="004B1DE5" w:rsidRPr="004B1DE5">
              <w:rPr>
                <w:rFonts w:ascii="Times New Roman" w:eastAsia="Times New Roman" w:hAnsi="Times New Roman" w:cs="Times New Roman"/>
                <w:sz w:val="24"/>
                <w:szCs w:val="24"/>
                <w:lang w:eastAsia="lv-LV"/>
              </w:rPr>
              <w:t xml:space="preserve">) </w:t>
            </w:r>
            <w:r w:rsidR="006A7880" w:rsidRPr="004B1DE5">
              <w:rPr>
                <w:rFonts w:ascii="Times New Roman" w:eastAsia="Times New Roman" w:hAnsi="Times New Roman" w:cs="Times New Roman"/>
                <w:sz w:val="24"/>
                <w:szCs w:val="24"/>
                <w:lang w:eastAsia="lv-LV"/>
              </w:rPr>
              <w:t>Noteikumi Nr.</w:t>
            </w:r>
            <w:r w:rsidR="00E007AB" w:rsidRPr="004B1DE5">
              <w:rPr>
                <w:rFonts w:ascii="Times New Roman" w:eastAsia="Times New Roman" w:hAnsi="Times New Roman" w:cs="Times New Roman"/>
                <w:sz w:val="24"/>
                <w:szCs w:val="24"/>
                <w:lang w:eastAsia="lv-LV"/>
              </w:rPr>
              <w:t> </w:t>
            </w:r>
            <w:r w:rsidR="00AA0C6F" w:rsidRPr="004B1DE5">
              <w:rPr>
                <w:rFonts w:ascii="Times New Roman" w:eastAsia="Times New Roman" w:hAnsi="Times New Roman" w:cs="Times New Roman"/>
                <w:sz w:val="24"/>
                <w:szCs w:val="24"/>
                <w:lang w:eastAsia="lv-LV"/>
              </w:rPr>
              <w:t>1</w:t>
            </w:r>
            <w:r w:rsidR="00B62FBC">
              <w:rPr>
                <w:rFonts w:ascii="Times New Roman" w:eastAsia="Times New Roman" w:hAnsi="Times New Roman" w:cs="Times New Roman"/>
                <w:sz w:val="24"/>
                <w:szCs w:val="24"/>
                <w:lang w:eastAsia="lv-LV"/>
              </w:rPr>
              <w:t>89</w:t>
            </w:r>
            <w:r w:rsidR="006A7880" w:rsidRPr="004B1DE5">
              <w:rPr>
                <w:rFonts w:ascii="Times New Roman" w:eastAsia="Times New Roman" w:hAnsi="Times New Roman" w:cs="Times New Roman"/>
                <w:sz w:val="24"/>
                <w:szCs w:val="24"/>
                <w:lang w:eastAsia="lv-LV"/>
              </w:rPr>
              <w:t>;</w:t>
            </w:r>
          </w:p>
          <w:p w14:paraId="302AAD4B" w14:textId="77777777" w:rsidR="00FB3963" w:rsidRDefault="00FB3963" w:rsidP="00B62FBC">
            <w:pPr>
              <w:spacing w:after="1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631049" w:rsidRPr="004B1DE5">
              <w:rPr>
                <w:rFonts w:ascii="Times New Roman" w:eastAsia="Times New Roman" w:hAnsi="Times New Roman" w:cs="Times New Roman"/>
                <w:sz w:val="24"/>
                <w:szCs w:val="24"/>
                <w:lang w:eastAsia="lv-LV"/>
              </w:rPr>
              <w:t>) Noteikumi Nr. 35</w:t>
            </w:r>
            <w:r>
              <w:rPr>
                <w:rFonts w:ascii="Times New Roman" w:eastAsia="Times New Roman" w:hAnsi="Times New Roman" w:cs="Times New Roman"/>
                <w:sz w:val="24"/>
                <w:szCs w:val="24"/>
                <w:lang w:eastAsia="lv-LV"/>
              </w:rPr>
              <w:t>;</w:t>
            </w:r>
          </w:p>
          <w:p w14:paraId="73C763D7" w14:textId="77777777" w:rsidR="00FB3963" w:rsidRDefault="00FB3963" w:rsidP="00B62FBC">
            <w:pPr>
              <w:spacing w:after="1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 Latvijas Bankas noteikumu projekts "</w:t>
            </w:r>
            <w:r w:rsidRPr="00E85B5C">
              <w:rPr>
                <w:rFonts w:ascii="Times New Roman" w:eastAsia="Times New Roman" w:hAnsi="Times New Roman" w:cs="Times New Roman"/>
                <w:sz w:val="24"/>
                <w:szCs w:val="24"/>
                <w:lang w:eastAsia="lv-LV"/>
              </w:rPr>
              <w:t xml:space="preserve">Kredītiestāžu, ieguldījumu brokeru sabiedrību, ieguldījumu pārvaldes </w:t>
            </w:r>
            <w:r w:rsidRPr="00E85B5C">
              <w:rPr>
                <w:rFonts w:ascii="Times New Roman" w:eastAsia="Times New Roman" w:hAnsi="Times New Roman" w:cs="Times New Roman"/>
                <w:sz w:val="24"/>
                <w:szCs w:val="24"/>
                <w:lang w:eastAsia="lv-LV"/>
              </w:rPr>
              <w:lastRenderedPageBreak/>
              <w:t>sabiedrību un privāto pensiju fondu gada pārskatu un konsolidēto gada pārskatu noteikumi</w:t>
            </w:r>
            <w:r>
              <w:rPr>
                <w:rFonts w:ascii="Times New Roman" w:eastAsia="Times New Roman" w:hAnsi="Times New Roman" w:cs="Times New Roman"/>
                <w:sz w:val="24"/>
                <w:szCs w:val="24"/>
                <w:lang w:eastAsia="lv-LV"/>
              </w:rPr>
              <w:t>";</w:t>
            </w:r>
          </w:p>
          <w:p w14:paraId="2C55F282" w14:textId="187B691C" w:rsidR="004B1DE5" w:rsidRPr="00B62FBC" w:rsidRDefault="00FB3963" w:rsidP="00B62FBC">
            <w:pPr>
              <w:spacing w:after="1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7) Starptautiskie grāmatvedības standarti</w:t>
            </w:r>
            <w:r w:rsidR="00B62FBC">
              <w:rPr>
                <w:rFonts w:ascii="Times New Roman" w:eastAsia="Times New Roman" w:hAnsi="Times New Roman" w:cs="Times New Roman"/>
                <w:sz w:val="24"/>
                <w:szCs w:val="24"/>
                <w:lang w:eastAsia="lv-LV"/>
              </w:rPr>
              <w:t>.</w:t>
            </w:r>
          </w:p>
        </w:tc>
      </w:tr>
      <w:tr w:rsidR="00A61684" w:rsidRPr="007B1360" w14:paraId="6E8D0230" w14:textId="77777777" w:rsidTr="009B620B">
        <w:tc>
          <w:tcPr>
            <w:tcW w:w="1980" w:type="dxa"/>
          </w:tcPr>
          <w:p w14:paraId="36731D0A" w14:textId="167D4F7E" w:rsidR="00ED3376" w:rsidRPr="007B1360" w:rsidRDefault="009E6A95"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lastRenderedPageBreak/>
              <w:t>Saskaņošana ar Eiropas Centrālo banku</w:t>
            </w:r>
          </w:p>
        </w:tc>
        <w:tc>
          <w:tcPr>
            <w:tcW w:w="6379" w:type="dxa"/>
          </w:tcPr>
          <w:p w14:paraId="792DD68E" w14:textId="610A1BA8" w:rsidR="009E6A95" w:rsidRPr="007B1360" w:rsidRDefault="0057360C" w:rsidP="00C22386">
            <w:pPr>
              <w:spacing w:after="120"/>
              <w:jc w:val="both"/>
              <w:rPr>
                <w:rFonts w:ascii="Times New Roman" w:hAnsi="Times New Roman" w:cs="Times New Roman"/>
                <w:sz w:val="24"/>
                <w:szCs w:val="24"/>
              </w:rPr>
            </w:pPr>
            <w:r w:rsidRPr="00E7052B">
              <w:rPr>
                <w:rFonts w:ascii="Times New Roman" w:eastAsia="Times New Roman" w:hAnsi="Times New Roman" w:cs="Times New Roman"/>
                <w:sz w:val="24"/>
                <w:szCs w:val="24"/>
                <w:lang w:eastAsia="lv-LV"/>
              </w:rPr>
              <w:t>Noteikumu projektu nav nepieciešams saskaņot ar Eiropas Centrālo banku.</w:t>
            </w:r>
          </w:p>
        </w:tc>
      </w:tr>
      <w:tr w:rsidR="00A61684" w:rsidRPr="007B1360" w14:paraId="48DDCC66" w14:textId="77777777" w:rsidTr="009B620B">
        <w:tc>
          <w:tcPr>
            <w:tcW w:w="1980" w:type="dxa"/>
          </w:tcPr>
          <w:p w14:paraId="58FC4ACD" w14:textId="4767453D" w:rsidR="00ED3376" w:rsidRPr="007B1360" w:rsidRDefault="009E6A95" w:rsidP="00855326">
            <w:pPr>
              <w:rPr>
                <w:rFonts w:ascii="Times New Roman" w:hAnsi="Times New Roman" w:cs="Times New Roman"/>
                <w:b/>
                <w:bCs/>
                <w:sz w:val="24"/>
                <w:szCs w:val="24"/>
              </w:rPr>
            </w:pPr>
            <w:r w:rsidRPr="007B1360">
              <w:rPr>
                <w:rFonts w:ascii="Times New Roman" w:hAnsi="Times New Roman" w:cs="Times New Roman"/>
                <w:b/>
                <w:bCs/>
                <w:sz w:val="24"/>
                <w:szCs w:val="24"/>
              </w:rPr>
              <w:t>Saskaņošana ar citām publiskām un privātām personām</w:t>
            </w:r>
          </w:p>
        </w:tc>
        <w:tc>
          <w:tcPr>
            <w:tcW w:w="6379" w:type="dxa"/>
          </w:tcPr>
          <w:p w14:paraId="39D21799" w14:textId="371422F5" w:rsidR="0041157E" w:rsidRPr="00327536" w:rsidRDefault="0041157E" w:rsidP="0041157E">
            <w:pPr>
              <w:spacing w:after="120"/>
              <w:jc w:val="both"/>
              <w:rPr>
                <w:rFonts w:ascii="Times New Roman" w:eastAsia="Times New Roman" w:hAnsi="Times New Roman" w:cs="Times New Roman"/>
                <w:sz w:val="24"/>
                <w:szCs w:val="24"/>
                <w:lang w:eastAsia="lv-LV"/>
              </w:rPr>
            </w:pPr>
            <w:r w:rsidRPr="00327536">
              <w:rPr>
                <w:rFonts w:ascii="Times New Roman" w:eastAsia="Times New Roman" w:hAnsi="Times New Roman" w:cs="Times New Roman"/>
                <w:sz w:val="24"/>
                <w:szCs w:val="24"/>
                <w:lang w:eastAsia="lv-LV"/>
              </w:rPr>
              <w:t xml:space="preserve">Noteikumu projekts </w:t>
            </w:r>
            <w:r>
              <w:rPr>
                <w:rFonts w:ascii="Times New Roman" w:eastAsia="Times New Roman" w:hAnsi="Times New Roman" w:cs="Times New Roman"/>
                <w:sz w:val="24"/>
                <w:szCs w:val="24"/>
                <w:lang w:eastAsia="lv-LV"/>
              </w:rPr>
              <w:t xml:space="preserve">2024. gada 17. jūlijā </w:t>
            </w:r>
            <w:r w:rsidRPr="00327536">
              <w:rPr>
                <w:rFonts w:ascii="Times New Roman" w:eastAsia="Times New Roman" w:hAnsi="Times New Roman" w:cs="Times New Roman"/>
                <w:sz w:val="24"/>
                <w:szCs w:val="24"/>
                <w:lang w:eastAsia="lv-LV"/>
              </w:rPr>
              <w:t>tik</w:t>
            </w:r>
            <w:r>
              <w:rPr>
                <w:rFonts w:ascii="Times New Roman" w:eastAsia="Times New Roman" w:hAnsi="Times New Roman" w:cs="Times New Roman"/>
                <w:sz w:val="24"/>
                <w:szCs w:val="24"/>
                <w:lang w:eastAsia="lv-LV"/>
              </w:rPr>
              <w:t>a</w:t>
            </w:r>
            <w:r w:rsidRPr="00327536">
              <w:rPr>
                <w:rFonts w:ascii="Times New Roman" w:eastAsia="Times New Roman" w:hAnsi="Times New Roman" w:cs="Times New Roman"/>
                <w:sz w:val="24"/>
                <w:szCs w:val="24"/>
                <w:lang w:eastAsia="lv-LV"/>
              </w:rPr>
              <w:t xml:space="preserve"> publicēts Latvijas Bankas tīmekļvietnes www.bank.lv </w:t>
            </w:r>
            <w:r w:rsidR="00481987">
              <w:rPr>
                <w:rFonts w:ascii="Times New Roman" w:eastAsia="Calibri" w:hAnsi="Times New Roman" w:cs="Times New Roman"/>
                <w:sz w:val="24"/>
                <w:szCs w:val="24"/>
              </w:rPr>
              <w:t xml:space="preserve">sadaļas "Tiesību akti" </w:t>
            </w:r>
            <w:proofErr w:type="spellStart"/>
            <w:r w:rsidR="00481987">
              <w:rPr>
                <w:rFonts w:ascii="Times New Roman" w:eastAsia="Calibri" w:hAnsi="Times New Roman" w:cs="Times New Roman"/>
                <w:sz w:val="24"/>
                <w:szCs w:val="24"/>
              </w:rPr>
              <w:t>apakš</w:t>
            </w:r>
            <w:r w:rsidR="00481987" w:rsidRPr="00F00503">
              <w:rPr>
                <w:rFonts w:ascii="Times New Roman" w:eastAsia="Calibri" w:hAnsi="Times New Roman" w:cs="Times New Roman"/>
                <w:sz w:val="24"/>
                <w:szCs w:val="24"/>
              </w:rPr>
              <w:t>sadaļā</w:t>
            </w:r>
            <w:proofErr w:type="spellEnd"/>
            <w:r w:rsidRPr="00327536">
              <w:rPr>
                <w:rFonts w:ascii="Times New Roman" w:eastAsia="Times New Roman" w:hAnsi="Times New Roman" w:cs="Times New Roman"/>
                <w:sz w:val="24"/>
                <w:szCs w:val="24"/>
                <w:lang w:eastAsia="lv-LV"/>
              </w:rPr>
              <w:t xml:space="preserve"> "Sabiedrības līdzdalība", un par to b</w:t>
            </w:r>
            <w:r>
              <w:rPr>
                <w:rFonts w:ascii="Times New Roman" w:eastAsia="Times New Roman" w:hAnsi="Times New Roman" w:cs="Times New Roman"/>
                <w:sz w:val="24"/>
                <w:szCs w:val="24"/>
                <w:lang w:eastAsia="lv-LV"/>
              </w:rPr>
              <w:t>ija</w:t>
            </w:r>
            <w:r w:rsidRPr="00327536">
              <w:rPr>
                <w:rFonts w:ascii="Times New Roman" w:eastAsia="Times New Roman" w:hAnsi="Times New Roman" w:cs="Times New Roman"/>
                <w:sz w:val="24"/>
                <w:szCs w:val="24"/>
                <w:lang w:eastAsia="lv-LV"/>
              </w:rPr>
              <w:t xml:space="preserve"> iespējama sabiedrības līdzdalība</w:t>
            </w:r>
            <w:r>
              <w:rPr>
                <w:rFonts w:ascii="Times New Roman" w:eastAsia="Times New Roman" w:hAnsi="Times New Roman" w:cs="Times New Roman"/>
                <w:sz w:val="24"/>
                <w:szCs w:val="24"/>
                <w:lang w:eastAsia="lv-LV"/>
              </w:rPr>
              <w:t xml:space="preserve"> </w:t>
            </w:r>
            <w:r w:rsidR="00C35107">
              <w:rPr>
                <w:rFonts w:ascii="Times New Roman" w:eastAsia="Times New Roman" w:hAnsi="Times New Roman" w:cs="Times New Roman"/>
                <w:sz w:val="24"/>
                <w:szCs w:val="24"/>
                <w:lang w:eastAsia="lv-LV"/>
              </w:rPr>
              <w:t xml:space="preserve">līdz </w:t>
            </w:r>
            <w:r w:rsidRPr="00B00336">
              <w:rPr>
                <w:rFonts w:ascii="Times New Roman" w:eastAsia="Times New Roman" w:hAnsi="Times New Roman" w:cs="Times New Roman"/>
                <w:sz w:val="24"/>
                <w:szCs w:val="24"/>
                <w:lang w:eastAsia="lv-LV"/>
              </w:rPr>
              <w:t>202</w:t>
            </w:r>
            <w:r>
              <w:rPr>
                <w:rFonts w:ascii="Times New Roman" w:eastAsia="Times New Roman" w:hAnsi="Times New Roman" w:cs="Times New Roman"/>
                <w:sz w:val="24"/>
                <w:szCs w:val="24"/>
                <w:lang w:eastAsia="lv-LV"/>
              </w:rPr>
              <w:t>4</w:t>
            </w:r>
            <w:r w:rsidRPr="00B00336">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w:t>
            </w:r>
            <w:r w:rsidRPr="00B00336">
              <w:rPr>
                <w:rFonts w:ascii="Times New Roman" w:eastAsia="Times New Roman" w:hAnsi="Times New Roman" w:cs="Times New Roman"/>
                <w:sz w:val="24"/>
                <w:szCs w:val="24"/>
                <w:lang w:eastAsia="lv-LV"/>
              </w:rPr>
              <w:t xml:space="preserve">gada </w:t>
            </w:r>
            <w:r>
              <w:rPr>
                <w:rFonts w:ascii="Times New Roman" w:eastAsia="Times New Roman" w:hAnsi="Times New Roman" w:cs="Times New Roman"/>
                <w:sz w:val="24"/>
                <w:szCs w:val="24"/>
                <w:lang w:eastAsia="lv-LV"/>
              </w:rPr>
              <w:t>31. jūlijam</w:t>
            </w:r>
            <w:r w:rsidRPr="00327536">
              <w:rPr>
                <w:rFonts w:ascii="Times New Roman" w:eastAsia="Times New Roman" w:hAnsi="Times New Roman" w:cs="Times New Roman"/>
                <w:sz w:val="24"/>
                <w:szCs w:val="24"/>
                <w:lang w:eastAsia="lv-LV"/>
              </w:rPr>
              <w:t xml:space="preserve">. </w:t>
            </w:r>
          </w:p>
          <w:p w14:paraId="61CE77FB" w14:textId="0EEC2C34" w:rsidR="00C0271D" w:rsidRPr="007B1360" w:rsidRDefault="00F00503" w:rsidP="00F00503">
            <w:pPr>
              <w:spacing w:after="120"/>
              <w:jc w:val="both"/>
              <w:rPr>
                <w:rFonts w:ascii="Times New Roman" w:hAnsi="Times New Roman" w:cs="Times New Roman"/>
                <w:sz w:val="24"/>
                <w:szCs w:val="24"/>
              </w:rPr>
            </w:pPr>
            <w:r w:rsidRPr="00F00503">
              <w:rPr>
                <w:rFonts w:ascii="Times New Roman" w:eastAsia="Calibri" w:hAnsi="Times New Roman" w:cs="Times New Roman"/>
                <w:sz w:val="24"/>
                <w:szCs w:val="24"/>
              </w:rPr>
              <w:t>Vienlaikus par noteikumu projektu un notiekošo sabiedrības līdzdalību individuāli tik</w:t>
            </w:r>
            <w:r w:rsidR="0041157E">
              <w:rPr>
                <w:rFonts w:ascii="Times New Roman" w:eastAsia="Calibri" w:hAnsi="Times New Roman" w:cs="Times New Roman"/>
                <w:sz w:val="24"/>
                <w:szCs w:val="24"/>
              </w:rPr>
              <w:t>a</w:t>
            </w:r>
            <w:r w:rsidRPr="00F00503">
              <w:rPr>
                <w:rFonts w:ascii="Times New Roman" w:eastAsia="Calibri" w:hAnsi="Times New Roman" w:cs="Times New Roman"/>
                <w:sz w:val="24"/>
                <w:szCs w:val="24"/>
              </w:rPr>
              <w:t xml:space="preserve"> informēta </w:t>
            </w:r>
            <w:r w:rsidRPr="00163E05">
              <w:rPr>
                <w:rFonts w:ascii="Times New Roman" w:eastAsia="Calibri" w:hAnsi="Times New Roman" w:cs="Times New Roman"/>
                <w:sz w:val="24"/>
                <w:szCs w:val="24"/>
              </w:rPr>
              <w:t>Latvijas Finanšu nozares asociācija.</w:t>
            </w:r>
          </w:p>
        </w:tc>
      </w:tr>
      <w:tr w:rsidR="00FC38CB" w:rsidRPr="007B1360" w14:paraId="69C6D010" w14:textId="77777777" w:rsidTr="009B620B">
        <w:tc>
          <w:tcPr>
            <w:tcW w:w="1980" w:type="dxa"/>
          </w:tcPr>
          <w:p w14:paraId="19ED627F" w14:textId="0049A799" w:rsidR="00ED3376" w:rsidRPr="007B1360" w:rsidRDefault="00FC38CB" w:rsidP="00FC38CB">
            <w:pPr>
              <w:jc w:val="both"/>
              <w:rPr>
                <w:rFonts w:ascii="Times New Roman" w:hAnsi="Times New Roman" w:cs="Times New Roman"/>
                <w:sz w:val="24"/>
                <w:szCs w:val="24"/>
              </w:rPr>
            </w:pPr>
            <w:r w:rsidRPr="007B1360">
              <w:rPr>
                <w:rFonts w:ascii="Times New Roman" w:eastAsia="Times New Roman" w:hAnsi="Times New Roman" w:cs="Times New Roman"/>
                <w:b/>
                <w:bCs/>
                <w:sz w:val="24"/>
                <w:szCs w:val="24"/>
                <w:lang w:eastAsia="lv-LV"/>
              </w:rPr>
              <w:t>Saskaņošanas</w:t>
            </w:r>
            <w:r w:rsidRPr="007B1360">
              <w:rPr>
                <w:rFonts w:ascii="Times New Roman" w:eastAsia="Times New Roman" w:hAnsi="Times New Roman" w:cs="Times New Roman"/>
                <w:sz w:val="24"/>
                <w:szCs w:val="24"/>
                <w:lang w:eastAsia="lv-LV"/>
              </w:rPr>
              <w:t xml:space="preserve"> </w:t>
            </w:r>
            <w:r w:rsidRPr="007B1360">
              <w:rPr>
                <w:rFonts w:ascii="Times New Roman" w:eastAsia="Times New Roman" w:hAnsi="Times New Roman" w:cs="Times New Roman"/>
                <w:b/>
                <w:bCs/>
                <w:sz w:val="24"/>
                <w:szCs w:val="24"/>
                <w:lang w:eastAsia="lv-LV"/>
              </w:rPr>
              <w:t>rezultāti</w:t>
            </w:r>
          </w:p>
        </w:tc>
        <w:tc>
          <w:tcPr>
            <w:tcW w:w="6379" w:type="dxa"/>
          </w:tcPr>
          <w:p w14:paraId="42E86DBD" w14:textId="24BD22D0" w:rsidR="0078600A" w:rsidRPr="007B1360" w:rsidRDefault="0041157E" w:rsidP="00DB0246">
            <w:pPr>
              <w:spacing w:after="120"/>
              <w:jc w:val="both"/>
              <w:rPr>
                <w:rFonts w:ascii="Times New Roman" w:hAnsi="Times New Roman" w:cs="Times New Roman"/>
                <w:sz w:val="24"/>
                <w:szCs w:val="24"/>
              </w:rPr>
            </w:pPr>
            <w:r w:rsidRPr="00591E81">
              <w:rPr>
                <w:rFonts w:ascii="Times New Roman" w:eastAsia="Times New Roman" w:hAnsi="Times New Roman" w:cs="Times New Roman"/>
                <w:sz w:val="24"/>
                <w:szCs w:val="24"/>
                <w:lang w:eastAsia="lv-LV"/>
              </w:rPr>
              <w:t xml:space="preserve">Sabiedrības līdzdalības rezultātā </w:t>
            </w:r>
            <w:r w:rsidRPr="00B00336">
              <w:rPr>
                <w:rFonts w:ascii="Times New Roman" w:eastAsia="Times New Roman" w:hAnsi="Times New Roman" w:cs="Times New Roman"/>
                <w:sz w:val="24"/>
                <w:szCs w:val="24"/>
                <w:lang w:eastAsia="lv-LV"/>
              </w:rPr>
              <w:t>Latvijas Finanšu nozares asociācija</w:t>
            </w:r>
            <w:r>
              <w:rPr>
                <w:rFonts w:ascii="Times New Roman" w:eastAsia="Times New Roman" w:hAnsi="Times New Roman" w:cs="Times New Roman"/>
                <w:sz w:val="24"/>
                <w:szCs w:val="24"/>
                <w:lang w:eastAsia="lv-LV"/>
              </w:rPr>
              <w:t xml:space="preserve"> informēja, ka </w:t>
            </w:r>
            <w:r w:rsidRPr="00B00336">
              <w:rPr>
                <w:rFonts w:ascii="Times New Roman" w:eastAsia="Times New Roman" w:hAnsi="Times New Roman" w:cs="Times New Roman"/>
                <w:sz w:val="24"/>
                <w:szCs w:val="24"/>
                <w:lang w:eastAsia="lv-LV"/>
              </w:rPr>
              <w:t>atbalsta noteikumu projekta tālāko virzību</w:t>
            </w:r>
            <w:r>
              <w:rPr>
                <w:rFonts w:ascii="Times New Roman" w:eastAsia="Times New Roman" w:hAnsi="Times New Roman" w:cs="Times New Roman"/>
                <w:sz w:val="24"/>
                <w:szCs w:val="24"/>
                <w:lang w:eastAsia="lv-LV"/>
              </w:rPr>
              <w:t xml:space="preserve">, pievienojot divus komentārus. Viens ierosinājums </w:t>
            </w:r>
            <w:r w:rsidR="00C35107">
              <w:rPr>
                <w:rFonts w:ascii="Times New Roman" w:eastAsia="Times New Roman" w:hAnsi="Times New Roman" w:cs="Times New Roman"/>
                <w:sz w:val="24"/>
                <w:szCs w:val="24"/>
                <w:lang w:eastAsia="lv-LV"/>
              </w:rPr>
              <w:t xml:space="preserve">veikt redakcionālu labojumu </w:t>
            </w:r>
            <w:r>
              <w:rPr>
                <w:rFonts w:ascii="Times New Roman" w:eastAsia="Times New Roman" w:hAnsi="Times New Roman" w:cs="Times New Roman"/>
                <w:sz w:val="24"/>
                <w:szCs w:val="24"/>
                <w:lang w:eastAsia="lv-LV"/>
              </w:rPr>
              <w:t>ņemts vērā, bet par otro ierosinājumu sniegts skaidrojums kopā ar pamatojumu</w:t>
            </w:r>
            <w:r w:rsidR="00FC6320">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kādēļ izmaiņas noteikumu projektā nav nepieciešamas</w:t>
            </w:r>
            <w:r w:rsidR="00D756DA">
              <w:rPr>
                <w:rFonts w:ascii="Times New Roman" w:eastAsia="Times New Roman" w:hAnsi="Times New Roman" w:cs="Times New Roman"/>
                <w:sz w:val="24"/>
                <w:szCs w:val="24"/>
                <w:lang w:eastAsia="lv-LV"/>
              </w:rPr>
              <w:t xml:space="preserve"> (sk. pielikumu)</w:t>
            </w:r>
            <w:r>
              <w:rPr>
                <w:rFonts w:ascii="Times New Roman" w:eastAsia="Times New Roman" w:hAnsi="Times New Roman" w:cs="Times New Roman"/>
                <w:sz w:val="24"/>
                <w:szCs w:val="24"/>
                <w:lang w:eastAsia="lv-LV"/>
              </w:rPr>
              <w:t>.</w:t>
            </w:r>
          </w:p>
        </w:tc>
      </w:tr>
    </w:tbl>
    <w:p w14:paraId="70BC86BD" w14:textId="77777777" w:rsidR="006952E1" w:rsidRDefault="006952E1" w:rsidP="00163E05">
      <w:pPr>
        <w:spacing w:after="0" w:line="240" w:lineRule="auto"/>
        <w:jc w:val="right"/>
        <w:rPr>
          <w:rFonts w:ascii="Times New Roman" w:hAnsi="Times New Roman" w:cs="Times New Roman"/>
          <w:color w:val="000000" w:themeColor="text1"/>
          <w:sz w:val="24"/>
          <w:szCs w:val="24"/>
        </w:rPr>
      </w:pPr>
    </w:p>
    <w:p w14:paraId="1B80D3C9" w14:textId="3849919F" w:rsidR="00272B3D" w:rsidRDefault="00272B3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B4DAE6F" w14:textId="77777777" w:rsidR="00272B3D" w:rsidRDefault="00272B3D" w:rsidP="00272B3D">
      <w:pPr>
        <w:spacing w:after="0" w:line="240" w:lineRule="auto"/>
        <w:rPr>
          <w:rFonts w:ascii="Times New Roman" w:hAnsi="Times New Roman" w:cs="Times New Roman"/>
          <w:color w:val="000000" w:themeColor="text1"/>
          <w:sz w:val="24"/>
          <w:szCs w:val="24"/>
        </w:rPr>
        <w:sectPr w:rsidR="00272B3D" w:rsidSect="00163E05">
          <w:headerReference w:type="default" r:id="rId11"/>
          <w:pgSz w:w="11906" w:h="16838"/>
          <w:pgMar w:top="1440" w:right="1800" w:bottom="1440" w:left="1800" w:header="708" w:footer="708" w:gutter="0"/>
          <w:cols w:space="708"/>
          <w:titlePg/>
          <w:docGrid w:linePitch="360"/>
        </w:sectPr>
      </w:pPr>
    </w:p>
    <w:p w14:paraId="0B0DD5C1" w14:textId="77777777" w:rsidR="00D756DA" w:rsidRPr="0020694F" w:rsidRDefault="00D756DA" w:rsidP="0020694F">
      <w:pPr>
        <w:spacing w:after="0"/>
        <w:jc w:val="right"/>
        <w:rPr>
          <w:rFonts w:ascii="Times New Roman" w:eastAsia="Calibri" w:hAnsi="Times New Roman" w:cs="Times New Roman"/>
          <w:sz w:val="24"/>
          <w:szCs w:val="24"/>
        </w:rPr>
      </w:pPr>
      <w:r w:rsidRPr="0020694F">
        <w:rPr>
          <w:rFonts w:ascii="Times New Roman" w:eastAsia="Calibri" w:hAnsi="Times New Roman" w:cs="Times New Roman"/>
          <w:sz w:val="24"/>
          <w:szCs w:val="24"/>
        </w:rPr>
        <w:lastRenderedPageBreak/>
        <w:t>Pielikums</w:t>
      </w:r>
    </w:p>
    <w:p w14:paraId="4574C759" w14:textId="2CCE0B88" w:rsidR="00D756DA" w:rsidRDefault="00D756DA" w:rsidP="00D756DA">
      <w:pPr>
        <w:spacing w:after="0"/>
        <w:jc w:val="right"/>
        <w:rPr>
          <w:rFonts w:ascii="Times New Roman" w:eastAsia="Calibri" w:hAnsi="Times New Roman" w:cs="Times New Roman"/>
          <w:sz w:val="24"/>
          <w:szCs w:val="24"/>
        </w:rPr>
      </w:pPr>
      <w:r w:rsidRPr="0020694F">
        <w:rPr>
          <w:rFonts w:ascii="Times New Roman" w:eastAsia="Calibri" w:hAnsi="Times New Roman" w:cs="Times New Roman"/>
          <w:sz w:val="24"/>
          <w:szCs w:val="24"/>
        </w:rPr>
        <w:t>Latvijas Bankas noteikumu projekta anotācijai</w:t>
      </w:r>
    </w:p>
    <w:p w14:paraId="0842A1A4" w14:textId="77777777" w:rsidR="00D756DA" w:rsidRDefault="00D756DA" w:rsidP="0020694F">
      <w:pPr>
        <w:spacing w:after="0"/>
        <w:jc w:val="right"/>
        <w:rPr>
          <w:rFonts w:ascii="Times New Roman" w:eastAsia="Calibri" w:hAnsi="Times New Roman" w:cs="Times New Roman"/>
          <w:b/>
          <w:bCs/>
          <w:sz w:val="24"/>
          <w:szCs w:val="24"/>
        </w:rPr>
      </w:pPr>
    </w:p>
    <w:p w14:paraId="5E29A31A" w14:textId="524348F5" w:rsidR="00272B3D" w:rsidRDefault="00D756DA" w:rsidP="00272B3D">
      <w:pPr>
        <w:jc w:val="center"/>
        <w:rPr>
          <w:rFonts w:ascii="Times New Roman" w:eastAsia="Calibri" w:hAnsi="Times New Roman" w:cs="Times New Roman"/>
          <w:b/>
          <w:bCs/>
          <w:sz w:val="24"/>
          <w:szCs w:val="24"/>
        </w:rPr>
      </w:pPr>
      <w:r w:rsidRPr="00D756DA">
        <w:rPr>
          <w:rFonts w:ascii="Times New Roman" w:eastAsia="Calibri" w:hAnsi="Times New Roman" w:cs="Times New Roman"/>
          <w:b/>
          <w:bCs/>
          <w:sz w:val="24"/>
          <w:szCs w:val="24"/>
        </w:rPr>
        <w:t xml:space="preserve">Sabiedrības līdzdalības </w:t>
      </w:r>
      <w:r w:rsidR="00D6542B">
        <w:rPr>
          <w:rFonts w:ascii="Times New Roman" w:eastAsia="Calibri" w:hAnsi="Times New Roman" w:cs="Times New Roman"/>
          <w:b/>
          <w:bCs/>
          <w:sz w:val="24"/>
          <w:szCs w:val="24"/>
        </w:rPr>
        <w:t>gaitā</w:t>
      </w:r>
      <w:r w:rsidR="00D6542B" w:rsidRPr="00D756DA">
        <w:rPr>
          <w:rFonts w:ascii="Times New Roman" w:eastAsia="Calibri" w:hAnsi="Times New Roman" w:cs="Times New Roman"/>
          <w:b/>
          <w:bCs/>
          <w:sz w:val="24"/>
          <w:szCs w:val="24"/>
        </w:rPr>
        <w:t xml:space="preserve"> </w:t>
      </w:r>
      <w:r w:rsidRPr="00D756DA">
        <w:rPr>
          <w:rFonts w:ascii="Times New Roman" w:eastAsia="Calibri" w:hAnsi="Times New Roman" w:cs="Times New Roman"/>
          <w:b/>
          <w:bCs/>
          <w:sz w:val="24"/>
          <w:szCs w:val="24"/>
        </w:rPr>
        <w:t xml:space="preserve">saņemto priekšlikumu </w:t>
      </w:r>
      <w:r w:rsidR="00272B3D">
        <w:rPr>
          <w:rFonts w:ascii="Times New Roman" w:eastAsia="Calibri" w:hAnsi="Times New Roman" w:cs="Times New Roman"/>
          <w:b/>
          <w:bCs/>
          <w:sz w:val="24"/>
          <w:szCs w:val="24"/>
        </w:rPr>
        <w:t xml:space="preserve">par </w:t>
      </w:r>
      <w:r w:rsidR="00272B3D" w:rsidRPr="0090260A">
        <w:rPr>
          <w:rFonts w:ascii="Times New Roman" w:eastAsia="Calibri" w:hAnsi="Times New Roman" w:cs="Times New Roman"/>
          <w:b/>
          <w:bCs/>
          <w:sz w:val="24"/>
          <w:szCs w:val="24"/>
        </w:rPr>
        <w:t>Latvijas Bankas noteikumu projekt</w:t>
      </w:r>
      <w:r w:rsidR="00272B3D">
        <w:rPr>
          <w:rFonts w:ascii="Times New Roman" w:eastAsia="Calibri" w:hAnsi="Times New Roman" w:cs="Times New Roman"/>
          <w:b/>
          <w:bCs/>
          <w:sz w:val="24"/>
          <w:szCs w:val="24"/>
        </w:rPr>
        <w:t>u</w:t>
      </w:r>
      <w:r w:rsidR="00272B3D" w:rsidRPr="0090260A">
        <w:rPr>
          <w:rFonts w:ascii="Times New Roman" w:eastAsia="Calibri" w:hAnsi="Times New Roman" w:cs="Times New Roman"/>
          <w:b/>
          <w:bCs/>
          <w:sz w:val="24"/>
          <w:szCs w:val="24"/>
        </w:rPr>
        <w:t xml:space="preserve"> "Valsts </w:t>
      </w:r>
      <w:proofErr w:type="spellStart"/>
      <w:r w:rsidR="00272B3D" w:rsidRPr="0090260A">
        <w:rPr>
          <w:rFonts w:ascii="Times New Roman" w:eastAsia="Calibri" w:hAnsi="Times New Roman" w:cs="Times New Roman"/>
          <w:b/>
          <w:bCs/>
          <w:sz w:val="24"/>
          <w:szCs w:val="24"/>
        </w:rPr>
        <w:t>fondēto</w:t>
      </w:r>
      <w:proofErr w:type="spellEnd"/>
      <w:r w:rsidR="00272B3D" w:rsidRPr="0090260A">
        <w:rPr>
          <w:rFonts w:ascii="Times New Roman" w:eastAsia="Calibri" w:hAnsi="Times New Roman" w:cs="Times New Roman"/>
          <w:b/>
          <w:bCs/>
          <w:sz w:val="24"/>
          <w:szCs w:val="24"/>
        </w:rPr>
        <w:t xml:space="preserve"> pensiju shēmas ieguldījumu plānu un privāto pensiju fondu pensiju plānu gada pārskata noteikumi"</w:t>
      </w:r>
      <w:r>
        <w:rPr>
          <w:rFonts w:ascii="Times New Roman" w:eastAsia="Calibri" w:hAnsi="Times New Roman" w:cs="Times New Roman"/>
          <w:b/>
          <w:bCs/>
          <w:sz w:val="24"/>
          <w:szCs w:val="24"/>
        </w:rPr>
        <w:t xml:space="preserve"> apkopojums</w:t>
      </w:r>
    </w:p>
    <w:tbl>
      <w:tblPr>
        <w:tblStyle w:val="TableGrid"/>
        <w:tblW w:w="0" w:type="auto"/>
        <w:tblLook w:val="04A0" w:firstRow="1" w:lastRow="0" w:firstColumn="1" w:lastColumn="0" w:noHBand="0" w:noVBand="1"/>
      </w:tblPr>
      <w:tblGrid>
        <w:gridCol w:w="943"/>
        <w:gridCol w:w="4439"/>
        <w:gridCol w:w="4394"/>
        <w:gridCol w:w="4172"/>
      </w:tblGrid>
      <w:tr w:rsidR="00D756DA" w:rsidRPr="00D756DA" w14:paraId="5D048FD1" w14:textId="77777777" w:rsidTr="0020694F">
        <w:tc>
          <w:tcPr>
            <w:tcW w:w="943" w:type="dxa"/>
          </w:tcPr>
          <w:p w14:paraId="2643FDE8" w14:textId="2B10A5DE" w:rsidR="00D756DA" w:rsidRPr="0020694F" w:rsidRDefault="00D756DA" w:rsidP="003F4248">
            <w:pPr>
              <w:rPr>
                <w:rFonts w:ascii="Times New Roman" w:hAnsi="Times New Roman" w:cs="Times New Roman"/>
                <w:b/>
                <w:bCs/>
                <w:sz w:val="24"/>
                <w:szCs w:val="24"/>
              </w:rPr>
            </w:pPr>
            <w:proofErr w:type="spellStart"/>
            <w:r w:rsidRPr="00772972">
              <w:rPr>
                <w:rFonts w:ascii="Times New Roman" w:hAnsi="Times New Roman" w:cs="Times New Roman"/>
                <w:b/>
                <w:bCs/>
                <w:sz w:val="24"/>
                <w:szCs w:val="24"/>
              </w:rPr>
              <w:t>Nr.p.k</w:t>
            </w:r>
            <w:proofErr w:type="spellEnd"/>
            <w:r w:rsidRPr="00772972">
              <w:rPr>
                <w:rFonts w:ascii="Times New Roman" w:hAnsi="Times New Roman" w:cs="Times New Roman"/>
                <w:b/>
                <w:bCs/>
                <w:sz w:val="24"/>
                <w:szCs w:val="24"/>
              </w:rPr>
              <w:t>.</w:t>
            </w:r>
          </w:p>
        </w:tc>
        <w:tc>
          <w:tcPr>
            <w:tcW w:w="4439" w:type="dxa"/>
          </w:tcPr>
          <w:p w14:paraId="7E6300EC" w14:textId="2680F494" w:rsidR="00D756DA" w:rsidRPr="0020694F" w:rsidRDefault="00D756DA" w:rsidP="003F4248">
            <w:pPr>
              <w:rPr>
                <w:rFonts w:ascii="Times New Roman" w:hAnsi="Times New Roman" w:cs="Times New Roman"/>
                <w:b/>
                <w:bCs/>
                <w:sz w:val="24"/>
                <w:szCs w:val="24"/>
              </w:rPr>
            </w:pPr>
            <w:r w:rsidRPr="0020694F">
              <w:rPr>
                <w:rFonts w:ascii="Times New Roman" w:hAnsi="Times New Roman" w:cs="Times New Roman"/>
                <w:b/>
                <w:bCs/>
                <w:sz w:val="24"/>
                <w:szCs w:val="24"/>
              </w:rPr>
              <w:t>Sabiedrības līdzdalībai nodotā projekta redakcija (konkrēta punkta redakcija)</w:t>
            </w:r>
          </w:p>
        </w:tc>
        <w:tc>
          <w:tcPr>
            <w:tcW w:w="4394" w:type="dxa"/>
          </w:tcPr>
          <w:p w14:paraId="37274DD4" w14:textId="3C33AB88" w:rsidR="00D756DA" w:rsidRPr="0020694F" w:rsidRDefault="00D756DA" w:rsidP="003F4248">
            <w:pPr>
              <w:rPr>
                <w:rFonts w:ascii="Times New Roman" w:hAnsi="Times New Roman" w:cs="Times New Roman"/>
                <w:b/>
                <w:bCs/>
                <w:sz w:val="24"/>
                <w:szCs w:val="24"/>
              </w:rPr>
            </w:pPr>
            <w:r w:rsidRPr="0020694F">
              <w:rPr>
                <w:rFonts w:ascii="Times New Roman" w:hAnsi="Times New Roman" w:cs="Times New Roman"/>
                <w:b/>
                <w:bCs/>
                <w:sz w:val="24"/>
                <w:szCs w:val="24"/>
              </w:rPr>
              <w:t>Izteiktais iebildums (priekšlikums) par projekta konkrēto punktu, norādot sabiedrības pārstāvi</w:t>
            </w:r>
          </w:p>
        </w:tc>
        <w:tc>
          <w:tcPr>
            <w:tcW w:w="4172" w:type="dxa"/>
          </w:tcPr>
          <w:p w14:paraId="79E18DA9" w14:textId="25484B1D" w:rsidR="00D756DA" w:rsidRPr="0020694F" w:rsidRDefault="00D756DA" w:rsidP="003F4248">
            <w:pPr>
              <w:rPr>
                <w:rFonts w:ascii="Times New Roman" w:hAnsi="Times New Roman" w:cs="Times New Roman"/>
                <w:b/>
                <w:bCs/>
                <w:sz w:val="24"/>
                <w:szCs w:val="24"/>
              </w:rPr>
            </w:pPr>
            <w:r w:rsidRPr="0020694F">
              <w:rPr>
                <w:rFonts w:ascii="Times New Roman" w:hAnsi="Times New Roman" w:cs="Times New Roman"/>
                <w:b/>
                <w:bCs/>
                <w:sz w:val="24"/>
                <w:szCs w:val="24"/>
              </w:rPr>
              <w:t>Latvijas Bankas viedoklis par izteikto iebildumu (priekšlikumu) un norāde, vai tas ņemts vērā</w:t>
            </w:r>
          </w:p>
        </w:tc>
      </w:tr>
      <w:tr w:rsidR="00D756DA" w14:paraId="6E56CB33" w14:textId="77777777" w:rsidTr="0020694F">
        <w:tc>
          <w:tcPr>
            <w:tcW w:w="943" w:type="dxa"/>
          </w:tcPr>
          <w:p w14:paraId="0CEB42B7" w14:textId="3877A135" w:rsidR="00D756DA" w:rsidRPr="0020694F" w:rsidRDefault="00772972" w:rsidP="003F4248">
            <w:pPr>
              <w:spacing w:before="240"/>
              <w:jc w:val="both"/>
              <w:outlineLvl w:val="0"/>
              <w:rPr>
                <w:rFonts w:ascii="Times New Roman" w:eastAsia="Times New Roman" w:hAnsi="Times New Roman" w:cs="Times New Roman"/>
                <w:b/>
                <w:bCs/>
                <w:sz w:val="24"/>
                <w:szCs w:val="24"/>
                <w:lang w:eastAsia="lv-LV"/>
              </w:rPr>
            </w:pPr>
            <w:r w:rsidRPr="0020694F">
              <w:rPr>
                <w:rFonts w:ascii="Times New Roman" w:eastAsia="Times New Roman" w:hAnsi="Times New Roman" w:cs="Times New Roman"/>
                <w:b/>
                <w:bCs/>
                <w:sz w:val="24"/>
                <w:szCs w:val="24"/>
                <w:lang w:eastAsia="lv-LV"/>
              </w:rPr>
              <w:t>1.</w:t>
            </w:r>
          </w:p>
        </w:tc>
        <w:tc>
          <w:tcPr>
            <w:tcW w:w="4439" w:type="dxa"/>
          </w:tcPr>
          <w:p w14:paraId="130E35D9" w14:textId="197086AC" w:rsidR="00D756DA" w:rsidRPr="0090260A" w:rsidRDefault="00D756DA" w:rsidP="003F4248">
            <w:pPr>
              <w:spacing w:before="240"/>
              <w:jc w:val="both"/>
              <w:outlineLvl w:val="0"/>
              <w:rPr>
                <w:rFonts w:ascii="Times New Roman" w:eastAsia="Times New Roman" w:hAnsi="Times New Roman" w:cs="Times New Roman"/>
                <w:sz w:val="24"/>
                <w:szCs w:val="24"/>
                <w:lang w:eastAsia="lv-LV"/>
              </w:rPr>
            </w:pPr>
            <w:r w:rsidRPr="000023C5">
              <w:rPr>
                <w:rFonts w:ascii="Times New Roman" w:eastAsia="Times New Roman" w:hAnsi="Times New Roman" w:cs="Times New Roman"/>
                <w:sz w:val="24"/>
                <w:szCs w:val="24"/>
                <w:lang w:eastAsia="lv-LV"/>
              </w:rPr>
              <w:t xml:space="preserve">23. </w:t>
            </w:r>
            <w:r w:rsidRPr="0090260A">
              <w:rPr>
                <w:rFonts w:ascii="Times New Roman" w:eastAsia="Times New Roman" w:hAnsi="Times New Roman" w:cs="Times New Roman"/>
                <w:sz w:val="24"/>
                <w:szCs w:val="24"/>
                <w:lang w:eastAsia="lv-LV"/>
              </w:rPr>
              <w:t>Postenī "Iemaksas plānā" privātais pensiju fonds uzrāda pensiju plāna dalībnieku individuālās iemaksas, darba devēju iemaksas, privātā pensiju fonda iemaksas, iemaksas no citiem pensiju fondiem vai plāniem, kā arī pārējās iemaksas. Ieguldījumu plāns šajā postenī uzrāda no Valsts sociālās apdrošināšanas aģentūras saņemtās iemaksas.</w:t>
            </w:r>
          </w:p>
          <w:p w14:paraId="23346F0B" w14:textId="77777777" w:rsidR="00D756DA" w:rsidRPr="000023C5" w:rsidRDefault="00D756DA" w:rsidP="003F4248">
            <w:pPr>
              <w:rPr>
                <w:rFonts w:ascii="Times New Roman" w:hAnsi="Times New Roman" w:cs="Times New Roman"/>
                <w:sz w:val="24"/>
                <w:szCs w:val="24"/>
              </w:rPr>
            </w:pPr>
          </w:p>
        </w:tc>
        <w:tc>
          <w:tcPr>
            <w:tcW w:w="4394" w:type="dxa"/>
          </w:tcPr>
          <w:p w14:paraId="2D94CF17" w14:textId="453F2229" w:rsidR="00D756DA" w:rsidRDefault="00D756DA" w:rsidP="003F4248">
            <w:pP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Latvijas Finanšu nozares asociācija:</w:t>
            </w:r>
          </w:p>
          <w:p w14:paraId="40D973E1" w14:textId="77777777" w:rsidR="00D756DA" w:rsidRPr="0090260A" w:rsidRDefault="00D756DA" w:rsidP="003F4248">
            <w:pPr>
              <w:rPr>
                <w:rFonts w:ascii="Times New Roman" w:eastAsia="Times New Roman" w:hAnsi="Times New Roman" w:cs="Times New Roman"/>
                <w:sz w:val="24"/>
                <w:szCs w:val="24"/>
                <w:lang w:eastAsia="lv-LV"/>
              </w:rPr>
            </w:pPr>
            <w:r w:rsidRPr="0090260A">
              <w:rPr>
                <w:rFonts w:ascii="Times New Roman" w:eastAsia="Times New Roman" w:hAnsi="Times New Roman" w:cs="Times New Roman"/>
                <w:sz w:val="24"/>
                <w:szCs w:val="24"/>
                <w:lang w:eastAsia="lv-LV"/>
              </w:rPr>
              <w:t xml:space="preserve">Ierosinām Noteikumu projekta 23. punkta otrajā teikumā vārdus “Ieguldījumu plāns” aizstāt ar vārdiem “Līdzekļu pārvaldītājs”. </w:t>
            </w:r>
          </w:p>
          <w:p w14:paraId="713F665D" w14:textId="77777777" w:rsidR="00D756DA" w:rsidRPr="000023C5" w:rsidRDefault="00D756DA" w:rsidP="003F4248">
            <w:pPr>
              <w:rPr>
                <w:rFonts w:ascii="Times New Roman" w:hAnsi="Times New Roman" w:cs="Times New Roman"/>
                <w:sz w:val="24"/>
                <w:szCs w:val="24"/>
              </w:rPr>
            </w:pPr>
          </w:p>
        </w:tc>
        <w:tc>
          <w:tcPr>
            <w:tcW w:w="4172" w:type="dxa"/>
          </w:tcPr>
          <w:p w14:paraId="2846DFA5" w14:textId="61764EAE" w:rsidR="00D756DA" w:rsidRDefault="00D756DA" w:rsidP="003F4248">
            <w:pPr>
              <w:rPr>
                <w:rFonts w:ascii="Times New Roman" w:hAnsi="Times New Roman" w:cs="Times New Roman"/>
                <w:sz w:val="24"/>
                <w:szCs w:val="24"/>
              </w:rPr>
            </w:pPr>
            <w:r>
              <w:rPr>
                <w:rFonts w:ascii="Times New Roman" w:hAnsi="Times New Roman" w:cs="Times New Roman"/>
                <w:sz w:val="24"/>
                <w:szCs w:val="24"/>
              </w:rPr>
              <w:t>Ņemts vērā.</w:t>
            </w:r>
          </w:p>
          <w:p w14:paraId="41FE791C" w14:textId="77777777" w:rsidR="00D756DA" w:rsidRDefault="00D756DA" w:rsidP="003F4248">
            <w:pPr>
              <w:rPr>
                <w:rFonts w:ascii="Times New Roman" w:hAnsi="Times New Roman" w:cs="Times New Roman"/>
                <w:sz w:val="24"/>
                <w:szCs w:val="24"/>
              </w:rPr>
            </w:pPr>
            <w:r>
              <w:rPr>
                <w:rFonts w:ascii="Times New Roman" w:hAnsi="Times New Roman" w:cs="Times New Roman"/>
                <w:sz w:val="24"/>
                <w:szCs w:val="24"/>
              </w:rPr>
              <w:t>Noteikumu projekta 23. punkta otro teikumu izteikt šādā redakcijā:</w:t>
            </w:r>
          </w:p>
          <w:p w14:paraId="5A78FB8A" w14:textId="412B6498" w:rsidR="00D756DA" w:rsidRPr="000023C5" w:rsidRDefault="00D756DA" w:rsidP="003F4248">
            <w:pPr>
              <w:rPr>
                <w:rFonts w:ascii="Times New Roman" w:hAnsi="Times New Roman" w:cs="Times New Roman"/>
                <w:sz w:val="24"/>
                <w:szCs w:val="24"/>
              </w:rPr>
            </w:pPr>
            <w:r w:rsidRPr="000C1AE0">
              <w:rPr>
                <w:rFonts w:ascii="Times New Roman" w:eastAsia="Calibri" w:hAnsi="Times New Roman" w:cs="Times New Roman"/>
                <w:sz w:val="24"/>
                <w:szCs w:val="24"/>
              </w:rPr>
              <w:t>"</w:t>
            </w:r>
            <w:r w:rsidRPr="000C1AE0">
              <w:rPr>
                <w:rFonts w:ascii="Times New Roman" w:eastAsia="Times New Roman" w:hAnsi="Times New Roman" w:cs="Times New Roman"/>
                <w:b/>
                <w:bCs/>
                <w:sz w:val="24"/>
                <w:szCs w:val="24"/>
                <w:u w:val="single"/>
                <w:lang w:eastAsia="lv-LV"/>
              </w:rPr>
              <w:t>Līdzekļu pārvaldītājs</w:t>
            </w:r>
            <w:r w:rsidRPr="0090260A">
              <w:rPr>
                <w:rFonts w:ascii="Times New Roman" w:eastAsia="Times New Roman" w:hAnsi="Times New Roman" w:cs="Times New Roman"/>
                <w:sz w:val="24"/>
                <w:szCs w:val="24"/>
                <w:lang w:eastAsia="lv-LV"/>
              </w:rPr>
              <w:t xml:space="preserve"> šajā postenī uzrāda no Valsts sociālās apdrošināšanas aģentūras saņemtās iemaksas</w:t>
            </w:r>
            <w:r>
              <w:rPr>
                <w:rFonts w:ascii="Times New Roman" w:eastAsia="Times New Roman" w:hAnsi="Times New Roman" w:cs="Times New Roman"/>
                <w:sz w:val="24"/>
                <w:szCs w:val="24"/>
                <w:lang w:eastAsia="lv-LV"/>
              </w:rPr>
              <w:t>.</w:t>
            </w:r>
            <w:r w:rsidRPr="000C1AE0">
              <w:rPr>
                <w:rFonts w:ascii="Times New Roman" w:eastAsia="Calibri" w:hAnsi="Times New Roman" w:cs="Times New Roman"/>
                <w:sz w:val="24"/>
                <w:szCs w:val="24"/>
              </w:rPr>
              <w:t>"</w:t>
            </w:r>
          </w:p>
        </w:tc>
      </w:tr>
      <w:tr w:rsidR="00D756DA" w14:paraId="68E2919F" w14:textId="77777777" w:rsidTr="0020694F">
        <w:tc>
          <w:tcPr>
            <w:tcW w:w="943" w:type="dxa"/>
          </w:tcPr>
          <w:p w14:paraId="7DB335FC" w14:textId="7E6E0805" w:rsidR="00D756DA" w:rsidRPr="0020694F" w:rsidRDefault="00772972" w:rsidP="003F4248">
            <w:pPr>
              <w:spacing w:before="240"/>
              <w:jc w:val="both"/>
              <w:outlineLvl w:val="0"/>
              <w:rPr>
                <w:rFonts w:ascii="Times New Roman" w:eastAsia="Times New Roman" w:hAnsi="Times New Roman" w:cs="Times New Roman"/>
                <w:b/>
                <w:bCs/>
                <w:sz w:val="24"/>
                <w:szCs w:val="24"/>
                <w:lang w:eastAsia="lv-LV"/>
              </w:rPr>
            </w:pPr>
            <w:r w:rsidRPr="0020694F">
              <w:rPr>
                <w:rFonts w:ascii="Times New Roman" w:eastAsia="Times New Roman" w:hAnsi="Times New Roman" w:cs="Times New Roman"/>
                <w:b/>
                <w:bCs/>
                <w:sz w:val="24"/>
                <w:szCs w:val="24"/>
                <w:lang w:eastAsia="lv-LV"/>
              </w:rPr>
              <w:t>2.</w:t>
            </w:r>
          </w:p>
        </w:tc>
        <w:tc>
          <w:tcPr>
            <w:tcW w:w="4439" w:type="dxa"/>
          </w:tcPr>
          <w:p w14:paraId="12BE5D37" w14:textId="386B0BDF" w:rsidR="00D756DA" w:rsidRPr="0090260A" w:rsidRDefault="00D756DA" w:rsidP="003F4248">
            <w:pPr>
              <w:spacing w:before="240"/>
              <w:jc w:val="both"/>
              <w:outlineLvl w:val="0"/>
              <w:rPr>
                <w:rFonts w:ascii="Times New Roman" w:eastAsia="Times New Roman" w:hAnsi="Times New Roman" w:cs="Times New Roman"/>
                <w:sz w:val="24"/>
                <w:szCs w:val="24"/>
                <w:lang w:eastAsia="lv-LV"/>
              </w:rPr>
            </w:pPr>
            <w:r w:rsidRPr="000023C5">
              <w:rPr>
                <w:rFonts w:ascii="Times New Roman" w:eastAsia="Times New Roman" w:hAnsi="Times New Roman" w:cs="Times New Roman"/>
                <w:sz w:val="24"/>
                <w:szCs w:val="24"/>
                <w:lang w:eastAsia="lv-LV"/>
              </w:rPr>
              <w:t xml:space="preserve">53. </w:t>
            </w:r>
            <w:r w:rsidRPr="0090260A">
              <w:rPr>
                <w:rFonts w:ascii="Times New Roman" w:eastAsia="Times New Roman" w:hAnsi="Times New Roman" w:cs="Times New Roman"/>
                <w:sz w:val="24"/>
                <w:szCs w:val="24"/>
                <w:lang w:eastAsia="lv-LV"/>
              </w:rPr>
              <w:t>Līdzekļu pārvaldītājs finanšu pārskatu pielikumā kā būtisku sniedz informāciju par maksājumu apmēru par ieguldījumu plāna pārvaldi šādā sadalījumā:</w:t>
            </w:r>
          </w:p>
          <w:p w14:paraId="2C0AB9DC" w14:textId="77777777" w:rsidR="00D756DA" w:rsidRPr="0090260A" w:rsidRDefault="00D756DA" w:rsidP="003F4248">
            <w:pPr>
              <w:keepLines/>
              <w:numPr>
                <w:ilvl w:val="1"/>
                <w:numId w:val="0"/>
              </w:numPr>
              <w:jc w:val="both"/>
              <w:outlineLvl w:val="1"/>
              <w:rPr>
                <w:rFonts w:ascii="Times New Roman" w:eastAsia="Times New Roman" w:hAnsi="Times New Roman" w:cs="Times New Roman"/>
                <w:sz w:val="24"/>
                <w:szCs w:val="24"/>
                <w:lang w:eastAsia="lv-LV"/>
              </w:rPr>
            </w:pPr>
            <w:r w:rsidRPr="000023C5">
              <w:rPr>
                <w:rFonts w:ascii="Times New Roman" w:eastAsia="Times New Roman" w:hAnsi="Times New Roman" w:cs="Times New Roman"/>
                <w:sz w:val="24"/>
                <w:szCs w:val="24"/>
                <w:lang w:eastAsia="lv-LV"/>
              </w:rPr>
              <w:t xml:space="preserve">53.1. </w:t>
            </w:r>
            <w:r w:rsidRPr="0090260A">
              <w:rPr>
                <w:rFonts w:ascii="Times New Roman" w:eastAsia="Times New Roman" w:hAnsi="Times New Roman" w:cs="Times New Roman"/>
                <w:sz w:val="24"/>
                <w:szCs w:val="24"/>
                <w:lang w:eastAsia="lv-LV"/>
              </w:rPr>
              <w:t>maksājumu pastāvīgā daļa, atsevišķi uzrādot maksājumu apmēru līdzekļu pārvaldītājam un līdzekļu turētājam, kā arī maksājumus trešajām personām, kurus veic no ieguldījumu plāna līdzekļiem;</w:t>
            </w:r>
          </w:p>
          <w:p w14:paraId="3288ED36" w14:textId="77777777" w:rsidR="00D756DA" w:rsidRPr="0090260A" w:rsidRDefault="00D756DA" w:rsidP="003F4248">
            <w:pPr>
              <w:keepLines/>
              <w:numPr>
                <w:ilvl w:val="1"/>
                <w:numId w:val="0"/>
              </w:numPr>
              <w:jc w:val="both"/>
              <w:outlineLvl w:val="1"/>
              <w:rPr>
                <w:rFonts w:ascii="Times New Roman" w:eastAsia="Times New Roman" w:hAnsi="Times New Roman" w:cs="Times New Roman"/>
                <w:sz w:val="24"/>
                <w:szCs w:val="24"/>
                <w:lang w:eastAsia="lv-LV"/>
              </w:rPr>
            </w:pPr>
            <w:r w:rsidRPr="000023C5">
              <w:rPr>
                <w:rFonts w:ascii="Times New Roman" w:eastAsia="Times New Roman" w:hAnsi="Times New Roman" w:cs="Times New Roman"/>
                <w:sz w:val="24"/>
                <w:szCs w:val="24"/>
                <w:lang w:eastAsia="lv-LV"/>
              </w:rPr>
              <w:lastRenderedPageBreak/>
              <w:t xml:space="preserve">53.2. </w:t>
            </w:r>
            <w:r w:rsidRPr="0090260A">
              <w:rPr>
                <w:rFonts w:ascii="Times New Roman" w:eastAsia="Times New Roman" w:hAnsi="Times New Roman" w:cs="Times New Roman"/>
                <w:sz w:val="24"/>
                <w:szCs w:val="24"/>
                <w:lang w:eastAsia="lv-LV"/>
              </w:rPr>
              <w:t>maksājumu mainīgā daļa, kas ir atlīdzība līdzekļu pārvaldītājam par ieguldījumu plāna darbības rezultātu;</w:t>
            </w:r>
          </w:p>
          <w:p w14:paraId="4A01049D" w14:textId="77777777" w:rsidR="00D756DA" w:rsidRPr="0090260A" w:rsidRDefault="00D756DA" w:rsidP="003F4248">
            <w:pPr>
              <w:keepLines/>
              <w:numPr>
                <w:ilvl w:val="1"/>
                <w:numId w:val="0"/>
              </w:numPr>
              <w:jc w:val="both"/>
              <w:outlineLvl w:val="1"/>
              <w:rPr>
                <w:rFonts w:ascii="Times New Roman" w:eastAsia="Times New Roman" w:hAnsi="Times New Roman" w:cs="Times New Roman"/>
                <w:sz w:val="24"/>
                <w:szCs w:val="24"/>
                <w:lang w:eastAsia="lv-LV"/>
              </w:rPr>
            </w:pPr>
            <w:r w:rsidRPr="000023C5">
              <w:rPr>
                <w:rFonts w:ascii="Times New Roman" w:eastAsia="Times New Roman" w:hAnsi="Times New Roman" w:cs="Times New Roman"/>
                <w:sz w:val="24"/>
                <w:szCs w:val="24"/>
                <w:lang w:eastAsia="lv-LV"/>
              </w:rPr>
              <w:t xml:space="preserve">53.3. </w:t>
            </w:r>
            <w:r w:rsidRPr="0090260A">
              <w:rPr>
                <w:rFonts w:ascii="Times New Roman" w:eastAsia="Times New Roman" w:hAnsi="Times New Roman" w:cs="Times New Roman"/>
                <w:sz w:val="24"/>
                <w:szCs w:val="24"/>
                <w:lang w:eastAsia="lv-LV"/>
              </w:rPr>
              <w:t>pārējie izdevumi, kurus veic no ieguldījumu plāna līdzekļiem (piemēram, maksājumi par brokeru pakalpojumiem, par darījumiem ar ieguldījumu plāna norēķinu un vērtspapīru kontiem, par nodokļiem un nodevām).</w:t>
            </w:r>
          </w:p>
          <w:p w14:paraId="241AC644" w14:textId="77777777" w:rsidR="00D756DA" w:rsidRPr="000023C5" w:rsidRDefault="00D756DA" w:rsidP="003F4248">
            <w:pPr>
              <w:rPr>
                <w:rFonts w:ascii="Times New Roman" w:hAnsi="Times New Roman" w:cs="Times New Roman"/>
                <w:sz w:val="24"/>
                <w:szCs w:val="24"/>
              </w:rPr>
            </w:pPr>
          </w:p>
        </w:tc>
        <w:tc>
          <w:tcPr>
            <w:tcW w:w="4394" w:type="dxa"/>
          </w:tcPr>
          <w:p w14:paraId="74064ED3" w14:textId="5B70FBE5" w:rsidR="00D756DA" w:rsidRDefault="00D756DA" w:rsidP="003F4248">
            <w:pP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Latvijas Finanšu nozares asociācija:</w:t>
            </w:r>
          </w:p>
          <w:p w14:paraId="3234E044" w14:textId="16A93295" w:rsidR="00D756DA" w:rsidRPr="0090260A" w:rsidRDefault="00D756DA" w:rsidP="003F4248">
            <w:pPr>
              <w:rPr>
                <w:rFonts w:ascii="Times New Roman" w:eastAsia="Times New Roman" w:hAnsi="Times New Roman" w:cs="Times New Roman"/>
                <w:sz w:val="24"/>
                <w:szCs w:val="24"/>
                <w:lang w:eastAsia="lv-LV"/>
              </w:rPr>
            </w:pPr>
            <w:r w:rsidRPr="0090260A">
              <w:rPr>
                <w:rFonts w:ascii="Times New Roman" w:eastAsia="Times New Roman" w:hAnsi="Times New Roman" w:cs="Times New Roman"/>
                <w:sz w:val="24"/>
                <w:szCs w:val="24"/>
                <w:lang w:eastAsia="lv-LV"/>
              </w:rPr>
              <w:t xml:space="preserve">Ierosinām Noteikumu projekta 53.2. apakšpunktā precizēt, vai tajā tiek uzrādīta reāli ieturētā vai arī uzkrātā maksājumu mainīgā daļa, jo maksājumu mainīgā daļa uz gada beigām var būt uzkrāta, bet netikt izmaksāta līdzekļu pārvaldītājam. </w:t>
            </w:r>
          </w:p>
          <w:p w14:paraId="318C6812" w14:textId="77777777" w:rsidR="00D756DA" w:rsidRPr="000023C5" w:rsidRDefault="00D756DA" w:rsidP="003F4248">
            <w:pPr>
              <w:rPr>
                <w:rFonts w:ascii="Times New Roman" w:hAnsi="Times New Roman" w:cs="Times New Roman"/>
                <w:sz w:val="24"/>
                <w:szCs w:val="24"/>
              </w:rPr>
            </w:pPr>
          </w:p>
        </w:tc>
        <w:tc>
          <w:tcPr>
            <w:tcW w:w="4172" w:type="dxa"/>
          </w:tcPr>
          <w:p w14:paraId="57C454F9" w14:textId="77777777" w:rsidR="00222660" w:rsidRDefault="00222660" w:rsidP="003F4248">
            <w:pPr>
              <w:rPr>
                <w:rFonts w:ascii="Times New Roman" w:hAnsi="Times New Roman" w:cs="Times New Roman"/>
                <w:sz w:val="24"/>
                <w:szCs w:val="24"/>
              </w:rPr>
            </w:pPr>
            <w:r>
              <w:rPr>
                <w:rFonts w:ascii="Times New Roman" w:hAnsi="Times New Roman" w:cs="Times New Roman"/>
                <w:sz w:val="24"/>
                <w:szCs w:val="24"/>
              </w:rPr>
              <w:t>Skaidrojums.</w:t>
            </w:r>
          </w:p>
          <w:p w14:paraId="72814C6F" w14:textId="65A721B0" w:rsidR="00D756DA" w:rsidRDefault="00D756DA" w:rsidP="003F4248">
            <w:pPr>
              <w:rPr>
                <w:rFonts w:ascii="Times New Roman" w:hAnsi="Times New Roman" w:cs="Times New Roman"/>
                <w:sz w:val="24"/>
                <w:szCs w:val="24"/>
              </w:rPr>
            </w:pPr>
            <w:r>
              <w:rPr>
                <w:rFonts w:ascii="Times New Roman" w:hAnsi="Times New Roman" w:cs="Times New Roman"/>
                <w:sz w:val="24"/>
                <w:szCs w:val="24"/>
              </w:rPr>
              <w:t xml:space="preserve">Saskaņā ar </w:t>
            </w:r>
            <w:r w:rsidR="00AA7600">
              <w:rPr>
                <w:rFonts w:ascii="Times New Roman" w:hAnsi="Times New Roman" w:cs="Times New Roman"/>
                <w:sz w:val="24"/>
                <w:szCs w:val="24"/>
              </w:rPr>
              <w:t xml:space="preserve">vispārīgo </w:t>
            </w:r>
            <w:r>
              <w:rPr>
                <w:rFonts w:ascii="Times New Roman" w:hAnsi="Times New Roman" w:cs="Times New Roman"/>
                <w:sz w:val="24"/>
                <w:szCs w:val="24"/>
              </w:rPr>
              <w:t xml:space="preserve">finanšu pārskatu sagatavošanas principu, kas minēts noteikumu projekta 31.4. apakšpunktā, un nosaka pienākumu ievērot uzkrāšanas principu, Latvijas Banka skaidro, ka finanšu pārskatos atzīst ienākumus un izdevumus, kas attiecas uz pārskata gadu, neatkarīgi no to saņemšanas vai maksājuma datuma. Uzkrāšanas princips </w:t>
            </w:r>
            <w:r>
              <w:rPr>
                <w:rFonts w:ascii="Times New Roman" w:hAnsi="Times New Roman" w:cs="Times New Roman"/>
                <w:sz w:val="24"/>
                <w:szCs w:val="24"/>
              </w:rPr>
              <w:lastRenderedPageBreak/>
              <w:t>jāievēro arī attiecībā uz noteikumu projekta 53.2. apakšpunktā minētajiem maksājumiem.</w:t>
            </w:r>
          </w:p>
          <w:p w14:paraId="655E2C9E" w14:textId="52CBCCC7" w:rsidR="00D756DA" w:rsidRPr="000023C5" w:rsidRDefault="00222660" w:rsidP="003F4248">
            <w:pPr>
              <w:rPr>
                <w:rFonts w:ascii="Times New Roman" w:hAnsi="Times New Roman" w:cs="Times New Roman"/>
                <w:sz w:val="24"/>
                <w:szCs w:val="24"/>
              </w:rPr>
            </w:pPr>
            <w:r>
              <w:rPr>
                <w:rFonts w:ascii="Times New Roman" w:hAnsi="Times New Roman" w:cs="Times New Roman"/>
                <w:sz w:val="24"/>
                <w:szCs w:val="24"/>
              </w:rPr>
              <w:t xml:space="preserve">Tā kā noteikumu projekta 31.4. apakšpunktā minētais princips attiecas uz visu ienākumu un izdevumu atzīšanu, </w:t>
            </w:r>
            <w:r w:rsidR="00D756DA">
              <w:rPr>
                <w:rFonts w:ascii="Times New Roman" w:hAnsi="Times New Roman" w:cs="Times New Roman"/>
                <w:sz w:val="24"/>
                <w:szCs w:val="24"/>
              </w:rPr>
              <w:t xml:space="preserve">Latvijas Banka uzskata par nepamatotu pievienot atrunu </w:t>
            </w:r>
            <w:r w:rsidR="00FC6320">
              <w:rPr>
                <w:rFonts w:ascii="Times New Roman" w:hAnsi="Times New Roman" w:cs="Times New Roman"/>
                <w:sz w:val="24"/>
                <w:szCs w:val="24"/>
              </w:rPr>
              <w:t xml:space="preserve">noteikumu projekta </w:t>
            </w:r>
            <w:r w:rsidR="00D756DA">
              <w:rPr>
                <w:rFonts w:ascii="Times New Roman" w:hAnsi="Times New Roman" w:cs="Times New Roman"/>
                <w:sz w:val="24"/>
                <w:szCs w:val="24"/>
              </w:rPr>
              <w:t xml:space="preserve">53.2. apakšpunktā par pienākumu ievērot uzkrāšanas principu attiecībā uz </w:t>
            </w:r>
            <w:r w:rsidR="00AA7600">
              <w:rPr>
                <w:rFonts w:ascii="Times New Roman" w:hAnsi="Times New Roman" w:cs="Times New Roman"/>
                <w:sz w:val="24"/>
                <w:szCs w:val="24"/>
              </w:rPr>
              <w:t xml:space="preserve">apakšpunktā </w:t>
            </w:r>
            <w:r w:rsidR="00D756DA">
              <w:rPr>
                <w:rFonts w:ascii="Times New Roman" w:hAnsi="Times New Roman" w:cs="Times New Roman"/>
                <w:sz w:val="24"/>
                <w:szCs w:val="24"/>
              </w:rPr>
              <w:t>minēt</w:t>
            </w:r>
            <w:r w:rsidR="00200F33">
              <w:rPr>
                <w:rFonts w:ascii="Times New Roman" w:hAnsi="Times New Roman" w:cs="Times New Roman"/>
                <w:sz w:val="24"/>
                <w:szCs w:val="24"/>
              </w:rPr>
              <w:t>o</w:t>
            </w:r>
            <w:r w:rsidR="00D756DA">
              <w:rPr>
                <w:rFonts w:ascii="Times New Roman" w:hAnsi="Times New Roman" w:cs="Times New Roman"/>
                <w:sz w:val="24"/>
                <w:szCs w:val="24"/>
              </w:rPr>
              <w:t xml:space="preserve"> maksājum</w:t>
            </w:r>
            <w:r>
              <w:rPr>
                <w:rFonts w:ascii="Times New Roman" w:hAnsi="Times New Roman" w:cs="Times New Roman"/>
                <w:sz w:val="24"/>
                <w:szCs w:val="24"/>
              </w:rPr>
              <w:t>u mainīg</w:t>
            </w:r>
            <w:r w:rsidR="00200F33">
              <w:rPr>
                <w:rFonts w:ascii="Times New Roman" w:hAnsi="Times New Roman" w:cs="Times New Roman"/>
                <w:sz w:val="24"/>
                <w:szCs w:val="24"/>
              </w:rPr>
              <w:t>o</w:t>
            </w:r>
            <w:r>
              <w:rPr>
                <w:rFonts w:ascii="Times New Roman" w:hAnsi="Times New Roman" w:cs="Times New Roman"/>
                <w:sz w:val="24"/>
                <w:szCs w:val="24"/>
              </w:rPr>
              <w:t xml:space="preserve"> daļ</w:t>
            </w:r>
            <w:r w:rsidR="00200F33">
              <w:rPr>
                <w:rFonts w:ascii="Times New Roman" w:hAnsi="Times New Roman" w:cs="Times New Roman"/>
                <w:sz w:val="24"/>
                <w:szCs w:val="24"/>
              </w:rPr>
              <w:t>u</w:t>
            </w:r>
            <w:r>
              <w:rPr>
                <w:rFonts w:ascii="Times New Roman" w:hAnsi="Times New Roman" w:cs="Times New Roman"/>
                <w:sz w:val="24"/>
                <w:szCs w:val="24"/>
              </w:rPr>
              <w:t>.</w:t>
            </w:r>
          </w:p>
        </w:tc>
      </w:tr>
    </w:tbl>
    <w:p w14:paraId="56F97400" w14:textId="77777777" w:rsidR="00272B3D" w:rsidRDefault="00272B3D" w:rsidP="00272B3D"/>
    <w:p w14:paraId="7964652A" w14:textId="77777777" w:rsidR="00272B3D" w:rsidRPr="006952E1" w:rsidRDefault="00272B3D" w:rsidP="00272B3D">
      <w:pPr>
        <w:spacing w:after="0" w:line="240" w:lineRule="auto"/>
        <w:rPr>
          <w:rFonts w:ascii="Times New Roman" w:hAnsi="Times New Roman" w:cs="Times New Roman"/>
          <w:color w:val="000000" w:themeColor="text1"/>
          <w:sz w:val="24"/>
          <w:szCs w:val="24"/>
        </w:rPr>
      </w:pPr>
    </w:p>
    <w:sectPr w:rsidR="00272B3D" w:rsidRPr="006952E1" w:rsidSect="00272B3D">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85E93E" w14:textId="77777777" w:rsidR="006544A3" w:rsidRDefault="006544A3" w:rsidP="004D7D20">
      <w:pPr>
        <w:spacing w:after="0" w:line="240" w:lineRule="auto"/>
      </w:pPr>
      <w:r>
        <w:separator/>
      </w:r>
    </w:p>
  </w:endnote>
  <w:endnote w:type="continuationSeparator" w:id="0">
    <w:p w14:paraId="1800907E" w14:textId="77777777" w:rsidR="006544A3" w:rsidRDefault="006544A3" w:rsidP="004D7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E265A2" w14:textId="77777777" w:rsidR="006544A3" w:rsidRDefault="006544A3" w:rsidP="004D7D20">
      <w:pPr>
        <w:spacing w:after="0" w:line="240" w:lineRule="auto"/>
      </w:pPr>
      <w:r>
        <w:separator/>
      </w:r>
    </w:p>
  </w:footnote>
  <w:footnote w:type="continuationSeparator" w:id="0">
    <w:p w14:paraId="7D177E0B" w14:textId="77777777" w:rsidR="006544A3" w:rsidRDefault="006544A3" w:rsidP="004D7D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57450493"/>
      <w:docPartObj>
        <w:docPartGallery w:val="Page Numbers (Top of Page)"/>
        <w:docPartUnique/>
      </w:docPartObj>
    </w:sdtPr>
    <w:sdtEndPr>
      <w:rPr>
        <w:rFonts w:ascii="Times New Roman" w:hAnsi="Times New Roman" w:cs="Times New Roman"/>
        <w:sz w:val="24"/>
        <w:szCs w:val="24"/>
      </w:rPr>
    </w:sdtEndPr>
    <w:sdtContent>
      <w:p w14:paraId="6AB3F191" w14:textId="6907065D" w:rsidR="001F4EF1" w:rsidRPr="0018184F" w:rsidRDefault="001F4EF1">
        <w:pPr>
          <w:pStyle w:val="Header"/>
          <w:jc w:val="center"/>
          <w:rPr>
            <w:rFonts w:ascii="Times New Roman" w:hAnsi="Times New Roman" w:cs="Times New Roman"/>
            <w:sz w:val="24"/>
            <w:szCs w:val="24"/>
          </w:rPr>
        </w:pPr>
        <w:r w:rsidRPr="0018184F">
          <w:rPr>
            <w:rFonts w:ascii="Times New Roman" w:hAnsi="Times New Roman" w:cs="Times New Roman"/>
            <w:sz w:val="24"/>
            <w:szCs w:val="24"/>
          </w:rPr>
          <w:fldChar w:fldCharType="begin"/>
        </w:r>
        <w:r w:rsidRPr="0018184F">
          <w:rPr>
            <w:rFonts w:ascii="Times New Roman" w:hAnsi="Times New Roman" w:cs="Times New Roman"/>
            <w:sz w:val="24"/>
            <w:szCs w:val="24"/>
          </w:rPr>
          <w:instrText>PAGE   \* MERGEFORMAT</w:instrText>
        </w:r>
        <w:r w:rsidRPr="0018184F">
          <w:rPr>
            <w:rFonts w:ascii="Times New Roman" w:hAnsi="Times New Roman" w:cs="Times New Roman"/>
            <w:sz w:val="24"/>
            <w:szCs w:val="24"/>
          </w:rPr>
          <w:fldChar w:fldCharType="separate"/>
        </w:r>
        <w:r w:rsidRPr="0018184F">
          <w:rPr>
            <w:rFonts w:ascii="Times New Roman" w:hAnsi="Times New Roman" w:cs="Times New Roman"/>
            <w:sz w:val="24"/>
            <w:szCs w:val="24"/>
          </w:rPr>
          <w:t>2</w:t>
        </w:r>
        <w:r w:rsidRPr="0018184F">
          <w:rPr>
            <w:rFonts w:ascii="Times New Roman" w:hAnsi="Times New Roman" w:cs="Times New Roman"/>
            <w:sz w:val="24"/>
            <w:szCs w:val="24"/>
          </w:rPr>
          <w:fldChar w:fldCharType="end"/>
        </w:r>
      </w:p>
    </w:sdtContent>
  </w:sdt>
  <w:p w14:paraId="4713B36F" w14:textId="77777777" w:rsidR="00914B51" w:rsidRDefault="00914B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3B2170"/>
    <w:multiLevelType w:val="hybridMultilevel"/>
    <w:tmpl w:val="C0B43BC2"/>
    <w:lvl w:ilvl="0" w:tplc="04260011">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FFB42F2"/>
    <w:multiLevelType w:val="hybridMultilevel"/>
    <w:tmpl w:val="BA96983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A3943EE"/>
    <w:multiLevelType w:val="hybridMultilevel"/>
    <w:tmpl w:val="0F548D9E"/>
    <w:lvl w:ilvl="0" w:tplc="6AF48CB0">
      <w:start w:val="1"/>
      <w:numFmt w:val="decimal"/>
      <w:lvlText w:val="%1)"/>
      <w:lvlJc w:val="left"/>
      <w:pPr>
        <w:ind w:left="720" w:hanging="360"/>
      </w:pPr>
      <w:rPr>
        <w:rFonts w:eastAsiaTheme="minorHAnsi" w:hint="default"/>
        <w:b w:val="0"/>
        <w:bCs/>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A503F61"/>
    <w:multiLevelType w:val="hybridMultilevel"/>
    <w:tmpl w:val="5F0AA10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E462498"/>
    <w:multiLevelType w:val="hybridMultilevel"/>
    <w:tmpl w:val="427E457E"/>
    <w:lvl w:ilvl="0" w:tplc="ED0EDB0E">
      <w:start w:val="2023"/>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58F611BD"/>
    <w:multiLevelType w:val="hybridMultilevel"/>
    <w:tmpl w:val="B336C4A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9D1651A"/>
    <w:multiLevelType w:val="hybridMultilevel"/>
    <w:tmpl w:val="BE7A03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74D863B4"/>
    <w:multiLevelType w:val="hybridMultilevel"/>
    <w:tmpl w:val="5178C144"/>
    <w:lvl w:ilvl="0" w:tplc="D80E3586">
      <w:start w:val="1"/>
      <w:numFmt w:val="decimal"/>
      <w:lvlText w:val="%1)"/>
      <w:lvlJc w:val="left"/>
      <w:pPr>
        <w:ind w:left="644" w:hanging="360"/>
      </w:pPr>
      <w:rPr>
        <w:rFonts w:eastAsiaTheme="minorHAnsi" w:hint="default"/>
        <w:b w:val="0"/>
        <w:bCs/>
        <w:color w:val="000000" w:themeColor="text1"/>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16cid:durableId="2020741383">
    <w:abstractNumId w:val="4"/>
  </w:num>
  <w:num w:numId="2" w16cid:durableId="219558385">
    <w:abstractNumId w:val="3"/>
  </w:num>
  <w:num w:numId="3" w16cid:durableId="253784293">
    <w:abstractNumId w:val="6"/>
  </w:num>
  <w:num w:numId="4" w16cid:durableId="1561595583">
    <w:abstractNumId w:val="5"/>
  </w:num>
  <w:num w:numId="5" w16cid:durableId="249589050">
    <w:abstractNumId w:val="2"/>
  </w:num>
  <w:num w:numId="6" w16cid:durableId="1527475671">
    <w:abstractNumId w:val="7"/>
  </w:num>
  <w:num w:numId="7" w16cid:durableId="1752435063">
    <w:abstractNumId w:val="1"/>
  </w:num>
  <w:num w:numId="8" w16cid:durableId="1752120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D20"/>
    <w:rsid w:val="00005D3B"/>
    <w:rsid w:val="000064B0"/>
    <w:rsid w:val="00013443"/>
    <w:rsid w:val="000151B7"/>
    <w:rsid w:val="000161E9"/>
    <w:rsid w:val="0003590D"/>
    <w:rsid w:val="000424A4"/>
    <w:rsid w:val="000434F8"/>
    <w:rsid w:val="000435A0"/>
    <w:rsid w:val="000508B6"/>
    <w:rsid w:val="00052B8F"/>
    <w:rsid w:val="00053045"/>
    <w:rsid w:val="000620CA"/>
    <w:rsid w:val="00070518"/>
    <w:rsid w:val="000711B5"/>
    <w:rsid w:val="000754BB"/>
    <w:rsid w:val="00080175"/>
    <w:rsid w:val="00083B07"/>
    <w:rsid w:val="00084683"/>
    <w:rsid w:val="00090BE5"/>
    <w:rsid w:val="00093104"/>
    <w:rsid w:val="00094025"/>
    <w:rsid w:val="00095825"/>
    <w:rsid w:val="000A0EE9"/>
    <w:rsid w:val="000A360D"/>
    <w:rsid w:val="000A49BC"/>
    <w:rsid w:val="000B0418"/>
    <w:rsid w:val="000B0F0C"/>
    <w:rsid w:val="000B18AB"/>
    <w:rsid w:val="000B1C7D"/>
    <w:rsid w:val="000B491E"/>
    <w:rsid w:val="000B4A2E"/>
    <w:rsid w:val="000B4B85"/>
    <w:rsid w:val="000B78B0"/>
    <w:rsid w:val="000C3D3E"/>
    <w:rsid w:val="000C4902"/>
    <w:rsid w:val="000C76AC"/>
    <w:rsid w:val="000D6E98"/>
    <w:rsid w:val="000D7B1E"/>
    <w:rsid w:val="000D7D7D"/>
    <w:rsid w:val="000E0289"/>
    <w:rsid w:val="000E1D27"/>
    <w:rsid w:val="000E5859"/>
    <w:rsid w:val="000E6700"/>
    <w:rsid w:val="000E7A67"/>
    <w:rsid w:val="000F752E"/>
    <w:rsid w:val="00100A93"/>
    <w:rsid w:val="0010496E"/>
    <w:rsid w:val="0011303F"/>
    <w:rsid w:val="001133A1"/>
    <w:rsid w:val="001143B9"/>
    <w:rsid w:val="00117B5B"/>
    <w:rsid w:val="00120B7E"/>
    <w:rsid w:val="00123692"/>
    <w:rsid w:val="00124E98"/>
    <w:rsid w:val="00147132"/>
    <w:rsid w:val="00147622"/>
    <w:rsid w:val="0015367A"/>
    <w:rsid w:val="00153B44"/>
    <w:rsid w:val="001542D5"/>
    <w:rsid w:val="00163E05"/>
    <w:rsid w:val="00170221"/>
    <w:rsid w:val="00171022"/>
    <w:rsid w:val="00171027"/>
    <w:rsid w:val="00171BCB"/>
    <w:rsid w:val="0018184F"/>
    <w:rsid w:val="001827C1"/>
    <w:rsid w:val="0018395C"/>
    <w:rsid w:val="00184704"/>
    <w:rsid w:val="0018544C"/>
    <w:rsid w:val="00187BC0"/>
    <w:rsid w:val="00190A3D"/>
    <w:rsid w:val="00190DDF"/>
    <w:rsid w:val="001A2F7D"/>
    <w:rsid w:val="001A77AD"/>
    <w:rsid w:val="001C03E8"/>
    <w:rsid w:val="001D0779"/>
    <w:rsid w:val="001D1F57"/>
    <w:rsid w:val="001E045D"/>
    <w:rsid w:val="001E0BB0"/>
    <w:rsid w:val="001E34F2"/>
    <w:rsid w:val="001E42C3"/>
    <w:rsid w:val="001E701B"/>
    <w:rsid w:val="001F4814"/>
    <w:rsid w:val="001F4EF1"/>
    <w:rsid w:val="001F60BD"/>
    <w:rsid w:val="001F61C1"/>
    <w:rsid w:val="001F6CE3"/>
    <w:rsid w:val="00200F33"/>
    <w:rsid w:val="00202AE7"/>
    <w:rsid w:val="0020468E"/>
    <w:rsid w:val="0020694F"/>
    <w:rsid w:val="00207652"/>
    <w:rsid w:val="00210B1F"/>
    <w:rsid w:val="00210DC8"/>
    <w:rsid w:val="002113FD"/>
    <w:rsid w:val="00211D34"/>
    <w:rsid w:val="002126D1"/>
    <w:rsid w:val="00212A26"/>
    <w:rsid w:val="00213E69"/>
    <w:rsid w:val="002155A8"/>
    <w:rsid w:val="0021670E"/>
    <w:rsid w:val="00220B6E"/>
    <w:rsid w:val="00220EB4"/>
    <w:rsid w:val="0022165C"/>
    <w:rsid w:val="00222660"/>
    <w:rsid w:val="002236AC"/>
    <w:rsid w:val="0022614E"/>
    <w:rsid w:val="002378B0"/>
    <w:rsid w:val="002408A7"/>
    <w:rsid w:val="00242E4C"/>
    <w:rsid w:val="00245BE9"/>
    <w:rsid w:val="00246C08"/>
    <w:rsid w:val="00251046"/>
    <w:rsid w:val="00253CC3"/>
    <w:rsid w:val="002545A1"/>
    <w:rsid w:val="00255F29"/>
    <w:rsid w:val="002621A4"/>
    <w:rsid w:val="00262A34"/>
    <w:rsid w:val="00264A42"/>
    <w:rsid w:val="00267DB0"/>
    <w:rsid w:val="0027276E"/>
    <w:rsid w:val="00272B3D"/>
    <w:rsid w:val="00283B21"/>
    <w:rsid w:val="00283D41"/>
    <w:rsid w:val="00284336"/>
    <w:rsid w:val="0029575A"/>
    <w:rsid w:val="002A6CA2"/>
    <w:rsid w:val="002A7FBC"/>
    <w:rsid w:val="002B53AD"/>
    <w:rsid w:val="002B7368"/>
    <w:rsid w:val="002C4E0D"/>
    <w:rsid w:val="002C6295"/>
    <w:rsid w:val="002D09E1"/>
    <w:rsid w:val="002D3FFE"/>
    <w:rsid w:val="002D4A37"/>
    <w:rsid w:val="002E1327"/>
    <w:rsid w:val="002E5FC9"/>
    <w:rsid w:val="002E635F"/>
    <w:rsid w:val="002F017B"/>
    <w:rsid w:val="002F10D7"/>
    <w:rsid w:val="002F1C0C"/>
    <w:rsid w:val="00300178"/>
    <w:rsid w:val="00304AD5"/>
    <w:rsid w:val="0030749C"/>
    <w:rsid w:val="00312CED"/>
    <w:rsid w:val="00313DCA"/>
    <w:rsid w:val="00316588"/>
    <w:rsid w:val="00316B11"/>
    <w:rsid w:val="00317F16"/>
    <w:rsid w:val="00321062"/>
    <w:rsid w:val="00324765"/>
    <w:rsid w:val="003260EC"/>
    <w:rsid w:val="00326F2F"/>
    <w:rsid w:val="003311CD"/>
    <w:rsid w:val="0033120C"/>
    <w:rsid w:val="00331694"/>
    <w:rsid w:val="003340A7"/>
    <w:rsid w:val="00343634"/>
    <w:rsid w:val="003442A2"/>
    <w:rsid w:val="003502E8"/>
    <w:rsid w:val="00350CEB"/>
    <w:rsid w:val="003514E7"/>
    <w:rsid w:val="003528D3"/>
    <w:rsid w:val="00352A34"/>
    <w:rsid w:val="003537BC"/>
    <w:rsid w:val="00361DD9"/>
    <w:rsid w:val="0036658F"/>
    <w:rsid w:val="00366CC3"/>
    <w:rsid w:val="003770FF"/>
    <w:rsid w:val="003876A6"/>
    <w:rsid w:val="003912A6"/>
    <w:rsid w:val="0039219C"/>
    <w:rsid w:val="0039234F"/>
    <w:rsid w:val="00392C6F"/>
    <w:rsid w:val="003934A3"/>
    <w:rsid w:val="00396BD7"/>
    <w:rsid w:val="003A1547"/>
    <w:rsid w:val="003A7C34"/>
    <w:rsid w:val="003B01FF"/>
    <w:rsid w:val="003B0CFE"/>
    <w:rsid w:val="003B0F31"/>
    <w:rsid w:val="003B33BA"/>
    <w:rsid w:val="003B5C31"/>
    <w:rsid w:val="003B5D29"/>
    <w:rsid w:val="003B64AC"/>
    <w:rsid w:val="003B7C70"/>
    <w:rsid w:val="003C2B3E"/>
    <w:rsid w:val="003C66B5"/>
    <w:rsid w:val="003C7DF0"/>
    <w:rsid w:val="003D16BA"/>
    <w:rsid w:val="003D1C04"/>
    <w:rsid w:val="003D3435"/>
    <w:rsid w:val="003E0020"/>
    <w:rsid w:val="003E04EB"/>
    <w:rsid w:val="003E188C"/>
    <w:rsid w:val="003E559F"/>
    <w:rsid w:val="003F20B8"/>
    <w:rsid w:val="003F28DE"/>
    <w:rsid w:val="003F2BDA"/>
    <w:rsid w:val="0040095C"/>
    <w:rsid w:val="00404CD6"/>
    <w:rsid w:val="004050B5"/>
    <w:rsid w:val="0041157E"/>
    <w:rsid w:val="00422A7C"/>
    <w:rsid w:val="00425EFF"/>
    <w:rsid w:val="00426B2C"/>
    <w:rsid w:val="00430307"/>
    <w:rsid w:val="00430443"/>
    <w:rsid w:val="00430A44"/>
    <w:rsid w:val="00437266"/>
    <w:rsid w:val="00441B3E"/>
    <w:rsid w:val="00442D8A"/>
    <w:rsid w:val="0044564D"/>
    <w:rsid w:val="004463D3"/>
    <w:rsid w:val="0045084D"/>
    <w:rsid w:val="00450C86"/>
    <w:rsid w:val="00456FAA"/>
    <w:rsid w:val="00460FAE"/>
    <w:rsid w:val="004615E5"/>
    <w:rsid w:val="0046451C"/>
    <w:rsid w:val="00465DD0"/>
    <w:rsid w:val="00474807"/>
    <w:rsid w:val="004772FB"/>
    <w:rsid w:val="00481633"/>
    <w:rsid w:val="004816A5"/>
    <w:rsid w:val="00481987"/>
    <w:rsid w:val="00483096"/>
    <w:rsid w:val="00483FEF"/>
    <w:rsid w:val="00484225"/>
    <w:rsid w:val="00494F09"/>
    <w:rsid w:val="004A5D40"/>
    <w:rsid w:val="004A6F4E"/>
    <w:rsid w:val="004B1DE5"/>
    <w:rsid w:val="004B3BBE"/>
    <w:rsid w:val="004B6B4B"/>
    <w:rsid w:val="004D1EB8"/>
    <w:rsid w:val="004D5218"/>
    <w:rsid w:val="004D63C1"/>
    <w:rsid w:val="004D7821"/>
    <w:rsid w:val="004D7D20"/>
    <w:rsid w:val="004E0F0D"/>
    <w:rsid w:val="004E1445"/>
    <w:rsid w:val="004E2C66"/>
    <w:rsid w:val="004E3E7D"/>
    <w:rsid w:val="004E57D1"/>
    <w:rsid w:val="004E638F"/>
    <w:rsid w:val="004F068C"/>
    <w:rsid w:val="004F0FE1"/>
    <w:rsid w:val="004F226D"/>
    <w:rsid w:val="004F4693"/>
    <w:rsid w:val="004F5C09"/>
    <w:rsid w:val="004F756C"/>
    <w:rsid w:val="005028D8"/>
    <w:rsid w:val="0050352A"/>
    <w:rsid w:val="00503C7F"/>
    <w:rsid w:val="00504FEA"/>
    <w:rsid w:val="0050610A"/>
    <w:rsid w:val="00512B97"/>
    <w:rsid w:val="00513099"/>
    <w:rsid w:val="00520B95"/>
    <w:rsid w:val="00526F3D"/>
    <w:rsid w:val="005322CF"/>
    <w:rsid w:val="00533C38"/>
    <w:rsid w:val="005364B7"/>
    <w:rsid w:val="00541E16"/>
    <w:rsid w:val="0055187E"/>
    <w:rsid w:val="00553DBF"/>
    <w:rsid w:val="0056003E"/>
    <w:rsid w:val="00561840"/>
    <w:rsid w:val="00563073"/>
    <w:rsid w:val="00564771"/>
    <w:rsid w:val="00567DEF"/>
    <w:rsid w:val="005717A7"/>
    <w:rsid w:val="00571F5D"/>
    <w:rsid w:val="005721A2"/>
    <w:rsid w:val="00572AC8"/>
    <w:rsid w:val="00572BF3"/>
    <w:rsid w:val="0057360C"/>
    <w:rsid w:val="00573BDC"/>
    <w:rsid w:val="00577222"/>
    <w:rsid w:val="00580783"/>
    <w:rsid w:val="0059070B"/>
    <w:rsid w:val="00590EF4"/>
    <w:rsid w:val="00592E64"/>
    <w:rsid w:val="005936F6"/>
    <w:rsid w:val="00593C7F"/>
    <w:rsid w:val="00593EB6"/>
    <w:rsid w:val="005945BA"/>
    <w:rsid w:val="00595003"/>
    <w:rsid w:val="0059513F"/>
    <w:rsid w:val="005A2AB1"/>
    <w:rsid w:val="005A371C"/>
    <w:rsid w:val="005B0D79"/>
    <w:rsid w:val="005B38B3"/>
    <w:rsid w:val="005B682A"/>
    <w:rsid w:val="005B73FE"/>
    <w:rsid w:val="005B7F87"/>
    <w:rsid w:val="005C66D7"/>
    <w:rsid w:val="005C6F27"/>
    <w:rsid w:val="005C7A4E"/>
    <w:rsid w:val="005D0938"/>
    <w:rsid w:val="005D1EB8"/>
    <w:rsid w:val="005D5510"/>
    <w:rsid w:val="005E2284"/>
    <w:rsid w:val="005E2F55"/>
    <w:rsid w:val="005E3B80"/>
    <w:rsid w:val="005E4E66"/>
    <w:rsid w:val="005E5BF6"/>
    <w:rsid w:val="005E64B3"/>
    <w:rsid w:val="005E667B"/>
    <w:rsid w:val="005E6F27"/>
    <w:rsid w:val="005F36CC"/>
    <w:rsid w:val="005F55F5"/>
    <w:rsid w:val="005F6090"/>
    <w:rsid w:val="00601D56"/>
    <w:rsid w:val="00603D98"/>
    <w:rsid w:val="00606810"/>
    <w:rsid w:val="00606FCF"/>
    <w:rsid w:val="00607B93"/>
    <w:rsid w:val="00610997"/>
    <w:rsid w:val="00611ADF"/>
    <w:rsid w:val="006177DB"/>
    <w:rsid w:val="00621B68"/>
    <w:rsid w:val="00624B33"/>
    <w:rsid w:val="00624CE8"/>
    <w:rsid w:val="006307A1"/>
    <w:rsid w:val="00630FA7"/>
    <w:rsid w:val="00631049"/>
    <w:rsid w:val="00633E46"/>
    <w:rsid w:val="0063607A"/>
    <w:rsid w:val="00642BC4"/>
    <w:rsid w:val="006434F2"/>
    <w:rsid w:val="006452B4"/>
    <w:rsid w:val="00646E9C"/>
    <w:rsid w:val="00650410"/>
    <w:rsid w:val="00653039"/>
    <w:rsid w:val="00653960"/>
    <w:rsid w:val="006544A3"/>
    <w:rsid w:val="00656FF8"/>
    <w:rsid w:val="00657769"/>
    <w:rsid w:val="00663D14"/>
    <w:rsid w:val="00665096"/>
    <w:rsid w:val="00665CAD"/>
    <w:rsid w:val="00673281"/>
    <w:rsid w:val="00680E40"/>
    <w:rsid w:val="0068263E"/>
    <w:rsid w:val="006827F2"/>
    <w:rsid w:val="0068372E"/>
    <w:rsid w:val="00686149"/>
    <w:rsid w:val="00686B6E"/>
    <w:rsid w:val="00690450"/>
    <w:rsid w:val="00690E9C"/>
    <w:rsid w:val="00693683"/>
    <w:rsid w:val="00694456"/>
    <w:rsid w:val="006952E1"/>
    <w:rsid w:val="006A3B94"/>
    <w:rsid w:val="006A4445"/>
    <w:rsid w:val="006A4DF4"/>
    <w:rsid w:val="006A6073"/>
    <w:rsid w:val="006A7227"/>
    <w:rsid w:val="006A7880"/>
    <w:rsid w:val="006C220F"/>
    <w:rsid w:val="006C34E1"/>
    <w:rsid w:val="006C564A"/>
    <w:rsid w:val="006D04E2"/>
    <w:rsid w:val="006D077B"/>
    <w:rsid w:val="006D0C5C"/>
    <w:rsid w:val="006D5F36"/>
    <w:rsid w:val="006D6D82"/>
    <w:rsid w:val="006F1505"/>
    <w:rsid w:val="006F1514"/>
    <w:rsid w:val="006F5239"/>
    <w:rsid w:val="007048E4"/>
    <w:rsid w:val="00705A1B"/>
    <w:rsid w:val="00710686"/>
    <w:rsid w:val="00714C92"/>
    <w:rsid w:val="0071625E"/>
    <w:rsid w:val="0071733C"/>
    <w:rsid w:val="007200D7"/>
    <w:rsid w:val="0072150E"/>
    <w:rsid w:val="00721BEA"/>
    <w:rsid w:val="00724E3E"/>
    <w:rsid w:val="00731A18"/>
    <w:rsid w:val="0073254C"/>
    <w:rsid w:val="00736400"/>
    <w:rsid w:val="00736D49"/>
    <w:rsid w:val="00737059"/>
    <w:rsid w:val="0074061A"/>
    <w:rsid w:val="007437A8"/>
    <w:rsid w:val="00743F02"/>
    <w:rsid w:val="00745C0D"/>
    <w:rsid w:val="0075214E"/>
    <w:rsid w:val="007539DC"/>
    <w:rsid w:val="007603AA"/>
    <w:rsid w:val="00760EAA"/>
    <w:rsid w:val="0076100E"/>
    <w:rsid w:val="007657EB"/>
    <w:rsid w:val="007719B2"/>
    <w:rsid w:val="00772185"/>
    <w:rsid w:val="00772972"/>
    <w:rsid w:val="00773392"/>
    <w:rsid w:val="007747FE"/>
    <w:rsid w:val="0078228E"/>
    <w:rsid w:val="007824EB"/>
    <w:rsid w:val="0078600A"/>
    <w:rsid w:val="007867B7"/>
    <w:rsid w:val="00786B14"/>
    <w:rsid w:val="00786D5D"/>
    <w:rsid w:val="00787487"/>
    <w:rsid w:val="00795313"/>
    <w:rsid w:val="00797204"/>
    <w:rsid w:val="00797917"/>
    <w:rsid w:val="007A4E6A"/>
    <w:rsid w:val="007A4EB3"/>
    <w:rsid w:val="007A62CE"/>
    <w:rsid w:val="007B1360"/>
    <w:rsid w:val="007B1C7B"/>
    <w:rsid w:val="007B4A8B"/>
    <w:rsid w:val="007B5799"/>
    <w:rsid w:val="007B5F5A"/>
    <w:rsid w:val="007C059F"/>
    <w:rsid w:val="007C3713"/>
    <w:rsid w:val="007D2955"/>
    <w:rsid w:val="007D3FB7"/>
    <w:rsid w:val="007D5747"/>
    <w:rsid w:val="007E15C8"/>
    <w:rsid w:val="007E1BB5"/>
    <w:rsid w:val="007E4E5C"/>
    <w:rsid w:val="007F76C7"/>
    <w:rsid w:val="00800B4C"/>
    <w:rsid w:val="008051E4"/>
    <w:rsid w:val="0081067B"/>
    <w:rsid w:val="00817418"/>
    <w:rsid w:val="00821405"/>
    <w:rsid w:val="00822E71"/>
    <w:rsid w:val="00825D1F"/>
    <w:rsid w:val="00830037"/>
    <w:rsid w:val="008305DC"/>
    <w:rsid w:val="00832E34"/>
    <w:rsid w:val="0083376C"/>
    <w:rsid w:val="00834471"/>
    <w:rsid w:val="00835821"/>
    <w:rsid w:val="00835D81"/>
    <w:rsid w:val="00836D64"/>
    <w:rsid w:val="00837AF5"/>
    <w:rsid w:val="0084323D"/>
    <w:rsid w:val="00845440"/>
    <w:rsid w:val="00846811"/>
    <w:rsid w:val="00850217"/>
    <w:rsid w:val="00851C5D"/>
    <w:rsid w:val="00853301"/>
    <w:rsid w:val="00854E07"/>
    <w:rsid w:val="00855326"/>
    <w:rsid w:val="00855380"/>
    <w:rsid w:val="00855E83"/>
    <w:rsid w:val="00857843"/>
    <w:rsid w:val="00861A27"/>
    <w:rsid w:val="008642EF"/>
    <w:rsid w:val="00866469"/>
    <w:rsid w:val="00866AB0"/>
    <w:rsid w:val="00871F76"/>
    <w:rsid w:val="008740A8"/>
    <w:rsid w:val="00877C44"/>
    <w:rsid w:val="0088259C"/>
    <w:rsid w:val="00883734"/>
    <w:rsid w:val="008839BC"/>
    <w:rsid w:val="00887050"/>
    <w:rsid w:val="0089023F"/>
    <w:rsid w:val="0089395E"/>
    <w:rsid w:val="00894B59"/>
    <w:rsid w:val="008950CA"/>
    <w:rsid w:val="008A5625"/>
    <w:rsid w:val="008B03F7"/>
    <w:rsid w:val="008B75D0"/>
    <w:rsid w:val="008B7C5A"/>
    <w:rsid w:val="008C0B17"/>
    <w:rsid w:val="008C500E"/>
    <w:rsid w:val="008D0C81"/>
    <w:rsid w:val="008D1AFB"/>
    <w:rsid w:val="008D29E8"/>
    <w:rsid w:val="008D711F"/>
    <w:rsid w:val="008D76DE"/>
    <w:rsid w:val="008E09D5"/>
    <w:rsid w:val="008E20D6"/>
    <w:rsid w:val="008E292D"/>
    <w:rsid w:val="008F10D3"/>
    <w:rsid w:val="008F15D4"/>
    <w:rsid w:val="008F3CCB"/>
    <w:rsid w:val="008F7432"/>
    <w:rsid w:val="009004C9"/>
    <w:rsid w:val="00901F92"/>
    <w:rsid w:val="009051B9"/>
    <w:rsid w:val="00905C0A"/>
    <w:rsid w:val="00905FAA"/>
    <w:rsid w:val="009063AF"/>
    <w:rsid w:val="0090644A"/>
    <w:rsid w:val="00906B10"/>
    <w:rsid w:val="009070B0"/>
    <w:rsid w:val="0090791E"/>
    <w:rsid w:val="00911FF5"/>
    <w:rsid w:val="00912565"/>
    <w:rsid w:val="0091404B"/>
    <w:rsid w:val="00914189"/>
    <w:rsid w:val="00914420"/>
    <w:rsid w:val="00914B51"/>
    <w:rsid w:val="00914D5A"/>
    <w:rsid w:val="00921BDC"/>
    <w:rsid w:val="00927070"/>
    <w:rsid w:val="009271B0"/>
    <w:rsid w:val="00931484"/>
    <w:rsid w:val="00933455"/>
    <w:rsid w:val="009335D5"/>
    <w:rsid w:val="009500E7"/>
    <w:rsid w:val="0095203D"/>
    <w:rsid w:val="00952874"/>
    <w:rsid w:val="00954061"/>
    <w:rsid w:val="00963458"/>
    <w:rsid w:val="0096351E"/>
    <w:rsid w:val="00964FB9"/>
    <w:rsid w:val="009668C0"/>
    <w:rsid w:val="0097280D"/>
    <w:rsid w:val="00977615"/>
    <w:rsid w:val="009822D4"/>
    <w:rsid w:val="0098477F"/>
    <w:rsid w:val="00987987"/>
    <w:rsid w:val="0099587C"/>
    <w:rsid w:val="0099611F"/>
    <w:rsid w:val="00996D7D"/>
    <w:rsid w:val="009A1C47"/>
    <w:rsid w:val="009A5CC3"/>
    <w:rsid w:val="009B0544"/>
    <w:rsid w:val="009B1075"/>
    <w:rsid w:val="009B4AC9"/>
    <w:rsid w:val="009B6162"/>
    <w:rsid w:val="009B620B"/>
    <w:rsid w:val="009C26BD"/>
    <w:rsid w:val="009C3525"/>
    <w:rsid w:val="009C3909"/>
    <w:rsid w:val="009C4CD0"/>
    <w:rsid w:val="009D1970"/>
    <w:rsid w:val="009D4CEA"/>
    <w:rsid w:val="009D53DE"/>
    <w:rsid w:val="009D5D38"/>
    <w:rsid w:val="009E2007"/>
    <w:rsid w:val="009E6A95"/>
    <w:rsid w:val="009F0576"/>
    <w:rsid w:val="009F2D2F"/>
    <w:rsid w:val="009F5A05"/>
    <w:rsid w:val="00A0153E"/>
    <w:rsid w:val="00A035D4"/>
    <w:rsid w:val="00A04F30"/>
    <w:rsid w:val="00A10615"/>
    <w:rsid w:val="00A1067C"/>
    <w:rsid w:val="00A11EBC"/>
    <w:rsid w:val="00A16630"/>
    <w:rsid w:val="00A202C9"/>
    <w:rsid w:val="00A23583"/>
    <w:rsid w:val="00A25755"/>
    <w:rsid w:val="00A25DB6"/>
    <w:rsid w:val="00A30F49"/>
    <w:rsid w:val="00A33C75"/>
    <w:rsid w:val="00A4254A"/>
    <w:rsid w:val="00A46015"/>
    <w:rsid w:val="00A46872"/>
    <w:rsid w:val="00A5170B"/>
    <w:rsid w:val="00A551E7"/>
    <w:rsid w:val="00A61684"/>
    <w:rsid w:val="00A6283A"/>
    <w:rsid w:val="00A63E4F"/>
    <w:rsid w:val="00A77246"/>
    <w:rsid w:val="00A85BEA"/>
    <w:rsid w:val="00A85FCE"/>
    <w:rsid w:val="00A969C9"/>
    <w:rsid w:val="00A9721F"/>
    <w:rsid w:val="00AA0144"/>
    <w:rsid w:val="00AA0C6F"/>
    <w:rsid w:val="00AA195C"/>
    <w:rsid w:val="00AA7600"/>
    <w:rsid w:val="00AB3B6E"/>
    <w:rsid w:val="00AB4AF8"/>
    <w:rsid w:val="00AB6F6C"/>
    <w:rsid w:val="00AC2934"/>
    <w:rsid w:val="00AC6272"/>
    <w:rsid w:val="00AC77DE"/>
    <w:rsid w:val="00AD2183"/>
    <w:rsid w:val="00AD22F2"/>
    <w:rsid w:val="00AD392C"/>
    <w:rsid w:val="00AE1C96"/>
    <w:rsid w:val="00AF06BE"/>
    <w:rsid w:val="00AF07DF"/>
    <w:rsid w:val="00AF3B0F"/>
    <w:rsid w:val="00AF5404"/>
    <w:rsid w:val="00AF562C"/>
    <w:rsid w:val="00AF595C"/>
    <w:rsid w:val="00AF7C4C"/>
    <w:rsid w:val="00B01E24"/>
    <w:rsid w:val="00B124CD"/>
    <w:rsid w:val="00B13592"/>
    <w:rsid w:val="00B14282"/>
    <w:rsid w:val="00B14785"/>
    <w:rsid w:val="00B2040A"/>
    <w:rsid w:val="00B20F58"/>
    <w:rsid w:val="00B305D2"/>
    <w:rsid w:val="00B30615"/>
    <w:rsid w:val="00B32AF1"/>
    <w:rsid w:val="00B353B7"/>
    <w:rsid w:val="00B35D22"/>
    <w:rsid w:val="00B3777E"/>
    <w:rsid w:val="00B43E2A"/>
    <w:rsid w:val="00B5670E"/>
    <w:rsid w:val="00B626DA"/>
    <w:rsid w:val="00B62FBC"/>
    <w:rsid w:val="00B821A5"/>
    <w:rsid w:val="00B82618"/>
    <w:rsid w:val="00B82D19"/>
    <w:rsid w:val="00B84167"/>
    <w:rsid w:val="00B86164"/>
    <w:rsid w:val="00B87207"/>
    <w:rsid w:val="00B87BDC"/>
    <w:rsid w:val="00B90C07"/>
    <w:rsid w:val="00B91AFC"/>
    <w:rsid w:val="00B91D57"/>
    <w:rsid w:val="00B922C6"/>
    <w:rsid w:val="00B93124"/>
    <w:rsid w:val="00BA3686"/>
    <w:rsid w:val="00BB1B0C"/>
    <w:rsid w:val="00BB6E66"/>
    <w:rsid w:val="00BC0110"/>
    <w:rsid w:val="00BC3468"/>
    <w:rsid w:val="00BC411D"/>
    <w:rsid w:val="00BE22D3"/>
    <w:rsid w:val="00BF0572"/>
    <w:rsid w:val="00BF0AFB"/>
    <w:rsid w:val="00BF2932"/>
    <w:rsid w:val="00BF4920"/>
    <w:rsid w:val="00BF5BB6"/>
    <w:rsid w:val="00C0271D"/>
    <w:rsid w:val="00C038AF"/>
    <w:rsid w:val="00C05D6D"/>
    <w:rsid w:val="00C07599"/>
    <w:rsid w:val="00C079C4"/>
    <w:rsid w:val="00C11DFC"/>
    <w:rsid w:val="00C12CF8"/>
    <w:rsid w:val="00C15062"/>
    <w:rsid w:val="00C1689F"/>
    <w:rsid w:val="00C22386"/>
    <w:rsid w:val="00C246CB"/>
    <w:rsid w:val="00C2758D"/>
    <w:rsid w:val="00C3120B"/>
    <w:rsid w:val="00C31C47"/>
    <w:rsid w:val="00C32E3F"/>
    <w:rsid w:val="00C33A7E"/>
    <w:rsid w:val="00C35107"/>
    <w:rsid w:val="00C356AD"/>
    <w:rsid w:val="00C36164"/>
    <w:rsid w:val="00C36F5E"/>
    <w:rsid w:val="00C40FB8"/>
    <w:rsid w:val="00C41B8C"/>
    <w:rsid w:val="00C448D1"/>
    <w:rsid w:val="00C519B1"/>
    <w:rsid w:val="00C52D72"/>
    <w:rsid w:val="00C56AB3"/>
    <w:rsid w:val="00C57D77"/>
    <w:rsid w:val="00C63B1D"/>
    <w:rsid w:val="00C675B0"/>
    <w:rsid w:val="00C710EB"/>
    <w:rsid w:val="00C745C6"/>
    <w:rsid w:val="00C774DB"/>
    <w:rsid w:val="00C77D1C"/>
    <w:rsid w:val="00C833B0"/>
    <w:rsid w:val="00C8601A"/>
    <w:rsid w:val="00C91862"/>
    <w:rsid w:val="00C9333A"/>
    <w:rsid w:val="00C935B1"/>
    <w:rsid w:val="00C93E3F"/>
    <w:rsid w:val="00C94171"/>
    <w:rsid w:val="00C95193"/>
    <w:rsid w:val="00C952EC"/>
    <w:rsid w:val="00C95A9B"/>
    <w:rsid w:val="00C96650"/>
    <w:rsid w:val="00CA0E4F"/>
    <w:rsid w:val="00CA3C0C"/>
    <w:rsid w:val="00CA4A7A"/>
    <w:rsid w:val="00CA5AD7"/>
    <w:rsid w:val="00CA6589"/>
    <w:rsid w:val="00CA67B3"/>
    <w:rsid w:val="00CA7D59"/>
    <w:rsid w:val="00CB29D1"/>
    <w:rsid w:val="00CB2ED4"/>
    <w:rsid w:val="00CB36F6"/>
    <w:rsid w:val="00CB5D37"/>
    <w:rsid w:val="00CB67BA"/>
    <w:rsid w:val="00CC035C"/>
    <w:rsid w:val="00CC2033"/>
    <w:rsid w:val="00CC4A55"/>
    <w:rsid w:val="00CD37E5"/>
    <w:rsid w:val="00CD41A9"/>
    <w:rsid w:val="00CD4AE2"/>
    <w:rsid w:val="00CE18CE"/>
    <w:rsid w:val="00CF274B"/>
    <w:rsid w:val="00CF4CC7"/>
    <w:rsid w:val="00CF6ED5"/>
    <w:rsid w:val="00D06984"/>
    <w:rsid w:val="00D073F4"/>
    <w:rsid w:val="00D10CD9"/>
    <w:rsid w:val="00D34E4F"/>
    <w:rsid w:val="00D36BB8"/>
    <w:rsid w:val="00D430B7"/>
    <w:rsid w:val="00D43BAD"/>
    <w:rsid w:val="00D44481"/>
    <w:rsid w:val="00D466AC"/>
    <w:rsid w:val="00D46953"/>
    <w:rsid w:val="00D50716"/>
    <w:rsid w:val="00D519F7"/>
    <w:rsid w:val="00D53004"/>
    <w:rsid w:val="00D57B18"/>
    <w:rsid w:val="00D6542B"/>
    <w:rsid w:val="00D67D2E"/>
    <w:rsid w:val="00D70FDF"/>
    <w:rsid w:val="00D71FB4"/>
    <w:rsid w:val="00D720FB"/>
    <w:rsid w:val="00D738B1"/>
    <w:rsid w:val="00D756DA"/>
    <w:rsid w:val="00D82979"/>
    <w:rsid w:val="00D84FB8"/>
    <w:rsid w:val="00D87F65"/>
    <w:rsid w:val="00D90B21"/>
    <w:rsid w:val="00D91C56"/>
    <w:rsid w:val="00D96AA6"/>
    <w:rsid w:val="00DA32E6"/>
    <w:rsid w:val="00DB0246"/>
    <w:rsid w:val="00DB3F7D"/>
    <w:rsid w:val="00DC0200"/>
    <w:rsid w:val="00DC0682"/>
    <w:rsid w:val="00DC329B"/>
    <w:rsid w:val="00DC34D4"/>
    <w:rsid w:val="00DC58C2"/>
    <w:rsid w:val="00DD59EA"/>
    <w:rsid w:val="00DE1D4F"/>
    <w:rsid w:val="00DE2569"/>
    <w:rsid w:val="00DE4AC5"/>
    <w:rsid w:val="00DE54D0"/>
    <w:rsid w:val="00DE5B1C"/>
    <w:rsid w:val="00DF425D"/>
    <w:rsid w:val="00DF78B8"/>
    <w:rsid w:val="00E007AB"/>
    <w:rsid w:val="00E01603"/>
    <w:rsid w:val="00E02C21"/>
    <w:rsid w:val="00E0471F"/>
    <w:rsid w:val="00E0655E"/>
    <w:rsid w:val="00E162D4"/>
    <w:rsid w:val="00E20DE8"/>
    <w:rsid w:val="00E22880"/>
    <w:rsid w:val="00E2293F"/>
    <w:rsid w:val="00E30339"/>
    <w:rsid w:val="00E31905"/>
    <w:rsid w:val="00E337E7"/>
    <w:rsid w:val="00E349E3"/>
    <w:rsid w:val="00E366A0"/>
    <w:rsid w:val="00E4676A"/>
    <w:rsid w:val="00E47C44"/>
    <w:rsid w:val="00E56492"/>
    <w:rsid w:val="00E64D49"/>
    <w:rsid w:val="00E6507D"/>
    <w:rsid w:val="00E657DE"/>
    <w:rsid w:val="00E660E3"/>
    <w:rsid w:val="00E67036"/>
    <w:rsid w:val="00E67EA0"/>
    <w:rsid w:val="00E73DEF"/>
    <w:rsid w:val="00E82790"/>
    <w:rsid w:val="00E829A1"/>
    <w:rsid w:val="00E82C41"/>
    <w:rsid w:val="00E83B23"/>
    <w:rsid w:val="00E85A18"/>
    <w:rsid w:val="00E87461"/>
    <w:rsid w:val="00E9618B"/>
    <w:rsid w:val="00E97A1C"/>
    <w:rsid w:val="00E97E14"/>
    <w:rsid w:val="00EA061E"/>
    <w:rsid w:val="00EA0CC6"/>
    <w:rsid w:val="00EA29D6"/>
    <w:rsid w:val="00EA2EB2"/>
    <w:rsid w:val="00EA3C17"/>
    <w:rsid w:val="00EA60FC"/>
    <w:rsid w:val="00EA667A"/>
    <w:rsid w:val="00EB6818"/>
    <w:rsid w:val="00EC27B8"/>
    <w:rsid w:val="00EC34DC"/>
    <w:rsid w:val="00EC44FD"/>
    <w:rsid w:val="00EC5CCC"/>
    <w:rsid w:val="00EC64B3"/>
    <w:rsid w:val="00EC77D2"/>
    <w:rsid w:val="00ED3376"/>
    <w:rsid w:val="00EE014A"/>
    <w:rsid w:val="00EE426C"/>
    <w:rsid w:val="00EE4CD7"/>
    <w:rsid w:val="00EE6112"/>
    <w:rsid w:val="00EE61B4"/>
    <w:rsid w:val="00EF64CC"/>
    <w:rsid w:val="00EF78EF"/>
    <w:rsid w:val="00F00503"/>
    <w:rsid w:val="00F00555"/>
    <w:rsid w:val="00F0440B"/>
    <w:rsid w:val="00F1192A"/>
    <w:rsid w:val="00F11EC5"/>
    <w:rsid w:val="00F1508E"/>
    <w:rsid w:val="00F22887"/>
    <w:rsid w:val="00F235E3"/>
    <w:rsid w:val="00F238A9"/>
    <w:rsid w:val="00F23FE0"/>
    <w:rsid w:val="00F24CF6"/>
    <w:rsid w:val="00F2777F"/>
    <w:rsid w:val="00F31808"/>
    <w:rsid w:val="00F31EE6"/>
    <w:rsid w:val="00F32B6E"/>
    <w:rsid w:val="00F3350F"/>
    <w:rsid w:val="00F36222"/>
    <w:rsid w:val="00F40D1D"/>
    <w:rsid w:val="00F41E0D"/>
    <w:rsid w:val="00F42394"/>
    <w:rsid w:val="00F46692"/>
    <w:rsid w:val="00F51E6A"/>
    <w:rsid w:val="00F52256"/>
    <w:rsid w:val="00F53C50"/>
    <w:rsid w:val="00F55EC3"/>
    <w:rsid w:val="00F575D8"/>
    <w:rsid w:val="00F60AF6"/>
    <w:rsid w:val="00F60D95"/>
    <w:rsid w:val="00F622F3"/>
    <w:rsid w:val="00F6715F"/>
    <w:rsid w:val="00F701EA"/>
    <w:rsid w:val="00F7772F"/>
    <w:rsid w:val="00F84934"/>
    <w:rsid w:val="00F85D18"/>
    <w:rsid w:val="00F910CC"/>
    <w:rsid w:val="00F93234"/>
    <w:rsid w:val="00F96434"/>
    <w:rsid w:val="00F96A4F"/>
    <w:rsid w:val="00FA0D6A"/>
    <w:rsid w:val="00FA3BAB"/>
    <w:rsid w:val="00FA57FC"/>
    <w:rsid w:val="00FA7BCF"/>
    <w:rsid w:val="00FB112C"/>
    <w:rsid w:val="00FB3963"/>
    <w:rsid w:val="00FB465B"/>
    <w:rsid w:val="00FB6B83"/>
    <w:rsid w:val="00FC0BBE"/>
    <w:rsid w:val="00FC0EB4"/>
    <w:rsid w:val="00FC1BCE"/>
    <w:rsid w:val="00FC2E36"/>
    <w:rsid w:val="00FC38CB"/>
    <w:rsid w:val="00FC4C67"/>
    <w:rsid w:val="00FC6320"/>
    <w:rsid w:val="00FC692D"/>
    <w:rsid w:val="00FC6B3E"/>
    <w:rsid w:val="00FD0CE5"/>
    <w:rsid w:val="00FD2007"/>
    <w:rsid w:val="00FD3D93"/>
    <w:rsid w:val="00FE310F"/>
    <w:rsid w:val="00FF05EA"/>
    <w:rsid w:val="00FF13B2"/>
    <w:rsid w:val="00FF1CBC"/>
    <w:rsid w:val="00FF2C31"/>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FB681"/>
  <w15:docId w15:val="{2FCABF7B-984B-4A85-B6F0-4B516849C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D7D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E6A95"/>
    <w:rPr>
      <w:sz w:val="16"/>
      <w:szCs w:val="16"/>
    </w:rPr>
  </w:style>
  <w:style w:type="paragraph" w:styleId="CommentText">
    <w:name w:val="annotation text"/>
    <w:basedOn w:val="Normal"/>
    <w:link w:val="CommentTextChar"/>
    <w:uiPriority w:val="99"/>
    <w:unhideWhenUsed/>
    <w:rsid w:val="009E6A95"/>
    <w:pPr>
      <w:spacing w:line="240" w:lineRule="auto"/>
    </w:pPr>
    <w:rPr>
      <w:sz w:val="20"/>
      <w:szCs w:val="20"/>
    </w:rPr>
  </w:style>
  <w:style w:type="character" w:customStyle="1" w:styleId="CommentTextChar">
    <w:name w:val="Comment Text Char"/>
    <w:basedOn w:val="DefaultParagraphFont"/>
    <w:link w:val="CommentText"/>
    <w:uiPriority w:val="99"/>
    <w:rsid w:val="009E6A95"/>
    <w:rPr>
      <w:sz w:val="20"/>
      <w:szCs w:val="20"/>
    </w:rPr>
  </w:style>
  <w:style w:type="paragraph" w:styleId="CommentSubject">
    <w:name w:val="annotation subject"/>
    <w:basedOn w:val="CommentText"/>
    <w:next w:val="CommentText"/>
    <w:link w:val="CommentSubjectChar"/>
    <w:uiPriority w:val="99"/>
    <w:semiHidden/>
    <w:unhideWhenUsed/>
    <w:rsid w:val="009E6A95"/>
    <w:rPr>
      <w:b/>
      <w:bCs/>
    </w:rPr>
  </w:style>
  <w:style w:type="character" w:customStyle="1" w:styleId="CommentSubjectChar">
    <w:name w:val="Comment Subject Char"/>
    <w:basedOn w:val="CommentTextChar"/>
    <w:link w:val="CommentSubject"/>
    <w:uiPriority w:val="99"/>
    <w:semiHidden/>
    <w:rsid w:val="009E6A95"/>
    <w:rPr>
      <w:b/>
      <w:bCs/>
      <w:sz w:val="20"/>
      <w:szCs w:val="20"/>
    </w:rPr>
  </w:style>
  <w:style w:type="paragraph" w:styleId="ListParagraph">
    <w:name w:val="List Paragraph"/>
    <w:basedOn w:val="Normal"/>
    <w:uiPriority w:val="34"/>
    <w:qFormat/>
    <w:rsid w:val="00210B1F"/>
    <w:pPr>
      <w:ind w:left="720"/>
      <w:contextualSpacing/>
    </w:pPr>
  </w:style>
  <w:style w:type="character" w:styleId="Hyperlink">
    <w:name w:val="Hyperlink"/>
    <w:basedOn w:val="DefaultParagraphFont"/>
    <w:uiPriority w:val="99"/>
    <w:unhideWhenUsed/>
    <w:rsid w:val="000C4902"/>
    <w:rPr>
      <w:color w:val="0563C1"/>
      <w:u w:val="single"/>
    </w:rPr>
  </w:style>
  <w:style w:type="character" w:styleId="UnresolvedMention">
    <w:name w:val="Unresolved Mention"/>
    <w:basedOn w:val="DefaultParagraphFont"/>
    <w:uiPriority w:val="99"/>
    <w:semiHidden/>
    <w:unhideWhenUsed/>
    <w:rsid w:val="009B0544"/>
    <w:rPr>
      <w:color w:val="605E5C"/>
      <w:shd w:val="clear" w:color="auto" w:fill="E1DFDD"/>
    </w:rPr>
  </w:style>
  <w:style w:type="paragraph" w:styleId="Revision">
    <w:name w:val="Revision"/>
    <w:hidden/>
    <w:uiPriority w:val="99"/>
    <w:semiHidden/>
    <w:rsid w:val="00324765"/>
    <w:pPr>
      <w:spacing w:after="0" w:line="240" w:lineRule="auto"/>
    </w:pPr>
  </w:style>
  <w:style w:type="paragraph" w:styleId="FootnoteText">
    <w:name w:val="footnote text"/>
    <w:basedOn w:val="Normal"/>
    <w:link w:val="FootnoteTextChar"/>
    <w:uiPriority w:val="99"/>
    <w:unhideWhenUsed/>
    <w:rsid w:val="00665CAD"/>
    <w:pPr>
      <w:spacing w:after="0" w:line="240" w:lineRule="auto"/>
    </w:pPr>
    <w:rPr>
      <w:sz w:val="20"/>
      <w:szCs w:val="20"/>
      <w:lang w:val="ru-RU"/>
    </w:rPr>
  </w:style>
  <w:style w:type="character" w:customStyle="1" w:styleId="FootnoteTextChar">
    <w:name w:val="Footnote Text Char"/>
    <w:basedOn w:val="DefaultParagraphFont"/>
    <w:link w:val="FootnoteText"/>
    <w:uiPriority w:val="99"/>
    <w:rsid w:val="00665CAD"/>
    <w:rPr>
      <w:sz w:val="20"/>
      <w:szCs w:val="20"/>
      <w:lang w:val="ru-RU"/>
    </w:rPr>
  </w:style>
  <w:style w:type="character" w:styleId="FootnoteReference">
    <w:name w:val="footnote reference"/>
    <w:basedOn w:val="DefaultParagraphFont"/>
    <w:uiPriority w:val="99"/>
    <w:unhideWhenUsed/>
    <w:rsid w:val="00665CAD"/>
    <w:rPr>
      <w:vertAlign w:val="superscript"/>
    </w:rPr>
  </w:style>
  <w:style w:type="paragraph" w:styleId="Header">
    <w:name w:val="header"/>
    <w:basedOn w:val="Normal"/>
    <w:link w:val="HeaderChar"/>
    <w:uiPriority w:val="99"/>
    <w:unhideWhenUsed/>
    <w:rsid w:val="00914B51"/>
    <w:pPr>
      <w:tabs>
        <w:tab w:val="center" w:pos="4153"/>
        <w:tab w:val="right" w:pos="8306"/>
      </w:tabs>
      <w:spacing w:after="0" w:line="240" w:lineRule="auto"/>
    </w:pPr>
  </w:style>
  <w:style w:type="character" w:customStyle="1" w:styleId="HeaderChar">
    <w:name w:val="Header Char"/>
    <w:basedOn w:val="DefaultParagraphFont"/>
    <w:link w:val="Header"/>
    <w:uiPriority w:val="99"/>
    <w:rsid w:val="00914B51"/>
  </w:style>
  <w:style w:type="paragraph" w:styleId="Footer">
    <w:name w:val="footer"/>
    <w:basedOn w:val="Normal"/>
    <w:link w:val="FooterChar"/>
    <w:uiPriority w:val="99"/>
    <w:unhideWhenUsed/>
    <w:rsid w:val="00914B51"/>
    <w:pPr>
      <w:tabs>
        <w:tab w:val="center" w:pos="4153"/>
        <w:tab w:val="right" w:pos="8306"/>
      </w:tabs>
      <w:spacing w:after="0" w:line="240" w:lineRule="auto"/>
    </w:pPr>
  </w:style>
  <w:style w:type="character" w:customStyle="1" w:styleId="FooterChar">
    <w:name w:val="Footer Char"/>
    <w:basedOn w:val="DefaultParagraphFont"/>
    <w:link w:val="Footer"/>
    <w:uiPriority w:val="99"/>
    <w:rsid w:val="00914B51"/>
  </w:style>
  <w:style w:type="character" w:customStyle="1" w:styleId="cf01">
    <w:name w:val="cf01"/>
    <w:basedOn w:val="DefaultParagraphFont"/>
    <w:rsid w:val="007B1360"/>
    <w:rPr>
      <w:rFonts w:ascii="Segoe UI" w:hAnsi="Segoe UI" w:cs="Segoe UI" w:hint="default"/>
      <w:color w:val="333333"/>
      <w:sz w:val="18"/>
      <w:szCs w:val="18"/>
    </w:rPr>
  </w:style>
  <w:style w:type="character" w:customStyle="1" w:styleId="cf11">
    <w:name w:val="cf11"/>
    <w:basedOn w:val="DefaultParagraphFont"/>
    <w:rsid w:val="007B1360"/>
    <w:rPr>
      <w:rFonts w:ascii="Segoe UI" w:hAnsi="Segoe UI" w:cs="Segoe UI" w:hint="default"/>
      <w:color w:val="333333"/>
      <w:sz w:val="18"/>
      <w:szCs w:val="18"/>
      <w:shd w:val="clear" w:color="auto" w:fill="FFFFFF"/>
    </w:rPr>
  </w:style>
  <w:style w:type="character" w:customStyle="1" w:styleId="ui-provider">
    <w:name w:val="ui-provider"/>
    <w:basedOn w:val="DefaultParagraphFont"/>
    <w:rsid w:val="007B13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969927">
      <w:bodyDiv w:val="1"/>
      <w:marLeft w:val="0"/>
      <w:marRight w:val="0"/>
      <w:marTop w:val="0"/>
      <w:marBottom w:val="0"/>
      <w:divBdr>
        <w:top w:val="none" w:sz="0" w:space="0" w:color="auto"/>
        <w:left w:val="none" w:sz="0" w:space="0" w:color="auto"/>
        <w:bottom w:val="none" w:sz="0" w:space="0" w:color="auto"/>
        <w:right w:val="none" w:sz="0" w:space="0" w:color="auto"/>
      </w:divBdr>
    </w:div>
    <w:div w:id="474447218">
      <w:bodyDiv w:val="1"/>
      <w:marLeft w:val="0"/>
      <w:marRight w:val="0"/>
      <w:marTop w:val="0"/>
      <w:marBottom w:val="0"/>
      <w:divBdr>
        <w:top w:val="none" w:sz="0" w:space="0" w:color="auto"/>
        <w:left w:val="none" w:sz="0" w:space="0" w:color="auto"/>
        <w:bottom w:val="none" w:sz="0" w:space="0" w:color="auto"/>
        <w:right w:val="none" w:sz="0" w:space="0" w:color="auto"/>
      </w:divBdr>
    </w:div>
    <w:div w:id="981930715">
      <w:bodyDiv w:val="1"/>
      <w:marLeft w:val="0"/>
      <w:marRight w:val="0"/>
      <w:marTop w:val="0"/>
      <w:marBottom w:val="0"/>
      <w:divBdr>
        <w:top w:val="none" w:sz="0" w:space="0" w:color="auto"/>
        <w:left w:val="none" w:sz="0" w:space="0" w:color="auto"/>
        <w:bottom w:val="none" w:sz="0" w:space="0" w:color="auto"/>
        <w:right w:val="none" w:sz="0" w:space="0" w:color="auto"/>
      </w:divBdr>
    </w:div>
    <w:div w:id="14037193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E1010F-DB22-44E1-A48B-7B8376DB2A32}">
  <ds:schemaRefs>
    <ds:schemaRef ds:uri="http://schemas.microsoft.com/sharepoint/v3/contenttype/forms"/>
  </ds:schemaRefs>
</ds:datastoreItem>
</file>

<file path=customXml/itemProps2.xml><?xml version="1.0" encoding="utf-8"?>
<ds:datastoreItem xmlns:ds="http://schemas.openxmlformats.org/officeDocument/2006/customXml" ds:itemID="{BCE828A5-75A6-40F1-857E-E2ED37AC05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D88E76C-957A-4E3B-97D0-C4F62E546F1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ACE6A7A-868C-4ACF-B4A5-561D6042E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9147</Words>
  <Characters>5215</Characters>
  <Application>Microsoft Office Word</Application>
  <DocSecurity>0</DocSecurity>
  <Lines>43</Lines>
  <Paragraphs>28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Ivars Avotiņš</dc:creator>
  <cp:keywords/>
  <dc:description/>
  <cp:lastModifiedBy>Ilze Grava</cp:lastModifiedBy>
  <cp:revision>3</cp:revision>
  <cp:lastPrinted>2022-05-24T05:55:00Z</cp:lastPrinted>
  <dcterms:created xsi:type="dcterms:W3CDTF">2024-08-21T09:36:00Z</dcterms:created>
  <dcterms:modified xsi:type="dcterms:W3CDTF">2024-08-21T09:36:00Z</dcterms:modified>
</cp:coreProperties>
</file>